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胜阳港街办</w:t>
      </w:r>
      <w:r>
        <w:rPr>
          <w:rFonts w:hint="eastAsia" w:ascii="微软雅黑" w:hAnsi="微软雅黑" w:eastAsia="微软雅黑" w:cs="微软雅黑"/>
          <w:color w:val="BC1010"/>
          <w:sz w:val="40"/>
          <w:szCs w:val="40"/>
          <w:shd w:val="clear" w:color="auto" w:fill="FFFFFF"/>
          <w:lang w:eastAsia="zh-CN"/>
        </w:rPr>
        <w:t>2019</w:t>
      </w:r>
      <w:r>
        <w:rPr>
          <w:rFonts w:ascii="微软雅黑" w:hAnsi="微软雅黑" w:eastAsia="微软雅黑" w:cs="微软雅黑"/>
          <w:color w:val="BC1010"/>
          <w:sz w:val="40"/>
          <w:szCs w:val="40"/>
          <w:shd w:val="clear" w:color="auto" w:fill="FFFFFF"/>
        </w:rPr>
        <w:t>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黄石港区胜阳港街办</w:t>
      </w:r>
      <w:r>
        <w:rPr>
          <w:rStyle w:val="11"/>
          <w:rFonts w:hint="eastAsia" w:ascii="微软雅黑" w:hAnsi="微软雅黑" w:eastAsia="微软雅黑" w:cs="微软雅黑"/>
          <w:color w:val="333333"/>
          <w:shd w:val="clear" w:color="auto" w:fill="FFFFFF"/>
          <w:lang w:eastAsia="zh-CN"/>
        </w:rPr>
        <w:t>2019</w:t>
      </w:r>
      <w:r>
        <w:rPr>
          <w:rStyle w:val="11"/>
          <w:rFonts w:hint="eastAsia" w:ascii="微软雅黑" w:hAnsi="微软雅黑" w:eastAsia="微软雅黑" w:cs="微软雅黑"/>
          <w:color w:val="333333"/>
          <w:shd w:val="clear" w:color="auto" w:fill="FFFFFF"/>
        </w:rPr>
        <w:t>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w:t>
      </w:r>
      <w:r>
        <w:rPr>
          <w:rFonts w:hint="eastAsia" w:ascii="微软雅黑" w:hAnsi="微软雅黑" w:eastAsia="微软雅黑" w:cs="微软雅黑"/>
          <w:color w:val="333333"/>
          <w:shd w:val="clear" w:color="auto" w:fill="FFFFFF"/>
        </w:rPr>
        <w:t>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w:t>
      </w:r>
      <w:r>
        <w:rPr>
          <w:rFonts w:hint="eastAsia" w:ascii="微软雅黑" w:hAnsi="微软雅黑" w:eastAsia="微软雅黑" w:cs="微软雅黑"/>
          <w:color w:val="333333"/>
          <w:shd w:val="clear" w:color="auto" w:fill="FFFFFF"/>
        </w:rPr>
        <w:t>年部门决算情况说明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lang w:eastAsia="zh-CN"/>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lang w:eastAsia="zh-CN"/>
        </w:rPr>
        <w:t>2019</w:t>
      </w:r>
      <w:r>
        <w:rPr>
          <w:rStyle w:val="11"/>
          <w:rFonts w:hint="eastAsia" w:ascii="微软雅黑" w:hAnsi="微软雅黑" w:eastAsia="微软雅黑" w:cs="微软雅黑"/>
          <w:color w:val="333333"/>
          <w:shd w:val="clear" w:color="auto" w:fill="FFFFFF"/>
        </w:rPr>
        <w:t>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pPr>
        <w:numPr>
          <w:ilvl w:val="0"/>
          <w:numId w:val="1"/>
        </w:num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p>
    <w:p>
      <w:pPr>
        <w:numPr>
          <w:ilvl w:val="0"/>
          <w:numId w:val="1"/>
        </w:numPr>
        <w:spacing w:line="560" w:lineRule="exact"/>
        <w:ind w:left="0" w:leftChars="0"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机构情况:</w:t>
      </w: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内设机构：公共服务中心、经济服务中心、城管建设管理中心、综合办、党群办、法治办。</w:t>
      </w: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第二部分201</w:t>
      </w:r>
      <w:r>
        <w:rPr>
          <w:rStyle w:val="11"/>
          <w:rFonts w:hint="eastAsia" w:ascii="微软雅黑" w:hAnsi="微软雅黑" w:eastAsia="微软雅黑" w:cs="微软雅黑"/>
          <w:color w:val="333333"/>
          <w:shd w:val="clear" w:color="auto" w:fill="FFFFFF"/>
          <w:lang w:val="en-US" w:eastAsia="zh-CN"/>
        </w:rPr>
        <w:t>9</w:t>
      </w:r>
      <w:r>
        <w:rPr>
          <w:rStyle w:val="11"/>
          <w:rFonts w:hint="eastAsia" w:ascii="微软雅黑" w:hAnsi="微软雅黑" w:eastAsia="微软雅黑" w:cs="微软雅黑"/>
          <w:color w:val="333333"/>
          <w:shd w:val="clear" w:color="auto" w:fill="FFFFFF"/>
        </w:rPr>
        <w:t>年部门决算表</w:t>
      </w:r>
    </w:p>
    <w:p>
      <w:pPr>
        <w:keepNext w:val="0"/>
        <w:keepLines w:val="0"/>
        <w:widowControl/>
        <w:suppressLineNumbers w:val="0"/>
        <w:jc w:val="left"/>
        <w:rPr>
          <w:rFonts w:ascii="宋体" w:hAnsi="宋体" w:eastAsia="宋体" w:cs="宋体"/>
          <w:kern w:val="0"/>
          <w:sz w:val="24"/>
          <w:szCs w:val="24"/>
          <w:lang w:val="en-US" w:eastAsia="zh-CN" w:bidi="ar"/>
        </w:rPr>
      </w:pPr>
      <w:r>
        <w:drawing>
          <wp:inline distT="0" distB="0" distL="114300" distR="114300">
            <wp:extent cx="8534400" cy="465328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534400" cy="4653280"/>
                    </a:xfrm>
                    <a:prstGeom prst="rect">
                      <a:avLst/>
                    </a:prstGeom>
                    <a:noFill/>
                    <a:ln>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r>
        <w:drawing>
          <wp:inline distT="0" distB="0" distL="114300" distR="114300">
            <wp:extent cx="8860155" cy="2592070"/>
            <wp:effectExtent l="0" t="0" r="1714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8860155" cy="2592070"/>
                    </a:xfrm>
                    <a:prstGeom prst="rect">
                      <a:avLst/>
                    </a:prstGeom>
                    <a:noFill/>
                    <a:ln>
                      <a:noFill/>
                    </a:ln>
                  </pic:spPr>
                </pic:pic>
              </a:graphicData>
            </a:graphic>
          </wp:inline>
        </w:drawing>
      </w:r>
    </w:p>
    <w:p>
      <w:pPr>
        <w:keepNext w:val="0"/>
        <w:keepLines w:val="0"/>
        <w:widowControl/>
        <w:suppressLineNumbers w:val="0"/>
        <w:jc w:val="left"/>
      </w:pPr>
      <w:r>
        <w:drawing>
          <wp:inline distT="0" distB="0" distL="114300" distR="114300">
            <wp:extent cx="8856345" cy="2901950"/>
            <wp:effectExtent l="0" t="0" r="190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8856345" cy="2901950"/>
                    </a:xfrm>
                    <a:prstGeom prst="rect">
                      <a:avLst/>
                    </a:prstGeom>
                    <a:noFill/>
                    <a:ln>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pStyle w:val="8"/>
        <w:widowControl/>
        <w:spacing w:before="76" w:beforeAutospacing="0" w:after="76" w:afterAutospacing="0" w:line="450" w:lineRule="atLeast"/>
        <w:ind w:firstLine="420"/>
        <w:rPr>
          <w:rFonts w:hint="eastAsia" w:asciiTheme="minorEastAsia" w:hAnsiTheme="minorEastAsia" w:eastAsiaTheme="minorEastAsia" w:cstheme="minorEastAsia"/>
          <w:b w:val="0"/>
          <w:i w:val="0"/>
          <w:caps w:val="0"/>
          <w:color w:val="000000"/>
          <w:spacing w:val="0"/>
          <w:sz w:val="28"/>
          <w:szCs w:val="28"/>
          <w:shd w:val="clear" w:color="auto" w:fill="auto"/>
          <w:lang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843010" cy="5363210"/>
            <wp:effectExtent l="0" t="0" r="15240" b="889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8843010" cy="536321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419465" cy="5019675"/>
            <wp:effectExtent l="0" t="0" r="635"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8419465" cy="501967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721725" cy="5121910"/>
            <wp:effectExtent l="0" t="0" r="3175" b="254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9"/>
                    <a:stretch>
                      <a:fillRect/>
                    </a:stretch>
                  </pic:blipFill>
                  <pic:spPr>
                    <a:xfrm>
                      <a:off x="0" y="0"/>
                      <a:ext cx="8721725" cy="512191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8592820" cy="2313940"/>
            <wp:effectExtent l="0" t="0" r="17780" b="1016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0"/>
                    <a:stretch>
                      <a:fillRect/>
                    </a:stretch>
                  </pic:blipFill>
                  <pic:spPr>
                    <a:xfrm>
                      <a:off x="0" y="0"/>
                      <a:ext cx="8592820" cy="231394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tbl>
      <w:tblPr>
        <w:tblStyle w:val="9"/>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黄石市黄石港区胜阳港街道办事处</w:t>
            </w:r>
            <w:bookmarkStart w:id="0" w:name="_GoBack"/>
            <w:bookmarkEnd w:id="0"/>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suppressLineNumbers w:val="0"/>
        <w:jc w:val="left"/>
        <w:rPr>
          <w:rFonts w:hint="eastAsia" w:ascii="宋体" w:hAnsi="宋体" w:eastAsia="宋体" w:cs="宋体"/>
          <w:kern w:val="0"/>
          <w:sz w:val="24"/>
          <w:szCs w:val="24"/>
          <w:lang w:val="en-US" w:eastAsia="zh-CN" w:bidi="ar"/>
        </w:rPr>
      </w:pPr>
    </w:p>
    <w:p>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w:t>
      </w:r>
      <w:r>
        <w:rPr>
          <w:rStyle w:val="11"/>
          <w:rFonts w:hint="eastAsia" w:ascii="微软雅黑" w:hAnsi="微软雅黑" w:eastAsia="微软雅黑" w:cs="微软雅黑"/>
          <w:color w:val="333333"/>
          <w:shd w:val="clear" w:color="auto" w:fill="FFFFFF"/>
          <w:lang w:eastAsia="zh-CN"/>
        </w:rPr>
        <w:t>2019</w:t>
      </w:r>
      <w:r>
        <w:rPr>
          <w:rStyle w:val="11"/>
          <w:rFonts w:hint="eastAsia" w:ascii="微软雅黑" w:hAnsi="微软雅黑" w:eastAsia="微软雅黑" w:cs="微软雅黑"/>
          <w:color w:val="333333"/>
          <w:shd w:val="clear" w:color="auto" w:fill="FFFFFF"/>
        </w:rPr>
        <w:t>年部门决算情况说明</w:t>
      </w:r>
    </w:p>
    <w:p>
      <w:pPr>
        <w:spacing w:line="560" w:lineRule="exact"/>
        <w:ind w:firstLine="562" w:firstLineChars="200"/>
        <w:jc w:val="left"/>
        <w:rPr>
          <w:rFonts w:ascii="黑体" w:hAnsi="黑体" w:eastAsia="黑体"/>
          <w:color w:val="0000FF"/>
          <w:sz w:val="32"/>
          <w:szCs w:val="32"/>
        </w:rPr>
      </w:pPr>
      <w:r>
        <w:rPr>
          <w:rFonts w:hint="eastAsia" w:ascii="宋体" w:hAnsi="宋体" w:cs="宋体"/>
          <w:b/>
          <w:bCs/>
          <w:sz w:val="28"/>
          <w:szCs w:val="28"/>
        </w:rPr>
        <w:t>（一）预算执行情况分析</w:t>
      </w:r>
    </w:p>
    <w:p>
      <w:pPr>
        <w:snapToGrid w:val="0"/>
        <w:spacing w:line="52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lang w:val="en-US" w:eastAsia="zh-CN"/>
        </w:rPr>
        <w:t>1、</w:t>
      </w:r>
      <w:r>
        <w:rPr>
          <w:rFonts w:hint="eastAsia" w:ascii="楷体_GB2312" w:hAnsi="仿宋" w:eastAsia="楷体_GB2312"/>
          <w:b/>
          <w:color w:val="auto"/>
          <w:sz w:val="32"/>
          <w:szCs w:val="32"/>
        </w:rPr>
        <w:t>收入支出预算安排情况。</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年初根据上一年度人员情况确认财政下拨预算数为945.62万，人员经费842.46万，公用经费103.17万，同比增长41.09%，2018年预算数为670.21万，因为2019年较2018年增加一个社区并将原区管局的职能下放到街道。</w:t>
      </w:r>
    </w:p>
    <w:p>
      <w:pPr>
        <w:snapToGrid w:val="0"/>
        <w:spacing w:line="52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lang w:val="en-US" w:eastAsia="zh-CN"/>
        </w:rPr>
        <w:t>2、</w:t>
      </w:r>
      <w:r>
        <w:rPr>
          <w:rFonts w:hint="eastAsia" w:ascii="楷体_GB2312" w:hAnsi="仿宋" w:eastAsia="楷体_GB2312"/>
          <w:b/>
          <w:color w:val="auto"/>
          <w:sz w:val="32"/>
          <w:szCs w:val="32"/>
        </w:rPr>
        <w:t>收入支出预算执行情况。</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本年实际财政拨款收入1152.56万，本年实际支出1152.56万，收支一致</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2019年预算数为945.62万元，决算数为1152.56万元，年初经费按6个社区预算，而新划分的海观山社区人员经费32万元未列入。城管协管队员25是2019年8月份职能下放致街道，该项年初也未列入预算中。也存在社区各类专项资金年初也并未纳入预算，年中发生时申请拨入。</w:t>
      </w:r>
    </w:p>
    <w:p>
      <w:pPr>
        <w:snapToGrid w:val="0"/>
        <w:spacing w:line="520" w:lineRule="exact"/>
        <w:ind w:firstLine="643" w:firstLineChars="200"/>
        <w:rPr>
          <w:rFonts w:ascii="仿宋_GB2312" w:hAnsi="仿宋" w:eastAsia="仿宋_GB2312"/>
          <w:b/>
          <w:color w:val="auto"/>
          <w:sz w:val="32"/>
          <w:szCs w:val="32"/>
        </w:rPr>
      </w:pPr>
      <w:r>
        <w:rPr>
          <w:rFonts w:hint="eastAsia" w:ascii="仿宋_GB2312" w:hAnsi="仿宋" w:eastAsia="仿宋_GB2312"/>
          <w:b/>
          <w:color w:val="auto"/>
          <w:sz w:val="32"/>
          <w:szCs w:val="32"/>
          <w:lang w:eastAsia="zh-CN"/>
        </w:rPr>
        <w:t>（</w:t>
      </w:r>
      <w:r>
        <w:rPr>
          <w:rFonts w:hint="eastAsia" w:ascii="仿宋_GB2312" w:hAnsi="仿宋" w:eastAsia="仿宋_GB2312"/>
          <w:b/>
          <w:color w:val="auto"/>
          <w:sz w:val="32"/>
          <w:szCs w:val="32"/>
          <w:lang w:val="en-US" w:eastAsia="zh-CN"/>
        </w:rPr>
        <w:t>2）</w:t>
      </w:r>
      <w:r>
        <w:rPr>
          <w:rFonts w:hint="eastAsia" w:ascii="仿宋_GB2312" w:hAnsi="仿宋" w:eastAsia="仿宋_GB2312"/>
          <w:b/>
          <w:color w:val="auto"/>
          <w:sz w:val="32"/>
          <w:szCs w:val="32"/>
        </w:rPr>
        <w:t>收入支出结构分析。</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工资福利支出占比54%，商品和服务支出占比46%，</w:t>
      </w:r>
      <w:r>
        <w:rPr>
          <w:rFonts w:ascii="仿宋_GB2312" w:hAnsi="仿宋" w:eastAsia="仿宋_GB2312"/>
          <w:color w:val="auto"/>
          <w:sz w:val="32"/>
          <w:szCs w:val="32"/>
        </w:rPr>
        <w:t xml:space="preserve"> </w:t>
      </w:r>
    </w:p>
    <w:p>
      <w:pPr>
        <w:snapToGrid w:val="0"/>
        <w:spacing w:line="520" w:lineRule="exact"/>
        <w:ind w:firstLine="643" w:firstLineChars="200"/>
        <w:rPr>
          <w:rFonts w:ascii="仿宋_GB2312" w:hAnsi="仿宋" w:eastAsia="仿宋_GB2312"/>
          <w:b/>
          <w:color w:val="auto"/>
          <w:sz w:val="32"/>
          <w:szCs w:val="32"/>
        </w:rPr>
      </w:pPr>
      <w:r>
        <w:rPr>
          <w:rFonts w:hint="eastAsia" w:ascii="仿宋_GB2312" w:hAnsi="仿宋" w:eastAsia="仿宋_GB2312"/>
          <w:b/>
          <w:color w:val="auto"/>
          <w:sz w:val="32"/>
          <w:szCs w:val="32"/>
          <w:lang w:eastAsia="zh-CN"/>
        </w:rPr>
        <w:t>（</w:t>
      </w:r>
      <w:r>
        <w:rPr>
          <w:rFonts w:hint="eastAsia" w:ascii="仿宋_GB2312" w:hAnsi="仿宋" w:eastAsia="仿宋_GB2312"/>
          <w:b/>
          <w:color w:val="auto"/>
          <w:sz w:val="32"/>
          <w:szCs w:val="32"/>
          <w:lang w:val="en-US" w:eastAsia="zh-CN"/>
        </w:rPr>
        <w:t>3）</w:t>
      </w:r>
      <w:r>
        <w:rPr>
          <w:rFonts w:hint="eastAsia" w:ascii="仿宋_GB2312" w:hAnsi="仿宋" w:eastAsia="仿宋_GB2312"/>
          <w:b/>
          <w:color w:val="auto"/>
          <w:sz w:val="32"/>
          <w:szCs w:val="32"/>
        </w:rPr>
        <w:t>财政拨款收入、支出分析。</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本年度较上年度相比收入和支出有所增加，增加比例为5.63%。</w:t>
      </w:r>
    </w:p>
    <w:p>
      <w:pPr>
        <w:widowControl/>
        <w:shd w:val="clear" w:color="auto" w:fill="FFFFFF"/>
        <w:ind w:firstLine="480"/>
        <w:jc w:val="left"/>
        <w:rPr>
          <w:rFonts w:hint="eastAsia" w:ascii="宋体" w:hAnsi="宋体" w:cs="宋体"/>
          <w:b/>
          <w:bCs/>
          <w:color w:val="auto"/>
          <w:sz w:val="28"/>
          <w:szCs w:val="28"/>
        </w:rPr>
      </w:pPr>
      <w:r>
        <w:rPr>
          <w:rFonts w:hint="eastAsia" w:ascii="宋体" w:hAnsi="宋体" w:cs="宋体"/>
          <w:b/>
          <w:bCs/>
          <w:color w:val="auto"/>
          <w:sz w:val="28"/>
          <w:szCs w:val="28"/>
        </w:rPr>
        <w:t>（二）关于“三公”经费支出说明</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1、我单位</w:t>
      </w:r>
      <w:r>
        <w:rPr>
          <w:rFonts w:hint="eastAsia" w:ascii="宋体" w:hAnsi="宋体" w:cs="宋体"/>
          <w:sz w:val="28"/>
          <w:szCs w:val="28"/>
          <w:lang w:eastAsia="zh-CN"/>
        </w:rPr>
        <w:t>2019</w:t>
      </w:r>
      <w:r>
        <w:rPr>
          <w:rFonts w:hint="eastAsia" w:ascii="宋体" w:hAnsi="宋体" w:cs="宋体"/>
          <w:sz w:val="28"/>
          <w:szCs w:val="28"/>
        </w:rPr>
        <w:t>年因公出国（境）费0元，较201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年决算数持平，主要原因是单位没有因公出国。　</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2019</w:t>
      </w:r>
      <w:r>
        <w:rPr>
          <w:rFonts w:hint="eastAsia" w:ascii="宋体" w:hAnsi="宋体" w:cs="宋体"/>
          <w:sz w:val="28"/>
          <w:szCs w:val="28"/>
        </w:rPr>
        <w:t>年无公务用车购置及运行维护费，较201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年决算数持平。主要原因是单位无公务用车运行费。</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2019</w:t>
      </w:r>
      <w:r>
        <w:rPr>
          <w:rFonts w:hint="eastAsia" w:ascii="宋体" w:hAnsi="宋体" w:cs="宋体"/>
          <w:sz w:val="28"/>
          <w:szCs w:val="28"/>
        </w:rPr>
        <w:t>年无公务接待费，较201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年决算数持平。主要原因是单位没有公务接待。　</w:t>
      </w:r>
    </w:p>
    <w:p>
      <w:pPr>
        <w:widowControl/>
        <w:shd w:val="clear" w:color="auto" w:fill="FFFFFF"/>
        <w:ind w:firstLine="480"/>
        <w:jc w:val="left"/>
        <w:rPr>
          <w:rFonts w:hint="eastAsia" w:ascii="宋体" w:hAnsi="宋体" w:cs="宋体"/>
          <w:sz w:val="28"/>
          <w:szCs w:val="28"/>
        </w:rPr>
      </w:pPr>
      <w:r>
        <w:rPr>
          <w:rFonts w:hint="eastAsia" w:ascii="宋体" w:hAnsi="宋体" w:cs="宋体"/>
          <w:b/>
          <w:bCs/>
          <w:sz w:val="28"/>
          <w:szCs w:val="28"/>
        </w:rPr>
        <w:t>（三）关于机关运行经费支出说明</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本单位</w:t>
      </w:r>
      <w:r>
        <w:rPr>
          <w:rFonts w:hint="eastAsia" w:ascii="宋体" w:hAnsi="宋体" w:cs="宋体"/>
          <w:sz w:val="28"/>
          <w:szCs w:val="28"/>
          <w:lang w:eastAsia="zh-CN"/>
        </w:rPr>
        <w:t>2019</w:t>
      </w:r>
      <w:r>
        <w:rPr>
          <w:rFonts w:hint="eastAsia" w:ascii="宋体" w:hAnsi="宋体" w:cs="宋体"/>
          <w:sz w:val="28"/>
          <w:szCs w:val="28"/>
        </w:rPr>
        <w:t>年度机关运行经费支出534</w:t>
      </w:r>
      <w:r>
        <w:rPr>
          <w:rFonts w:hint="eastAsia" w:ascii="宋体" w:hAnsi="宋体" w:cs="宋体"/>
          <w:sz w:val="28"/>
          <w:szCs w:val="28"/>
          <w:lang w:val="en-US" w:eastAsia="zh-CN"/>
        </w:rPr>
        <w:t>.</w:t>
      </w:r>
      <w:r>
        <w:rPr>
          <w:rFonts w:hint="eastAsia" w:ascii="宋体" w:hAnsi="宋体" w:cs="宋体"/>
          <w:sz w:val="28"/>
          <w:szCs w:val="28"/>
        </w:rPr>
        <w:t>82万元（与部门决算中行政单位和参照公务员法管理事业单位一般公共预算财政拨款基本支出中公用经费之和保持一致），其中：办公费</w:t>
      </w:r>
      <w:r>
        <w:rPr>
          <w:rFonts w:hint="eastAsia" w:ascii="宋体" w:hAnsi="宋体" w:cs="宋体"/>
          <w:sz w:val="28"/>
          <w:szCs w:val="28"/>
          <w:lang w:val="en-US" w:eastAsia="zh-CN"/>
        </w:rPr>
        <w:t>225.62</w:t>
      </w:r>
      <w:r>
        <w:rPr>
          <w:rFonts w:hint="eastAsia" w:ascii="宋体" w:hAnsi="宋体" w:cs="宋体"/>
          <w:sz w:val="28"/>
          <w:szCs w:val="28"/>
        </w:rPr>
        <w:t>万元、印刷费</w:t>
      </w:r>
      <w:r>
        <w:rPr>
          <w:rFonts w:hint="eastAsia" w:ascii="宋体" w:hAnsi="宋体" w:cs="宋体"/>
          <w:sz w:val="28"/>
          <w:szCs w:val="28"/>
          <w:lang w:val="en-US" w:eastAsia="zh-CN"/>
        </w:rPr>
        <w:t>0.52</w:t>
      </w:r>
      <w:r>
        <w:rPr>
          <w:rFonts w:hint="eastAsia" w:ascii="宋体" w:hAnsi="宋体" w:cs="宋体"/>
          <w:sz w:val="28"/>
          <w:szCs w:val="28"/>
        </w:rPr>
        <w:t>万元、邮电费</w:t>
      </w:r>
      <w:r>
        <w:rPr>
          <w:rFonts w:hint="eastAsia" w:ascii="宋体" w:hAnsi="宋体" w:cs="宋体"/>
          <w:sz w:val="28"/>
          <w:szCs w:val="28"/>
          <w:lang w:val="en-US" w:eastAsia="zh-CN"/>
        </w:rPr>
        <w:t>0.48</w:t>
      </w:r>
      <w:r>
        <w:rPr>
          <w:rFonts w:hint="eastAsia" w:ascii="宋体" w:hAnsi="宋体" w:cs="宋体"/>
          <w:sz w:val="28"/>
          <w:szCs w:val="28"/>
        </w:rPr>
        <w:t>万元、水电费</w:t>
      </w:r>
      <w:r>
        <w:rPr>
          <w:rFonts w:hint="eastAsia" w:ascii="宋体" w:hAnsi="宋体" w:cs="宋体"/>
          <w:sz w:val="28"/>
          <w:szCs w:val="28"/>
          <w:lang w:val="en-US" w:eastAsia="zh-CN"/>
        </w:rPr>
        <w:t>4.91</w:t>
      </w:r>
      <w:r>
        <w:rPr>
          <w:rFonts w:hint="eastAsia" w:ascii="宋体" w:hAnsi="宋体" w:cs="宋体"/>
          <w:sz w:val="28"/>
          <w:szCs w:val="28"/>
        </w:rPr>
        <w:t>万元、维护费</w:t>
      </w:r>
      <w:r>
        <w:rPr>
          <w:rFonts w:hint="eastAsia" w:ascii="宋体" w:hAnsi="宋体" w:cs="宋体"/>
          <w:sz w:val="28"/>
          <w:szCs w:val="28"/>
          <w:lang w:val="en-US" w:eastAsia="zh-CN"/>
        </w:rPr>
        <w:t>0.85万元</w:t>
      </w:r>
      <w:r>
        <w:rPr>
          <w:rFonts w:hint="eastAsia" w:ascii="宋体" w:hAnsi="宋体" w:cs="宋体"/>
          <w:sz w:val="28"/>
          <w:szCs w:val="28"/>
        </w:rPr>
        <w:t>、培训费</w:t>
      </w:r>
      <w:r>
        <w:rPr>
          <w:rFonts w:hint="eastAsia" w:ascii="宋体" w:hAnsi="宋体" w:cs="宋体"/>
          <w:sz w:val="28"/>
          <w:szCs w:val="28"/>
          <w:lang w:val="en-US" w:eastAsia="zh-CN"/>
        </w:rPr>
        <w:t>0.51万元</w:t>
      </w:r>
      <w:r>
        <w:rPr>
          <w:rFonts w:hint="eastAsia" w:ascii="宋体" w:hAnsi="宋体" w:cs="宋体"/>
          <w:sz w:val="28"/>
          <w:szCs w:val="28"/>
        </w:rPr>
        <w:t>、劳务费</w:t>
      </w:r>
      <w:r>
        <w:rPr>
          <w:rFonts w:hint="eastAsia" w:ascii="宋体" w:hAnsi="宋体" w:cs="宋体"/>
          <w:sz w:val="28"/>
          <w:szCs w:val="28"/>
          <w:lang w:val="en-US" w:eastAsia="zh-CN"/>
        </w:rPr>
        <w:t>280.67万元</w:t>
      </w:r>
      <w:r>
        <w:rPr>
          <w:rFonts w:hint="eastAsia" w:ascii="宋体" w:hAnsi="宋体" w:cs="宋体"/>
          <w:sz w:val="28"/>
          <w:szCs w:val="28"/>
        </w:rPr>
        <w:t>。</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（四）关于政府采购支出说明</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本单位</w:t>
      </w:r>
      <w:r>
        <w:rPr>
          <w:rFonts w:hint="eastAsia" w:ascii="宋体" w:hAnsi="宋体" w:cs="宋体"/>
          <w:sz w:val="28"/>
          <w:szCs w:val="28"/>
          <w:lang w:eastAsia="zh-CN"/>
        </w:rPr>
        <w:t>2019</w:t>
      </w:r>
      <w:r>
        <w:rPr>
          <w:rFonts w:hint="eastAsia" w:ascii="宋体" w:hAnsi="宋体" w:cs="宋体"/>
          <w:sz w:val="28"/>
          <w:szCs w:val="28"/>
        </w:rPr>
        <w:t>年度政府采购支出总额</w:t>
      </w:r>
      <w:r>
        <w:rPr>
          <w:rFonts w:hint="eastAsia" w:ascii="宋体" w:hAnsi="宋体" w:cs="宋体"/>
          <w:color w:val="auto"/>
          <w:sz w:val="28"/>
          <w:szCs w:val="28"/>
          <w:lang w:val="en-US" w:eastAsia="zh-CN"/>
        </w:rPr>
        <w:t>2.633</w:t>
      </w:r>
      <w:r>
        <w:rPr>
          <w:rFonts w:hint="eastAsia" w:ascii="宋体" w:hAnsi="宋体" w:cs="宋体"/>
          <w:sz w:val="28"/>
          <w:szCs w:val="28"/>
        </w:rPr>
        <w:t>万元，其中：政府采购货物支出</w:t>
      </w:r>
      <w:r>
        <w:rPr>
          <w:rFonts w:hint="eastAsia" w:ascii="宋体" w:hAnsi="宋体" w:cs="宋体"/>
          <w:color w:val="auto"/>
          <w:sz w:val="28"/>
          <w:szCs w:val="28"/>
          <w:lang w:val="en-US" w:eastAsia="zh-CN"/>
        </w:rPr>
        <w:t>0</w:t>
      </w:r>
      <w:r>
        <w:rPr>
          <w:rFonts w:hint="eastAsia" w:ascii="宋体" w:hAnsi="宋体" w:cs="宋体"/>
          <w:sz w:val="28"/>
          <w:szCs w:val="28"/>
        </w:rPr>
        <w:t>万元、政府采购工程支出0万元、政府采购服务支出</w:t>
      </w:r>
      <w:r>
        <w:rPr>
          <w:rFonts w:hint="eastAsia" w:ascii="宋体" w:hAnsi="宋体" w:cs="宋体"/>
          <w:color w:val="auto"/>
          <w:sz w:val="28"/>
          <w:szCs w:val="28"/>
          <w:lang w:val="en-US" w:eastAsia="zh-CN"/>
        </w:rPr>
        <w:t>2.633</w:t>
      </w:r>
      <w:r>
        <w:rPr>
          <w:rFonts w:hint="eastAsia" w:ascii="宋体" w:hAnsi="宋体" w:cs="宋体"/>
          <w:sz w:val="28"/>
          <w:szCs w:val="28"/>
        </w:rPr>
        <w:t>万元。</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（五）国有资产占用情况说明</w:t>
      </w:r>
    </w:p>
    <w:p>
      <w:pPr>
        <w:widowControl/>
        <w:shd w:val="clear" w:color="auto" w:fill="FFFFFF"/>
        <w:ind w:firstLine="480"/>
        <w:jc w:val="left"/>
        <w:rPr>
          <w:rStyle w:val="11"/>
          <w:rFonts w:hint="eastAsia" w:ascii="微软雅黑" w:hAnsi="微软雅黑" w:eastAsia="微软雅黑" w:cs="微软雅黑"/>
          <w:color w:val="333333"/>
          <w:shd w:val="clear" w:color="auto" w:fill="FFFFFF"/>
        </w:rPr>
      </w:pPr>
      <w:r>
        <w:rPr>
          <w:rFonts w:hint="eastAsia" w:ascii="宋体" w:hAnsi="宋体" w:cs="宋体"/>
          <w:sz w:val="28"/>
          <w:szCs w:val="28"/>
        </w:rPr>
        <w:t>截至</w:t>
      </w:r>
      <w:r>
        <w:rPr>
          <w:rFonts w:hint="eastAsia" w:ascii="宋体" w:hAnsi="宋体" w:cs="宋体"/>
          <w:sz w:val="28"/>
          <w:szCs w:val="28"/>
          <w:lang w:eastAsia="zh-CN"/>
        </w:rPr>
        <w:t>2019</w:t>
      </w:r>
      <w:r>
        <w:rPr>
          <w:rFonts w:hint="eastAsia" w:ascii="宋体" w:hAnsi="宋体" w:cs="宋体"/>
          <w:sz w:val="28"/>
          <w:szCs w:val="28"/>
        </w:rPr>
        <w:t>年12月31日，本单位无公务车辆；单位价值 50万元以上通用设备0台；单位价值 100万元以上专用设备0台。</w:t>
      </w: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第四部分</w:t>
      </w:r>
      <w:r>
        <w:rPr>
          <w:rStyle w:val="11"/>
          <w:rFonts w:hint="eastAsia" w:ascii="微软雅黑" w:hAnsi="微软雅黑" w:eastAsia="微软雅黑" w:cs="微软雅黑"/>
          <w:color w:val="333333"/>
          <w:shd w:val="clear" w:color="auto" w:fill="FFFFFF"/>
          <w:lang w:val="en-US" w:eastAsia="zh-CN"/>
        </w:rPr>
        <w:t xml:space="preserve"> </w:t>
      </w:r>
      <w:r>
        <w:rPr>
          <w:rStyle w:val="11"/>
          <w:rFonts w:hint="eastAsia" w:ascii="微软雅黑" w:hAnsi="微软雅黑" w:eastAsia="微软雅黑" w:cs="微软雅黑"/>
          <w:color w:val="333333"/>
          <w:shd w:val="clear" w:color="auto" w:fill="FFFFFF"/>
        </w:rPr>
        <w:t>名词解释</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一、财政补助收入：指县级财政当年拨付的资金。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三、年初结转和结余：指以前年度尚未完成、结转到本年按有关规定继续使用的资金。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六、一般公共服务（类）机关服务（项）：指县黄石港区胜阳港街办服务中心为机关提供办公楼日常维修、维护等后勤保障服务的支出。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七、一般公共服务（类）其他一般公共服务支出（款）其他一般公共服务支出（项）：指黄石港区胜阳港街办用于其他一般公共服务方面的支出。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八、教育（类）普通教育（款）高等教育（项）：指黄石港区胜阳港街办厅支持地方高校的重点发展和特色办学，组织专家对省属院校申报的建设规划和项目预算进行评审等相关工作的支出。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九、社会保障和就业(类)行政事业单位离退休（款）归口管理的行政单位离退休（项）：指黄石港区胜阳港街办用于离退休人员的支出、退休人员支出，以及提供管理服务工作的离退休干部处的支出。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十、社会保障和就业(类)行政事业单位离退休（款）其他行政事业单位离退休支出（项）：指黄石港区胜阳港街办用于离退休方面的其他支出。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十一、医疗卫生与计划生育（类）医疗保障（款）行政单位医疗（项）：指黄石港区胜阳港街办用于机关干部职工及离退休人员医疗方面的支出。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pPr>
      <w:r>
        <w:rPr>
          <w:rFonts w:hint="eastAsia" w:ascii="宋体" w:hAnsi="宋体" w:cs="宋体"/>
          <w:sz w:val="28"/>
          <w:szCs w:val="28"/>
        </w:rPr>
        <w:t>十六、“三公”经费：是指用财政拨款安排的因公出国（境）费、公务用车购置及运行维护费、公务接待费。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ABB6B"/>
    <w:multiLevelType w:val="singleLevel"/>
    <w:tmpl w:val="CE5ABB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9"/>
    <w:rsid w:val="002F2B50"/>
    <w:rsid w:val="00406DC9"/>
    <w:rsid w:val="0067473B"/>
    <w:rsid w:val="00700C5B"/>
    <w:rsid w:val="009677D9"/>
    <w:rsid w:val="00C10F88"/>
    <w:rsid w:val="00C71E71"/>
    <w:rsid w:val="053725FE"/>
    <w:rsid w:val="05403DF2"/>
    <w:rsid w:val="0664587B"/>
    <w:rsid w:val="09864FEA"/>
    <w:rsid w:val="09FF39B4"/>
    <w:rsid w:val="0D6E47ED"/>
    <w:rsid w:val="11411182"/>
    <w:rsid w:val="117C072A"/>
    <w:rsid w:val="13720CFC"/>
    <w:rsid w:val="137D02AC"/>
    <w:rsid w:val="150971E0"/>
    <w:rsid w:val="16602411"/>
    <w:rsid w:val="195D7E69"/>
    <w:rsid w:val="19DF1460"/>
    <w:rsid w:val="19FD0686"/>
    <w:rsid w:val="1CE669F8"/>
    <w:rsid w:val="1CF83672"/>
    <w:rsid w:val="20423E52"/>
    <w:rsid w:val="22C24811"/>
    <w:rsid w:val="255E033E"/>
    <w:rsid w:val="27390172"/>
    <w:rsid w:val="29CD63A5"/>
    <w:rsid w:val="2CCE2491"/>
    <w:rsid w:val="2F282FCC"/>
    <w:rsid w:val="3056086C"/>
    <w:rsid w:val="341056F3"/>
    <w:rsid w:val="35587B9A"/>
    <w:rsid w:val="35857B0F"/>
    <w:rsid w:val="38981FD9"/>
    <w:rsid w:val="39CB1588"/>
    <w:rsid w:val="3F486F51"/>
    <w:rsid w:val="40E75783"/>
    <w:rsid w:val="437F1328"/>
    <w:rsid w:val="458B28AE"/>
    <w:rsid w:val="4BE750BF"/>
    <w:rsid w:val="4E9844E7"/>
    <w:rsid w:val="51837BC6"/>
    <w:rsid w:val="53837C82"/>
    <w:rsid w:val="53D74255"/>
    <w:rsid w:val="57503170"/>
    <w:rsid w:val="57EA7CB1"/>
    <w:rsid w:val="58E323C0"/>
    <w:rsid w:val="60E02A8A"/>
    <w:rsid w:val="621B3808"/>
    <w:rsid w:val="62806655"/>
    <w:rsid w:val="635100CE"/>
    <w:rsid w:val="65566660"/>
    <w:rsid w:val="67E4782B"/>
    <w:rsid w:val="6EC80B14"/>
    <w:rsid w:val="713F1A64"/>
    <w:rsid w:val="746766E2"/>
    <w:rsid w:val="74EA7B66"/>
    <w:rsid w:val="78186405"/>
    <w:rsid w:val="7E7A7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449</Words>
  <Characters>2564</Characters>
  <Lines>21</Lines>
  <Paragraphs>6</Paragraphs>
  <TotalTime>0</TotalTime>
  <ScaleCrop>false</ScaleCrop>
  <LinksUpToDate>false</LinksUpToDate>
  <CharactersWithSpaces>3007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2019-09-11T04:40:00Z</dcterms:created>
  <dc:creator>gg</dc:creator>
  <cp:lastModifiedBy>盼</cp:lastModifiedBy>
  <dcterms:modified xsi:type="dcterms:W3CDTF">2021-05-17T07:45:24Z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