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胜阳港街办</w:t>
      </w:r>
      <w:r>
        <w:rPr>
          <w:rFonts w:hint="eastAsia" w:ascii="微软雅黑" w:hAnsi="微软雅黑" w:eastAsia="微软雅黑" w:cs="微软雅黑"/>
          <w:color w:val="BC1010"/>
          <w:sz w:val="40"/>
          <w:szCs w:val="40"/>
          <w:shd w:val="clear" w:color="auto" w:fill="FFFFFF"/>
          <w:lang w:eastAsia="zh-CN"/>
        </w:rPr>
        <w:t>20</w:t>
      </w:r>
      <w:r>
        <w:rPr>
          <w:rFonts w:hint="eastAsia" w:ascii="微软雅黑" w:hAnsi="微软雅黑" w:eastAsia="微软雅黑" w:cs="微软雅黑"/>
          <w:color w:val="BC1010"/>
          <w:sz w:val="40"/>
          <w:szCs w:val="40"/>
          <w:shd w:val="clear" w:color="auto" w:fill="FFFFFF"/>
          <w:lang w:val="en-US" w:eastAsia="zh-CN"/>
        </w:rPr>
        <w:t>20</w:t>
      </w:r>
      <w:r>
        <w:rPr>
          <w:rFonts w:ascii="微软雅黑" w:hAnsi="微软雅黑" w:eastAsia="微软雅黑" w:cs="微软雅黑"/>
          <w:color w:val="BC1010"/>
          <w:sz w:val="40"/>
          <w:szCs w:val="40"/>
          <w:shd w:val="clear" w:color="auto" w:fill="FFFFFF"/>
        </w:rPr>
        <w:t>年决算公开</w:t>
      </w:r>
    </w:p>
    <w:p>
      <w:pPr>
        <w:pStyle w:val="8"/>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黄石港区胜阳港街办</w:t>
      </w:r>
      <w:r>
        <w:rPr>
          <w:rStyle w:val="10"/>
          <w:rFonts w:hint="eastAsia" w:ascii="微软雅黑" w:hAnsi="微软雅黑" w:eastAsia="微软雅黑" w:cs="微软雅黑"/>
          <w:color w:val="333333"/>
          <w:shd w:val="clear" w:color="auto" w:fill="FFFFFF"/>
          <w:lang w:eastAsia="zh-CN"/>
        </w:rPr>
        <w:t>20</w:t>
      </w:r>
      <w:r>
        <w:rPr>
          <w:rStyle w:val="10"/>
          <w:rFonts w:hint="eastAsia" w:ascii="微软雅黑" w:hAnsi="微软雅黑" w:eastAsia="微软雅黑" w:cs="微软雅黑"/>
          <w:color w:val="333333"/>
          <w:shd w:val="clear" w:color="auto" w:fill="FFFFFF"/>
          <w:lang w:val="en-US" w:eastAsia="zh-CN"/>
        </w:rPr>
        <w:t>20</w:t>
      </w:r>
      <w:r>
        <w:rPr>
          <w:rStyle w:val="10"/>
          <w:rFonts w:hint="eastAsia" w:ascii="微软雅黑" w:hAnsi="微软雅黑" w:eastAsia="微软雅黑" w:cs="微软雅黑"/>
          <w:color w:val="333333"/>
          <w:shd w:val="clear" w:color="auto" w:fill="FFFFFF"/>
        </w:rPr>
        <w:t>年决算公开</w:t>
      </w:r>
    </w:p>
    <w:p>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20</w:t>
      </w:r>
      <w:r>
        <w:rPr>
          <w:rFonts w:hint="eastAsia" w:ascii="微软雅黑" w:hAnsi="微软雅黑" w:eastAsia="微软雅黑" w:cs="微软雅黑"/>
          <w:color w:val="333333"/>
          <w:shd w:val="clear" w:color="auto" w:fill="FFFFFF"/>
        </w:rPr>
        <w:t>年部门决算表</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七、一般公共预算财政拨款“三公”经费支出决算表（表7）</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20</w:t>
      </w:r>
      <w:r>
        <w:rPr>
          <w:rFonts w:hint="eastAsia" w:ascii="微软雅黑" w:hAnsi="微软雅黑" w:eastAsia="微软雅黑" w:cs="微软雅黑"/>
          <w:color w:val="333333"/>
          <w:shd w:val="clear" w:color="auto" w:fill="FFFFFF"/>
        </w:rPr>
        <w:t>年部门决算情况说明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lang w:eastAsia="zh-CN"/>
        </w:rPr>
      </w:pPr>
      <w:r>
        <w:rPr>
          <w:rFonts w:hint="eastAsia" w:ascii="微软雅黑" w:hAnsi="微软雅黑" w:eastAsia="微软雅黑" w:cs="微软雅黑"/>
          <w:color w:val="333333"/>
          <w:shd w:val="clear" w:color="auto" w:fill="FFFFFF"/>
          <w:lang w:eastAsia="zh-CN"/>
        </w:rPr>
        <w:t>六、重点绩效评价结果等预算绩效情况说明</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lang w:eastAsia="zh-CN"/>
        </w:rPr>
      </w:pP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8"/>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lang w:eastAsia="zh-CN"/>
        </w:rPr>
        <w:t>20</w:t>
      </w:r>
      <w:r>
        <w:rPr>
          <w:rStyle w:val="10"/>
          <w:rFonts w:hint="eastAsia" w:ascii="微软雅黑" w:hAnsi="微软雅黑" w:eastAsia="微软雅黑" w:cs="微软雅黑"/>
          <w:color w:val="333333"/>
          <w:shd w:val="clear" w:color="auto" w:fill="FFFFFF"/>
          <w:lang w:val="en-US" w:eastAsia="zh-CN"/>
        </w:rPr>
        <w:t>20</w:t>
      </w:r>
      <w:r>
        <w:rPr>
          <w:rStyle w:val="10"/>
          <w:rFonts w:hint="eastAsia" w:ascii="微软雅黑" w:hAnsi="微软雅黑" w:eastAsia="微软雅黑" w:cs="微软雅黑"/>
          <w:color w:val="333333"/>
          <w:shd w:val="clear" w:color="auto" w:fill="FFFFFF"/>
        </w:rPr>
        <w:t>年部门决算</w:t>
      </w:r>
    </w:p>
    <w:p>
      <w:pPr>
        <w:pStyle w:val="8"/>
        <w:widowControl/>
        <w:spacing w:before="76" w:beforeAutospacing="0" w:after="76" w:afterAutospacing="0" w:line="450" w:lineRule="atLeast"/>
        <w:ind w:firstLine="420"/>
        <w:rPr>
          <w:rStyle w:val="10"/>
          <w:rFonts w:hint="eastAsia"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第一部分部门概况</w:t>
      </w:r>
    </w:p>
    <w:p>
      <w:pPr>
        <w:pStyle w:val="8"/>
        <w:widowControl/>
        <w:spacing w:before="76" w:beforeAutospacing="0" w:after="76" w:afterAutospacing="0" w:line="450" w:lineRule="atLeast"/>
        <w:ind w:firstLine="42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主要职能</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p>
    <w:p>
      <w:pPr>
        <w:keepNext w:val="0"/>
        <w:keepLines w:val="0"/>
        <w:pageBreakBefore w:val="0"/>
        <w:numPr>
          <w:ilvl w:val="0"/>
          <w:numId w:val="1"/>
        </w:numPr>
        <w:kinsoku/>
        <w:wordWrap/>
        <w:overflowPunct/>
        <w:topLinePunct w:val="0"/>
        <w:autoSpaceDE/>
        <w:autoSpaceDN/>
        <w:bidi w:val="0"/>
        <w:adjustRightInd/>
        <w:snapToGrid/>
        <w:spacing w:line="440" w:lineRule="exact"/>
        <w:ind w:left="0" w:leftChars="0"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机构情况:</w:t>
      </w:r>
    </w:p>
    <w:p>
      <w:pPr>
        <w:pStyle w:val="8"/>
        <w:keepNext w:val="0"/>
        <w:keepLines w:val="0"/>
        <w:pageBreakBefore w:val="0"/>
        <w:widowControl/>
        <w:kinsoku/>
        <w:wordWrap/>
        <w:overflowPunct/>
        <w:topLinePunct w:val="0"/>
        <w:autoSpaceDE/>
        <w:autoSpaceDN/>
        <w:bidi w:val="0"/>
        <w:adjustRightInd/>
        <w:snapToGrid/>
        <w:spacing w:before="76" w:beforeAutospacing="0" w:after="76" w:afterAutospacing="0" w:line="440" w:lineRule="exact"/>
        <w:ind w:firstLine="42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内设机构：公共服务中心、经济服务中心、城管建设管理中心、综合办、党群办、法治办。</w:t>
      </w:r>
    </w:p>
    <w:p>
      <w:pPr>
        <w:pStyle w:val="8"/>
        <w:widowControl/>
        <w:spacing w:before="76" w:beforeAutospacing="0" w:after="76" w:afterAutospacing="0" w:line="450" w:lineRule="atLeast"/>
        <w:ind w:firstLine="420"/>
        <w:rPr>
          <w:rStyle w:val="10"/>
          <w:rFonts w:hint="eastAsia"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第二部分20</w:t>
      </w:r>
      <w:r>
        <w:rPr>
          <w:rStyle w:val="10"/>
          <w:rFonts w:hint="eastAsia" w:ascii="微软雅黑" w:hAnsi="微软雅黑" w:eastAsia="微软雅黑" w:cs="微软雅黑"/>
          <w:color w:val="333333"/>
          <w:shd w:val="clear" w:color="auto" w:fill="FFFFFF"/>
          <w:lang w:val="en-US" w:eastAsia="zh-CN"/>
        </w:rPr>
        <w:t>20</w:t>
      </w:r>
      <w:r>
        <w:rPr>
          <w:rStyle w:val="10"/>
          <w:rFonts w:hint="eastAsia" w:ascii="微软雅黑" w:hAnsi="微软雅黑" w:eastAsia="微软雅黑" w:cs="微软雅黑"/>
          <w:color w:val="333333"/>
          <w:shd w:val="clear" w:color="auto" w:fill="FFFFFF"/>
        </w:rPr>
        <w:t>年部门决算表</w:t>
      </w:r>
    </w:p>
    <w:p>
      <w:pPr>
        <w:pStyle w:val="8"/>
        <w:widowControl/>
        <w:spacing w:before="76" w:beforeAutospacing="0" w:after="76" w:afterAutospacing="0" w:line="450" w:lineRule="atLeast"/>
        <w:ind w:firstLine="420"/>
        <w:rPr>
          <w:rStyle w:val="10"/>
          <w:rFonts w:hint="eastAsia" w:ascii="微软雅黑" w:hAnsi="微软雅黑" w:eastAsia="微软雅黑" w:cs="微软雅黑"/>
          <w:color w:val="333333"/>
          <w:shd w:val="clear" w:color="auto" w:fill="FFFFFF"/>
        </w:rPr>
      </w:pPr>
      <w:r>
        <w:drawing>
          <wp:inline distT="0" distB="0" distL="114300" distR="114300">
            <wp:extent cx="8403590" cy="4620260"/>
            <wp:effectExtent l="0" t="0" r="16510" b="889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403590" cy="4620260"/>
                    </a:xfrm>
                    <a:prstGeom prst="rect">
                      <a:avLst/>
                    </a:prstGeom>
                    <a:noFill/>
                    <a:ln>
                      <a:noFill/>
                    </a:ln>
                  </pic:spPr>
                </pic:pic>
              </a:graphicData>
            </a:graphic>
          </wp:inline>
        </w:drawing>
      </w:r>
    </w:p>
    <w:p>
      <w:pPr>
        <w:pStyle w:val="8"/>
        <w:widowControl/>
        <w:spacing w:before="76" w:beforeAutospacing="0" w:after="76" w:afterAutospacing="0" w:line="450" w:lineRule="atLeast"/>
        <w:ind w:firstLine="420"/>
        <w:rPr>
          <w:rStyle w:val="10"/>
          <w:rFonts w:hint="eastAsia" w:ascii="微软雅黑" w:hAnsi="微软雅黑" w:eastAsia="微软雅黑" w:cs="微软雅黑"/>
          <w:color w:val="333333"/>
          <w:shd w:val="clear" w:color="auto" w:fill="FFFFFF"/>
        </w:rPr>
      </w:pPr>
      <w:r>
        <w:drawing>
          <wp:inline distT="0" distB="0" distL="114300" distR="114300">
            <wp:extent cx="8609965" cy="5010150"/>
            <wp:effectExtent l="0" t="0" r="63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609965" cy="5010150"/>
                    </a:xfrm>
                    <a:prstGeom prst="rect">
                      <a:avLst/>
                    </a:prstGeom>
                    <a:noFill/>
                    <a:ln>
                      <a:noFill/>
                    </a:ln>
                  </pic:spPr>
                </pic:pic>
              </a:graphicData>
            </a:graphic>
          </wp:inline>
        </w:drawing>
      </w:r>
    </w:p>
    <w:p>
      <w:pPr>
        <w:keepNext w:val="0"/>
        <w:keepLines w:val="0"/>
        <w:widowControl/>
        <w:suppressLineNumbers w:val="0"/>
        <w:jc w:val="left"/>
        <w:rPr>
          <w:rFonts w:ascii="宋体" w:hAnsi="宋体" w:eastAsia="宋体" w:cs="宋体"/>
          <w:kern w:val="0"/>
          <w:sz w:val="24"/>
          <w:szCs w:val="24"/>
          <w:lang w:val="en-US" w:eastAsia="zh-CN" w:bidi="ar"/>
        </w:rPr>
      </w:pPr>
    </w:p>
    <w:p>
      <w:pPr>
        <w:keepNext w:val="0"/>
        <w:keepLines w:val="0"/>
        <w:widowControl/>
        <w:suppressLineNumbers w:val="0"/>
        <w:jc w:val="left"/>
      </w:pPr>
      <w:r>
        <w:drawing>
          <wp:inline distT="0" distB="0" distL="114300" distR="114300">
            <wp:extent cx="8829675" cy="4562475"/>
            <wp:effectExtent l="0" t="0" r="9525" b="952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6"/>
                    <a:stretch>
                      <a:fillRect/>
                    </a:stretch>
                  </pic:blipFill>
                  <pic:spPr>
                    <a:xfrm>
                      <a:off x="0" y="0"/>
                      <a:ext cx="8829675" cy="4562475"/>
                    </a:xfrm>
                    <a:prstGeom prst="rect">
                      <a:avLst/>
                    </a:prstGeom>
                    <a:noFill/>
                    <a:ln>
                      <a:noFill/>
                    </a:ln>
                  </pic:spPr>
                </pic:pic>
              </a:graphicData>
            </a:graphic>
          </wp:inline>
        </w:drawing>
      </w:r>
    </w:p>
    <w:p>
      <w:pPr>
        <w:keepNext w:val="0"/>
        <w:keepLines w:val="0"/>
        <w:widowControl/>
        <w:suppressLineNumbers w:val="0"/>
        <w:jc w:val="left"/>
      </w:pPr>
    </w:p>
    <w:p>
      <w:pPr>
        <w:keepNext w:val="0"/>
        <w:keepLines w:val="0"/>
        <w:widowControl/>
        <w:suppressLineNumbers w:val="0"/>
        <w:jc w:val="left"/>
        <w:rPr>
          <w:lang w:val="en-US" w:eastAsia="zh-CN"/>
        </w:rPr>
      </w:pPr>
    </w:p>
    <w:p>
      <w:pPr>
        <w:keepNext w:val="0"/>
        <w:keepLines w:val="0"/>
        <w:widowControl/>
        <w:suppressLineNumbers w:val="0"/>
        <w:jc w:val="left"/>
        <w:rPr>
          <w:rFonts w:ascii="宋体" w:hAnsi="宋体" w:eastAsia="宋体" w:cs="宋体"/>
          <w:kern w:val="0"/>
          <w:sz w:val="24"/>
          <w:szCs w:val="24"/>
          <w:lang w:val="en-US" w:eastAsia="zh-CN" w:bidi="ar"/>
        </w:rPr>
      </w:pPr>
      <w:r>
        <w:drawing>
          <wp:inline distT="0" distB="0" distL="114300" distR="114300">
            <wp:extent cx="8781415" cy="4747260"/>
            <wp:effectExtent l="0" t="0" r="635" b="1524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7"/>
                    <a:stretch>
                      <a:fillRect/>
                    </a:stretch>
                  </pic:blipFill>
                  <pic:spPr>
                    <a:xfrm>
                      <a:off x="0" y="0"/>
                      <a:ext cx="8781415" cy="4747260"/>
                    </a:xfrm>
                    <a:prstGeom prst="rect">
                      <a:avLst/>
                    </a:prstGeom>
                    <a:noFill/>
                    <a:ln>
                      <a:noFill/>
                    </a:ln>
                  </pic:spPr>
                </pic:pic>
              </a:graphicData>
            </a:graphic>
          </wp:inline>
        </w:drawing>
      </w:r>
    </w:p>
    <w:p>
      <w:pPr>
        <w:keepNext w:val="0"/>
        <w:keepLines w:val="0"/>
        <w:widowControl/>
        <w:suppressLineNumbers w:val="0"/>
        <w:jc w:val="left"/>
        <w:rPr>
          <w:rFonts w:ascii="宋体" w:hAnsi="宋体" w:eastAsia="宋体" w:cs="宋体"/>
          <w:kern w:val="0"/>
          <w:sz w:val="24"/>
          <w:szCs w:val="24"/>
          <w:lang w:val="en-US" w:eastAsia="zh-CN" w:bidi="ar"/>
        </w:rPr>
      </w:pPr>
      <w:r>
        <w:drawing>
          <wp:inline distT="0" distB="0" distL="114300" distR="114300">
            <wp:extent cx="8646795" cy="5219700"/>
            <wp:effectExtent l="0" t="0" r="1905" b="0"/>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8"/>
                    <a:stretch>
                      <a:fillRect/>
                    </a:stretch>
                  </pic:blipFill>
                  <pic:spPr>
                    <a:xfrm>
                      <a:off x="0" y="0"/>
                      <a:ext cx="8646795" cy="5219700"/>
                    </a:xfrm>
                    <a:prstGeom prst="rect">
                      <a:avLst/>
                    </a:prstGeom>
                    <a:noFill/>
                    <a:ln>
                      <a:noFill/>
                    </a:ln>
                  </pic:spPr>
                </pic:pic>
              </a:graphicData>
            </a:graphic>
          </wp:inline>
        </w:drawing>
      </w:r>
    </w:p>
    <w:p>
      <w:pPr>
        <w:keepNext w:val="0"/>
        <w:keepLines w:val="0"/>
        <w:widowControl/>
        <w:suppressLineNumbers w:val="0"/>
        <w:jc w:val="left"/>
      </w:pPr>
      <w:r>
        <w:drawing>
          <wp:inline distT="0" distB="0" distL="114300" distR="114300">
            <wp:extent cx="8740775" cy="5273040"/>
            <wp:effectExtent l="0" t="0" r="3175" b="381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9"/>
                    <a:stretch>
                      <a:fillRect/>
                    </a:stretch>
                  </pic:blipFill>
                  <pic:spPr>
                    <a:xfrm>
                      <a:off x="0" y="0"/>
                      <a:ext cx="8740775" cy="5273040"/>
                    </a:xfrm>
                    <a:prstGeom prst="rect">
                      <a:avLst/>
                    </a:prstGeom>
                    <a:noFill/>
                    <a:ln>
                      <a:noFill/>
                    </a:ln>
                  </pic:spPr>
                </pic:pic>
              </a:graphicData>
            </a:graphic>
          </wp:inline>
        </w:drawing>
      </w:r>
    </w:p>
    <w:p>
      <w:pPr>
        <w:keepNext w:val="0"/>
        <w:keepLines w:val="0"/>
        <w:widowControl/>
        <w:suppressLineNumbers w:val="0"/>
        <w:jc w:val="left"/>
      </w:pPr>
    </w:p>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r>
        <w:drawing>
          <wp:inline distT="0" distB="0" distL="114300" distR="114300">
            <wp:extent cx="8853805" cy="3716655"/>
            <wp:effectExtent l="0" t="0" r="4445" b="17145"/>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10"/>
                    <a:stretch>
                      <a:fillRect/>
                    </a:stretch>
                  </pic:blipFill>
                  <pic:spPr>
                    <a:xfrm>
                      <a:off x="0" y="0"/>
                      <a:ext cx="8853805" cy="3716655"/>
                    </a:xfrm>
                    <a:prstGeom prst="rect">
                      <a:avLst/>
                    </a:prstGeom>
                    <a:noFill/>
                    <a:ln>
                      <a:noFill/>
                    </a:ln>
                  </pic:spPr>
                </pic:pic>
              </a:graphicData>
            </a:graphic>
          </wp:inline>
        </w:drawing>
      </w:r>
    </w:p>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p>
    <w:tbl>
      <w:tblPr>
        <w:tblStyle w:val="11"/>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Layout w:type="fixed"/>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tblPrEx>
          <w:shd w:val="clear" w:color="auto" w:fill="auto"/>
          <w:tblLayout w:type="fixed"/>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Layout w:type="fixed"/>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黄石市黄石港区胜阳港街道办事处</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shd w:val="clear" w:color="auto" w:fill="auto"/>
          <w:tblLayout w:type="fixed"/>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widowControl/>
        <w:suppressLineNumbers w:val="0"/>
        <w:jc w:val="left"/>
        <w:rPr>
          <w:rFonts w:hint="eastAsia" w:asciiTheme="minorEastAsia" w:hAnsiTheme="minorEastAsia" w:eastAsiaTheme="minorEastAsia" w:cstheme="minorEastAsia"/>
          <w:b w:val="0"/>
          <w:i w:val="0"/>
          <w:caps w:val="0"/>
          <w:color w:val="000000"/>
          <w:spacing w:val="0"/>
          <w:sz w:val="28"/>
          <w:szCs w:val="28"/>
          <w:shd w:val="clear" w:color="auto" w:fill="auto"/>
        </w:rPr>
      </w:pPr>
    </w:p>
    <w:p>
      <w:pPr>
        <w:pStyle w:val="8"/>
        <w:widowControl/>
        <w:spacing w:before="76" w:beforeAutospacing="0" w:after="76" w:afterAutospacing="0" w:line="450" w:lineRule="atLeast"/>
        <w:rPr>
          <w:color w:val="333333"/>
        </w:rPr>
      </w:pPr>
      <w:r>
        <w:rPr>
          <w:rStyle w:val="10"/>
          <w:rFonts w:hint="eastAsia" w:ascii="微软雅黑" w:hAnsi="微软雅黑" w:eastAsia="微软雅黑" w:cs="微软雅黑"/>
          <w:color w:val="333333"/>
          <w:shd w:val="clear" w:color="auto" w:fill="FFFFFF"/>
        </w:rPr>
        <w:t>第三部分</w:t>
      </w:r>
      <w:r>
        <w:rPr>
          <w:rStyle w:val="10"/>
          <w:rFonts w:hint="eastAsia" w:ascii="微软雅黑" w:hAnsi="微软雅黑" w:eastAsia="微软雅黑" w:cs="微软雅黑"/>
          <w:color w:val="333333"/>
          <w:shd w:val="clear" w:color="auto" w:fill="FFFFFF"/>
          <w:lang w:eastAsia="zh-CN"/>
        </w:rPr>
        <w:t>20</w:t>
      </w:r>
      <w:r>
        <w:rPr>
          <w:rStyle w:val="10"/>
          <w:rFonts w:hint="eastAsia" w:ascii="微软雅黑" w:hAnsi="微软雅黑" w:eastAsia="微软雅黑" w:cs="微软雅黑"/>
          <w:color w:val="333333"/>
          <w:shd w:val="clear" w:color="auto" w:fill="FFFFFF"/>
          <w:lang w:val="en-US" w:eastAsia="zh-CN"/>
        </w:rPr>
        <w:t>20</w:t>
      </w:r>
      <w:r>
        <w:rPr>
          <w:rStyle w:val="10"/>
          <w:rFonts w:hint="eastAsia" w:ascii="微软雅黑" w:hAnsi="微软雅黑" w:eastAsia="微软雅黑" w:cs="微软雅黑"/>
          <w:color w:val="333333"/>
          <w:shd w:val="clear" w:color="auto" w:fill="FFFFFF"/>
        </w:rPr>
        <w:t>年部门决算情况说明</w:t>
      </w:r>
    </w:p>
    <w:p>
      <w:pPr>
        <w:spacing w:line="560" w:lineRule="exact"/>
        <w:ind w:firstLine="562" w:firstLineChars="200"/>
        <w:jc w:val="left"/>
        <w:rPr>
          <w:rFonts w:ascii="黑体" w:hAnsi="黑体" w:eastAsia="黑体"/>
          <w:color w:val="0000FF"/>
          <w:sz w:val="32"/>
          <w:szCs w:val="32"/>
        </w:rPr>
      </w:pPr>
      <w:r>
        <w:rPr>
          <w:rFonts w:hint="eastAsia" w:ascii="宋体" w:hAnsi="宋体" w:cs="宋体"/>
          <w:b/>
          <w:bCs/>
          <w:sz w:val="28"/>
          <w:szCs w:val="28"/>
        </w:rPr>
        <w:t>（一）预算执行情况分析</w:t>
      </w:r>
    </w:p>
    <w:p>
      <w:pPr>
        <w:snapToGrid w:val="0"/>
        <w:spacing w:line="520" w:lineRule="exact"/>
        <w:ind w:firstLine="643" w:firstLineChars="200"/>
        <w:rPr>
          <w:rFonts w:ascii="楷体_GB2312" w:hAnsi="仿宋" w:eastAsia="楷体_GB2312"/>
          <w:b/>
          <w:color w:val="auto"/>
          <w:sz w:val="32"/>
          <w:szCs w:val="32"/>
        </w:rPr>
      </w:pPr>
      <w:r>
        <w:rPr>
          <w:rFonts w:hint="eastAsia" w:ascii="楷体_GB2312" w:hAnsi="仿宋" w:eastAsia="楷体_GB2312"/>
          <w:b/>
          <w:color w:val="auto"/>
          <w:sz w:val="32"/>
          <w:szCs w:val="32"/>
          <w:lang w:val="en-US" w:eastAsia="zh-CN"/>
        </w:rPr>
        <w:t>1、</w:t>
      </w:r>
      <w:r>
        <w:rPr>
          <w:rFonts w:hint="eastAsia" w:ascii="楷体_GB2312" w:hAnsi="仿宋" w:eastAsia="楷体_GB2312"/>
          <w:b/>
          <w:color w:val="auto"/>
          <w:sz w:val="32"/>
          <w:szCs w:val="32"/>
        </w:rPr>
        <w:t>收入支出预算安排情况。</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年初根据上一年度人员情况确认财政下拨预算数为</w:t>
      </w:r>
      <w:r>
        <w:rPr>
          <w:rFonts w:hint="eastAsia" w:ascii="仿宋_GB2312" w:hAnsi="仿宋" w:eastAsia="仿宋_GB2312"/>
          <w:sz w:val="32"/>
          <w:szCs w:val="32"/>
          <w:lang w:val="en-US" w:eastAsia="zh-CN"/>
        </w:rPr>
        <w:t>697.22</w:t>
      </w:r>
      <w:r>
        <w:rPr>
          <w:rFonts w:hint="eastAsia" w:ascii="仿宋_GB2312" w:hAnsi="仿宋" w:eastAsia="仿宋_GB2312"/>
          <w:sz w:val="32"/>
          <w:szCs w:val="32"/>
        </w:rPr>
        <w:t>万</w:t>
      </w:r>
      <w:r>
        <w:rPr>
          <w:rFonts w:hint="eastAsia" w:ascii="仿宋_GB2312" w:hAnsi="仿宋" w:eastAsia="仿宋_GB2312"/>
          <w:sz w:val="32"/>
          <w:szCs w:val="32"/>
          <w:lang w:eastAsia="zh-CN"/>
        </w:rPr>
        <w:t>元</w:t>
      </w:r>
      <w:r>
        <w:rPr>
          <w:rFonts w:hint="eastAsia" w:ascii="仿宋_GB2312" w:hAnsi="仿宋" w:eastAsia="仿宋_GB2312"/>
          <w:sz w:val="32"/>
          <w:szCs w:val="32"/>
        </w:rPr>
        <w:t>，人员经费</w:t>
      </w:r>
      <w:r>
        <w:rPr>
          <w:rFonts w:hint="eastAsia" w:ascii="仿宋_GB2312" w:hAnsi="仿宋" w:eastAsia="仿宋_GB2312"/>
          <w:sz w:val="32"/>
          <w:szCs w:val="32"/>
          <w:lang w:val="en-US" w:eastAsia="zh-CN"/>
        </w:rPr>
        <w:t>590.53</w:t>
      </w:r>
      <w:r>
        <w:rPr>
          <w:rFonts w:hint="eastAsia" w:ascii="仿宋_GB2312" w:hAnsi="仿宋" w:eastAsia="仿宋_GB2312"/>
          <w:sz w:val="32"/>
          <w:szCs w:val="32"/>
        </w:rPr>
        <w:t>万，公用经费</w:t>
      </w:r>
      <w:r>
        <w:rPr>
          <w:rFonts w:hint="eastAsia" w:ascii="仿宋_GB2312" w:hAnsi="仿宋" w:eastAsia="仿宋_GB2312"/>
          <w:sz w:val="32"/>
          <w:szCs w:val="32"/>
          <w:lang w:val="en-US" w:eastAsia="zh-CN"/>
        </w:rPr>
        <w:t>106.69</w:t>
      </w:r>
      <w:r>
        <w:rPr>
          <w:rFonts w:hint="eastAsia" w:ascii="仿宋_GB2312" w:hAnsi="仿宋" w:eastAsia="仿宋_GB2312"/>
          <w:sz w:val="32"/>
          <w:szCs w:val="32"/>
        </w:rPr>
        <w:t>万，</w:t>
      </w:r>
      <w:r>
        <w:rPr>
          <w:rFonts w:hint="eastAsia" w:ascii="仿宋_GB2312" w:hAnsi="仿宋" w:eastAsia="仿宋_GB2312"/>
          <w:sz w:val="32"/>
          <w:szCs w:val="32"/>
          <w:lang w:eastAsia="zh-CN"/>
        </w:rPr>
        <w:t>实际支出</w:t>
      </w:r>
      <w:r>
        <w:rPr>
          <w:rFonts w:hint="eastAsia" w:ascii="仿宋_GB2312" w:hAnsi="仿宋" w:eastAsia="仿宋_GB2312"/>
          <w:sz w:val="32"/>
          <w:szCs w:val="32"/>
          <w:lang w:val="en-US" w:eastAsia="zh-CN"/>
        </w:rPr>
        <w:t>1485.94万元，</w:t>
      </w:r>
      <w:r>
        <w:rPr>
          <w:rFonts w:hint="eastAsia" w:ascii="仿宋_GB2312" w:hAnsi="仿宋" w:eastAsia="仿宋_GB2312"/>
          <w:sz w:val="32"/>
          <w:szCs w:val="32"/>
        </w:rPr>
        <w:t>增长</w:t>
      </w:r>
      <w:r>
        <w:rPr>
          <w:rFonts w:hint="eastAsia" w:ascii="仿宋_GB2312" w:hAnsi="仿宋" w:eastAsia="仿宋_GB2312"/>
          <w:sz w:val="32"/>
          <w:szCs w:val="32"/>
          <w:lang w:val="en-US" w:eastAsia="zh-CN"/>
        </w:rPr>
        <w:t>53.08</w:t>
      </w:r>
      <w:r>
        <w:rPr>
          <w:rFonts w:hint="eastAsia" w:ascii="仿宋_GB2312" w:hAnsi="仿宋" w:eastAsia="仿宋_GB2312"/>
          <w:sz w:val="32"/>
          <w:szCs w:val="32"/>
        </w:rPr>
        <w:t>%，201</w:t>
      </w:r>
      <w:r>
        <w:rPr>
          <w:rFonts w:hint="eastAsia" w:ascii="仿宋_GB2312" w:hAnsi="仿宋" w:eastAsia="仿宋_GB2312"/>
          <w:sz w:val="32"/>
          <w:szCs w:val="32"/>
          <w:lang w:val="en-US" w:eastAsia="zh-CN"/>
        </w:rPr>
        <w:t>9</w:t>
      </w:r>
      <w:r>
        <w:rPr>
          <w:rFonts w:hint="eastAsia" w:ascii="仿宋_GB2312" w:hAnsi="仿宋" w:eastAsia="仿宋_GB2312"/>
          <w:sz w:val="32"/>
          <w:szCs w:val="32"/>
        </w:rPr>
        <w:t>年预算数为945.62万，因为20</w:t>
      </w:r>
      <w:r>
        <w:rPr>
          <w:rFonts w:hint="eastAsia" w:ascii="仿宋_GB2312" w:hAnsi="仿宋" w:eastAsia="仿宋_GB2312"/>
          <w:sz w:val="32"/>
          <w:szCs w:val="32"/>
          <w:lang w:val="en-US" w:eastAsia="zh-CN"/>
        </w:rPr>
        <w:t>20</w:t>
      </w:r>
      <w:r>
        <w:rPr>
          <w:rFonts w:hint="eastAsia" w:ascii="仿宋_GB2312" w:hAnsi="仿宋" w:eastAsia="仿宋_GB2312"/>
          <w:sz w:val="32"/>
          <w:szCs w:val="32"/>
        </w:rPr>
        <w:t>年较201</w:t>
      </w:r>
      <w:r>
        <w:rPr>
          <w:rFonts w:hint="eastAsia" w:ascii="仿宋_GB2312" w:hAnsi="仿宋" w:eastAsia="仿宋_GB2312"/>
          <w:sz w:val="32"/>
          <w:szCs w:val="32"/>
          <w:lang w:val="en-US" w:eastAsia="zh-CN"/>
        </w:rPr>
        <w:t>9</w:t>
      </w:r>
      <w:r>
        <w:rPr>
          <w:rFonts w:hint="eastAsia" w:ascii="仿宋_GB2312" w:hAnsi="仿宋" w:eastAsia="仿宋_GB2312"/>
          <w:sz w:val="32"/>
          <w:szCs w:val="32"/>
        </w:rPr>
        <w:t>年增加一个社区</w:t>
      </w:r>
      <w:r>
        <w:rPr>
          <w:rFonts w:hint="eastAsia" w:ascii="仿宋_GB2312" w:hAnsi="仿宋" w:eastAsia="仿宋_GB2312"/>
          <w:sz w:val="32"/>
          <w:szCs w:val="32"/>
          <w:lang w:eastAsia="zh-CN"/>
        </w:rPr>
        <w:t>及城</w:t>
      </w:r>
      <w:r>
        <w:rPr>
          <w:rFonts w:hint="eastAsia" w:ascii="仿宋_GB2312" w:hAnsi="仿宋" w:eastAsia="仿宋_GB2312"/>
          <w:sz w:val="32"/>
          <w:szCs w:val="32"/>
        </w:rPr>
        <w:t>管局的职能</w:t>
      </w:r>
      <w:r>
        <w:rPr>
          <w:rFonts w:hint="eastAsia" w:ascii="仿宋_GB2312" w:hAnsi="仿宋" w:eastAsia="仿宋_GB2312"/>
          <w:sz w:val="32"/>
          <w:szCs w:val="32"/>
          <w:lang w:eastAsia="zh-CN"/>
        </w:rPr>
        <w:t>全年</w:t>
      </w:r>
      <w:r>
        <w:rPr>
          <w:rFonts w:hint="eastAsia" w:ascii="仿宋_GB2312" w:hAnsi="仿宋" w:eastAsia="仿宋_GB2312"/>
          <w:sz w:val="32"/>
          <w:szCs w:val="32"/>
        </w:rPr>
        <w:t>下放到街道</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2019年只有部份经费）</w:t>
      </w:r>
      <w:r>
        <w:rPr>
          <w:rFonts w:hint="eastAsia" w:ascii="仿宋_GB2312" w:hAnsi="仿宋" w:eastAsia="仿宋_GB2312"/>
          <w:sz w:val="32"/>
          <w:szCs w:val="32"/>
        </w:rPr>
        <w:t>。</w:t>
      </w:r>
    </w:p>
    <w:p>
      <w:pPr>
        <w:numPr>
          <w:ilvl w:val="0"/>
          <w:numId w:val="2"/>
        </w:numPr>
        <w:snapToGrid w:val="0"/>
        <w:spacing w:line="520" w:lineRule="exact"/>
        <w:ind w:firstLine="643" w:firstLineChars="200"/>
        <w:rPr>
          <w:rFonts w:hint="eastAsia" w:ascii="楷体_GB2312" w:hAnsi="仿宋" w:eastAsia="楷体_GB2312"/>
          <w:b/>
          <w:color w:val="auto"/>
          <w:sz w:val="32"/>
          <w:szCs w:val="32"/>
        </w:rPr>
      </w:pPr>
      <w:r>
        <w:rPr>
          <w:rFonts w:hint="eastAsia" w:ascii="楷体_GB2312" w:hAnsi="仿宋" w:eastAsia="楷体_GB2312"/>
          <w:b/>
          <w:color w:val="auto"/>
          <w:sz w:val="32"/>
          <w:szCs w:val="32"/>
        </w:rPr>
        <w:t>收入支出预算执行情况。</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1）</w:t>
      </w:r>
      <w:r>
        <w:rPr>
          <w:rFonts w:hint="eastAsia" w:ascii="仿宋_GB2312" w:hAnsi="仿宋" w:eastAsia="仿宋_GB2312"/>
          <w:sz w:val="32"/>
          <w:szCs w:val="32"/>
        </w:rPr>
        <w:t>本年实际财政拨款收入</w:t>
      </w:r>
      <w:r>
        <w:rPr>
          <w:rFonts w:hint="eastAsia" w:ascii="仿宋_GB2312" w:hAnsi="仿宋" w:eastAsia="仿宋_GB2312"/>
          <w:sz w:val="32"/>
          <w:szCs w:val="32"/>
          <w:lang w:val="en-US" w:eastAsia="zh-CN"/>
        </w:rPr>
        <w:t>1485.94</w:t>
      </w:r>
      <w:r>
        <w:rPr>
          <w:rFonts w:hint="eastAsia" w:ascii="仿宋_GB2312" w:hAnsi="仿宋" w:eastAsia="仿宋_GB2312"/>
          <w:sz w:val="32"/>
          <w:szCs w:val="32"/>
        </w:rPr>
        <w:t>万，本年实际支出</w:t>
      </w:r>
      <w:r>
        <w:rPr>
          <w:rFonts w:hint="eastAsia" w:ascii="仿宋_GB2312" w:hAnsi="仿宋" w:eastAsia="仿宋_GB2312"/>
          <w:sz w:val="32"/>
          <w:szCs w:val="32"/>
          <w:lang w:val="en-US" w:eastAsia="zh-CN"/>
        </w:rPr>
        <w:t>1485.94</w:t>
      </w:r>
      <w:r>
        <w:rPr>
          <w:rFonts w:hint="eastAsia" w:ascii="仿宋_GB2312" w:hAnsi="仿宋" w:eastAsia="仿宋_GB2312"/>
          <w:sz w:val="32"/>
          <w:szCs w:val="32"/>
        </w:rPr>
        <w:t>万，收支一致</w:t>
      </w:r>
      <w:r>
        <w:rPr>
          <w:rFonts w:hint="eastAsia" w:ascii="仿宋_GB2312" w:hAnsi="仿宋" w:eastAsia="仿宋_GB2312"/>
          <w:sz w:val="32"/>
          <w:szCs w:val="32"/>
          <w:lang w:eastAsia="zh-CN"/>
        </w:rPr>
        <w:t>。</w:t>
      </w:r>
      <w:r>
        <w:rPr>
          <w:rFonts w:hint="eastAsia" w:ascii="仿宋_GB2312" w:hAnsi="仿宋" w:eastAsia="仿宋_GB2312"/>
          <w:sz w:val="32"/>
          <w:szCs w:val="32"/>
        </w:rPr>
        <w:t>20</w:t>
      </w:r>
      <w:r>
        <w:rPr>
          <w:rFonts w:hint="eastAsia" w:ascii="仿宋_GB2312" w:hAnsi="仿宋" w:eastAsia="仿宋_GB2312"/>
          <w:sz w:val="32"/>
          <w:szCs w:val="32"/>
          <w:lang w:val="en-US" w:eastAsia="zh-CN"/>
        </w:rPr>
        <w:t>20</w:t>
      </w:r>
      <w:r>
        <w:rPr>
          <w:rFonts w:hint="eastAsia" w:ascii="仿宋_GB2312" w:hAnsi="仿宋" w:eastAsia="仿宋_GB2312"/>
          <w:sz w:val="32"/>
          <w:szCs w:val="32"/>
        </w:rPr>
        <w:t>年预算数为</w:t>
      </w:r>
      <w:r>
        <w:rPr>
          <w:rFonts w:hint="eastAsia" w:ascii="仿宋_GB2312" w:hAnsi="仿宋" w:eastAsia="仿宋_GB2312"/>
          <w:sz w:val="32"/>
          <w:szCs w:val="32"/>
          <w:lang w:val="en-US" w:eastAsia="zh-CN"/>
        </w:rPr>
        <w:t>697.22</w:t>
      </w:r>
      <w:r>
        <w:rPr>
          <w:rFonts w:hint="eastAsia" w:ascii="仿宋_GB2312" w:hAnsi="仿宋" w:eastAsia="仿宋_GB2312"/>
          <w:sz w:val="32"/>
          <w:szCs w:val="32"/>
        </w:rPr>
        <w:t>万元，决算数为</w:t>
      </w:r>
      <w:r>
        <w:rPr>
          <w:rFonts w:hint="eastAsia" w:ascii="仿宋_GB2312" w:hAnsi="仿宋" w:eastAsia="仿宋_GB2312"/>
          <w:sz w:val="32"/>
          <w:szCs w:val="32"/>
          <w:lang w:val="en-US" w:eastAsia="zh-CN"/>
        </w:rPr>
        <w:t>1485.94</w:t>
      </w:r>
      <w:r>
        <w:rPr>
          <w:rFonts w:hint="eastAsia" w:ascii="仿宋_GB2312" w:hAnsi="仿宋" w:eastAsia="仿宋_GB2312"/>
          <w:sz w:val="32"/>
          <w:szCs w:val="32"/>
        </w:rPr>
        <w:t>万元，城管协管队员25是2019年8月份职能下放致街道，</w:t>
      </w:r>
      <w:r>
        <w:rPr>
          <w:rFonts w:hint="eastAsia" w:ascii="仿宋_GB2312" w:hAnsi="仿宋" w:eastAsia="仿宋_GB2312"/>
          <w:sz w:val="32"/>
          <w:szCs w:val="32"/>
          <w:lang w:eastAsia="zh-CN"/>
        </w:rPr>
        <w:t>后根据需要又陆续招聘了</w:t>
      </w:r>
      <w:r>
        <w:rPr>
          <w:rFonts w:hint="eastAsia" w:ascii="仿宋_GB2312" w:hAnsi="仿宋" w:eastAsia="仿宋_GB2312"/>
          <w:sz w:val="32"/>
          <w:szCs w:val="32"/>
          <w:lang w:val="en-US" w:eastAsia="zh-CN"/>
        </w:rPr>
        <w:t>10个协管队员，</w:t>
      </w:r>
      <w:r>
        <w:rPr>
          <w:rFonts w:hint="eastAsia" w:ascii="仿宋_GB2312" w:hAnsi="仿宋" w:eastAsia="仿宋_GB2312"/>
          <w:sz w:val="32"/>
          <w:szCs w:val="32"/>
        </w:rPr>
        <w:t>该项年初也未列入预算中。</w:t>
      </w:r>
      <w:r>
        <w:rPr>
          <w:rFonts w:hint="eastAsia" w:ascii="仿宋_GB2312" w:hAnsi="仿宋" w:eastAsia="仿宋_GB2312"/>
          <w:sz w:val="32"/>
          <w:szCs w:val="32"/>
          <w:lang w:eastAsia="zh-CN"/>
        </w:rPr>
        <w:t>同时</w:t>
      </w:r>
      <w:r>
        <w:rPr>
          <w:rFonts w:hint="eastAsia" w:ascii="仿宋_GB2312" w:hAnsi="仿宋" w:eastAsia="仿宋_GB2312"/>
          <w:sz w:val="32"/>
          <w:szCs w:val="32"/>
        </w:rPr>
        <w:t>存在社区各类专项资金年初也并未纳入预算，年中发生时申请拨入。</w:t>
      </w:r>
    </w:p>
    <w:p>
      <w:pPr>
        <w:snapToGrid w:val="0"/>
        <w:spacing w:line="520" w:lineRule="exact"/>
        <w:ind w:firstLine="643" w:firstLineChars="200"/>
        <w:rPr>
          <w:rFonts w:ascii="仿宋_GB2312" w:hAnsi="仿宋" w:eastAsia="仿宋_GB2312"/>
          <w:b/>
          <w:sz w:val="32"/>
          <w:szCs w:val="32"/>
        </w:rPr>
      </w:pPr>
      <w:r>
        <w:rPr>
          <w:rFonts w:hint="eastAsia" w:ascii="仿宋_GB2312" w:hAnsi="仿宋" w:eastAsia="仿宋_GB2312"/>
          <w:b/>
          <w:sz w:val="32"/>
          <w:szCs w:val="32"/>
          <w:lang w:eastAsia="zh-CN"/>
        </w:rPr>
        <w:t>（</w:t>
      </w:r>
      <w:r>
        <w:rPr>
          <w:rFonts w:hint="eastAsia" w:ascii="仿宋_GB2312" w:hAnsi="仿宋" w:eastAsia="仿宋_GB2312"/>
          <w:b/>
          <w:sz w:val="32"/>
          <w:szCs w:val="32"/>
          <w:lang w:val="en-US" w:eastAsia="zh-CN"/>
        </w:rPr>
        <w:t>2）</w:t>
      </w:r>
      <w:r>
        <w:rPr>
          <w:rFonts w:hint="eastAsia" w:ascii="仿宋_GB2312" w:hAnsi="仿宋" w:eastAsia="仿宋_GB2312"/>
          <w:b/>
          <w:sz w:val="32"/>
          <w:szCs w:val="32"/>
        </w:rPr>
        <w:t>收入支出结构分析。</w:t>
      </w:r>
    </w:p>
    <w:p>
      <w:pPr>
        <w:numPr>
          <w:ilvl w:val="0"/>
          <w:numId w:val="0"/>
        </w:numPr>
        <w:snapToGrid w:val="0"/>
        <w:spacing w:line="520" w:lineRule="exact"/>
        <w:ind w:firstLine="640" w:firstLineChars="200"/>
        <w:rPr>
          <w:rFonts w:hint="eastAsia" w:ascii="楷体_GB2312" w:hAnsi="仿宋" w:eastAsia="楷体_GB2312"/>
          <w:b/>
          <w:color w:val="auto"/>
          <w:sz w:val="32"/>
          <w:szCs w:val="32"/>
        </w:rPr>
      </w:pPr>
      <w:r>
        <w:rPr>
          <w:rFonts w:hint="eastAsia" w:ascii="仿宋_GB2312" w:hAnsi="仿宋" w:eastAsia="仿宋_GB2312"/>
          <w:sz w:val="32"/>
          <w:szCs w:val="32"/>
        </w:rPr>
        <w:t>工资福利支出占比</w:t>
      </w:r>
      <w:r>
        <w:rPr>
          <w:rFonts w:hint="eastAsia" w:ascii="仿宋_GB2312" w:hAnsi="仿宋" w:eastAsia="仿宋_GB2312"/>
          <w:sz w:val="32"/>
          <w:szCs w:val="32"/>
          <w:lang w:val="en-US" w:eastAsia="zh-CN"/>
        </w:rPr>
        <w:t>30.16</w:t>
      </w:r>
      <w:r>
        <w:rPr>
          <w:rFonts w:hint="eastAsia" w:ascii="仿宋_GB2312" w:hAnsi="仿宋" w:eastAsia="仿宋_GB2312"/>
          <w:sz w:val="32"/>
          <w:szCs w:val="32"/>
        </w:rPr>
        <w:t>%，商品和服务支出占比</w:t>
      </w:r>
      <w:r>
        <w:rPr>
          <w:rFonts w:hint="eastAsia" w:ascii="仿宋_GB2312" w:hAnsi="仿宋" w:eastAsia="仿宋_GB2312"/>
          <w:sz w:val="32"/>
          <w:szCs w:val="32"/>
          <w:lang w:val="en-US" w:eastAsia="zh-CN"/>
        </w:rPr>
        <w:t>69.84</w:t>
      </w:r>
      <w:r>
        <w:rPr>
          <w:rFonts w:hint="eastAsia" w:ascii="仿宋_GB2312" w:hAnsi="仿宋" w:eastAsia="仿宋_GB2312"/>
          <w:sz w:val="32"/>
          <w:szCs w:val="32"/>
        </w:rPr>
        <w:t>%，</w:t>
      </w:r>
    </w:p>
    <w:p>
      <w:pPr>
        <w:snapToGrid w:val="0"/>
        <w:spacing w:line="520" w:lineRule="exact"/>
        <w:ind w:firstLine="640" w:firstLineChars="200"/>
        <w:rPr>
          <w:rFonts w:ascii="仿宋_GB2312" w:hAnsi="仿宋" w:eastAsia="仿宋_GB2312"/>
          <w:color w:val="auto"/>
          <w:sz w:val="32"/>
          <w:szCs w:val="32"/>
        </w:rPr>
      </w:pPr>
    </w:p>
    <w:p>
      <w:pPr>
        <w:snapToGrid w:val="0"/>
        <w:spacing w:line="520" w:lineRule="exact"/>
        <w:ind w:firstLine="640" w:firstLineChars="200"/>
        <w:rPr>
          <w:rFonts w:ascii="仿宋_GB2312" w:hAnsi="仿宋" w:eastAsia="仿宋_GB2312"/>
          <w:color w:val="auto"/>
          <w:sz w:val="32"/>
          <w:szCs w:val="32"/>
        </w:rPr>
      </w:pPr>
    </w:p>
    <w:p>
      <w:pPr>
        <w:snapToGrid w:val="0"/>
        <w:spacing w:line="520" w:lineRule="exact"/>
        <w:ind w:firstLine="643" w:firstLineChars="200"/>
        <w:rPr>
          <w:rFonts w:ascii="仿宋_GB2312" w:hAnsi="仿宋" w:eastAsia="仿宋_GB2312"/>
          <w:b/>
          <w:color w:val="auto"/>
          <w:sz w:val="32"/>
          <w:szCs w:val="32"/>
        </w:rPr>
      </w:pPr>
      <w:r>
        <w:rPr>
          <w:rFonts w:hint="eastAsia" w:ascii="仿宋_GB2312" w:hAnsi="仿宋" w:eastAsia="仿宋_GB2312"/>
          <w:b/>
          <w:color w:val="auto"/>
          <w:sz w:val="32"/>
          <w:szCs w:val="32"/>
          <w:lang w:eastAsia="zh-CN"/>
        </w:rPr>
        <w:t>（</w:t>
      </w:r>
      <w:r>
        <w:rPr>
          <w:rFonts w:hint="eastAsia" w:ascii="仿宋_GB2312" w:hAnsi="仿宋" w:eastAsia="仿宋_GB2312"/>
          <w:b/>
          <w:color w:val="auto"/>
          <w:sz w:val="32"/>
          <w:szCs w:val="32"/>
          <w:lang w:val="en-US" w:eastAsia="zh-CN"/>
        </w:rPr>
        <w:t>3）</w:t>
      </w:r>
      <w:r>
        <w:rPr>
          <w:rFonts w:hint="eastAsia" w:ascii="仿宋_GB2312" w:hAnsi="仿宋" w:eastAsia="仿宋_GB2312"/>
          <w:b/>
          <w:color w:val="auto"/>
          <w:sz w:val="32"/>
          <w:szCs w:val="32"/>
        </w:rPr>
        <w:t>财政拨款收入、支出分析。</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本年度较上年度相比收入和支出有所增加，</w:t>
      </w:r>
      <w:r>
        <w:rPr>
          <w:rFonts w:hint="eastAsia" w:ascii="仿宋_GB2312" w:hAnsi="仿宋" w:eastAsia="仿宋_GB2312"/>
          <w:sz w:val="32"/>
          <w:szCs w:val="32"/>
          <w:lang w:eastAsia="zh-CN"/>
        </w:rPr>
        <w:t>本年度支出为</w:t>
      </w:r>
      <w:r>
        <w:rPr>
          <w:rFonts w:hint="eastAsia" w:ascii="仿宋_GB2312" w:hAnsi="仿宋" w:eastAsia="仿宋_GB2312"/>
          <w:sz w:val="32"/>
          <w:szCs w:val="32"/>
          <w:lang w:val="en-US" w:eastAsia="zh-CN"/>
        </w:rPr>
        <w:t>1485.94万元，2019年支出为945.62万元，</w:t>
      </w:r>
      <w:r>
        <w:rPr>
          <w:rFonts w:hint="eastAsia" w:ascii="仿宋_GB2312" w:hAnsi="仿宋" w:eastAsia="仿宋_GB2312"/>
          <w:sz w:val="32"/>
          <w:szCs w:val="32"/>
        </w:rPr>
        <w:t>增加比例为</w:t>
      </w:r>
      <w:r>
        <w:rPr>
          <w:rFonts w:hint="eastAsia" w:ascii="仿宋_GB2312" w:hAnsi="仿宋" w:eastAsia="仿宋_GB2312"/>
          <w:sz w:val="32"/>
          <w:szCs w:val="32"/>
          <w:lang w:val="en-US" w:eastAsia="zh-CN"/>
        </w:rPr>
        <w:t>57.85</w:t>
      </w:r>
      <w:r>
        <w:rPr>
          <w:rFonts w:hint="eastAsia" w:ascii="仿宋_GB2312" w:hAnsi="仿宋" w:eastAsia="仿宋_GB2312"/>
          <w:sz w:val="32"/>
          <w:szCs w:val="32"/>
        </w:rPr>
        <w:t>%。</w:t>
      </w:r>
    </w:p>
    <w:p>
      <w:pPr>
        <w:widowControl/>
        <w:shd w:val="clear" w:color="auto" w:fill="FFFFFF"/>
        <w:ind w:firstLine="480"/>
        <w:jc w:val="left"/>
        <w:rPr>
          <w:rFonts w:hint="eastAsia" w:ascii="宋体" w:hAnsi="宋体" w:cs="宋体"/>
          <w:b/>
          <w:bCs/>
          <w:color w:val="auto"/>
          <w:sz w:val="28"/>
          <w:szCs w:val="28"/>
        </w:rPr>
      </w:pPr>
      <w:r>
        <w:rPr>
          <w:rFonts w:hint="eastAsia" w:ascii="宋体" w:hAnsi="宋体" w:cs="宋体"/>
          <w:b/>
          <w:bCs/>
          <w:color w:val="auto"/>
          <w:sz w:val="28"/>
          <w:szCs w:val="28"/>
        </w:rPr>
        <w:t>（二）关于“三公”经费支出说明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1、我单位</w:t>
      </w:r>
      <w:r>
        <w:rPr>
          <w:rFonts w:hint="eastAsia" w:ascii="宋体" w:hAnsi="宋体" w:cs="宋体"/>
          <w:sz w:val="28"/>
          <w:szCs w:val="28"/>
          <w:lang w:eastAsia="zh-CN"/>
        </w:rPr>
        <w:t>20</w:t>
      </w:r>
      <w:r>
        <w:rPr>
          <w:rFonts w:hint="eastAsia" w:ascii="宋体" w:hAnsi="宋体" w:cs="宋体"/>
          <w:sz w:val="28"/>
          <w:szCs w:val="28"/>
          <w:lang w:val="en-US" w:eastAsia="zh-CN"/>
        </w:rPr>
        <w:t>20</w:t>
      </w:r>
      <w:r>
        <w:rPr>
          <w:rFonts w:hint="eastAsia" w:ascii="宋体" w:hAnsi="宋体" w:cs="宋体"/>
          <w:sz w:val="28"/>
          <w:szCs w:val="28"/>
        </w:rPr>
        <w:t>年因公出国（境）费0元　</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2、</w:t>
      </w:r>
      <w:r>
        <w:rPr>
          <w:rFonts w:hint="eastAsia" w:ascii="宋体" w:hAnsi="宋体" w:cs="宋体"/>
          <w:sz w:val="28"/>
          <w:szCs w:val="28"/>
          <w:lang w:eastAsia="zh-CN"/>
        </w:rPr>
        <w:t>20</w:t>
      </w:r>
      <w:r>
        <w:rPr>
          <w:rFonts w:hint="eastAsia" w:ascii="宋体" w:hAnsi="宋体" w:cs="宋体"/>
          <w:sz w:val="28"/>
          <w:szCs w:val="28"/>
          <w:lang w:val="en-US" w:eastAsia="zh-CN"/>
        </w:rPr>
        <w:t>20</w:t>
      </w:r>
      <w:r>
        <w:rPr>
          <w:rFonts w:hint="eastAsia" w:ascii="宋体" w:hAnsi="宋体" w:cs="宋体"/>
          <w:sz w:val="28"/>
          <w:szCs w:val="28"/>
        </w:rPr>
        <w:t>年无公务用车购置及运行维护费</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3、</w:t>
      </w:r>
      <w:r>
        <w:rPr>
          <w:rFonts w:hint="eastAsia" w:ascii="宋体" w:hAnsi="宋体" w:cs="宋体"/>
          <w:sz w:val="28"/>
          <w:szCs w:val="28"/>
          <w:lang w:eastAsia="zh-CN"/>
        </w:rPr>
        <w:t>20</w:t>
      </w:r>
      <w:r>
        <w:rPr>
          <w:rFonts w:hint="eastAsia" w:ascii="宋体" w:hAnsi="宋体" w:cs="宋体"/>
          <w:sz w:val="28"/>
          <w:szCs w:val="28"/>
          <w:lang w:val="en-US" w:eastAsia="zh-CN"/>
        </w:rPr>
        <w:t>20</w:t>
      </w:r>
      <w:r>
        <w:rPr>
          <w:rFonts w:hint="eastAsia" w:ascii="宋体" w:hAnsi="宋体" w:cs="宋体"/>
          <w:sz w:val="28"/>
          <w:szCs w:val="28"/>
        </w:rPr>
        <w:t>年无公务接待费</w:t>
      </w:r>
    </w:p>
    <w:p>
      <w:pPr>
        <w:widowControl/>
        <w:shd w:val="clear" w:color="auto" w:fill="FFFFFF"/>
        <w:ind w:firstLine="480"/>
        <w:jc w:val="left"/>
        <w:rPr>
          <w:rFonts w:hint="eastAsia" w:ascii="宋体" w:hAnsi="宋体" w:cs="宋体"/>
          <w:sz w:val="28"/>
          <w:szCs w:val="28"/>
        </w:rPr>
      </w:pPr>
      <w:r>
        <w:rPr>
          <w:rFonts w:hint="eastAsia" w:ascii="宋体" w:hAnsi="宋体" w:cs="宋体"/>
          <w:b/>
          <w:bCs/>
          <w:sz w:val="28"/>
          <w:szCs w:val="28"/>
        </w:rPr>
        <w:t>（三）关于机关运行经费支出说明</w:t>
      </w:r>
    </w:p>
    <w:p>
      <w:pPr>
        <w:widowControl/>
        <w:shd w:val="clear" w:color="auto" w:fill="FFFFFF"/>
        <w:ind w:firstLine="480"/>
        <w:jc w:val="left"/>
        <w:rPr>
          <w:rFonts w:hint="default" w:ascii="宋体" w:hAnsi="宋体" w:cs="宋体"/>
          <w:sz w:val="28"/>
          <w:szCs w:val="28"/>
          <w:lang w:val="en-US"/>
        </w:rPr>
      </w:pPr>
      <w:r>
        <w:rPr>
          <w:rFonts w:hint="eastAsia" w:ascii="宋体" w:hAnsi="宋体" w:cs="宋体"/>
          <w:sz w:val="28"/>
          <w:szCs w:val="28"/>
        </w:rPr>
        <w:t>本单位</w:t>
      </w:r>
      <w:r>
        <w:rPr>
          <w:rFonts w:hint="eastAsia" w:ascii="宋体" w:hAnsi="宋体" w:cs="宋体"/>
          <w:sz w:val="28"/>
          <w:szCs w:val="28"/>
          <w:lang w:val="en-US" w:eastAsia="zh-CN"/>
        </w:rPr>
        <w:t>2020</w:t>
      </w:r>
      <w:r>
        <w:rPr>
          <w:rFonts w:hint="eastAsia" w:ascii="宋体" w:hAnsi="宋体" w:cs="宋体"/>
          <w:sz w:val="28"/>
          <w:szCs w:val="28"/>
        </w:rPr>
        <w:t>年度机关运行经费支出</w:t>
      </w:r>
      <w:r>
        <w:rPr>
          <w:rFonts w:hint="eastAsia" w:ascii="宋体" w:hAnsi="宋体" w:cs="宋体"/>
          <w:sz w:val="28"/>
          <w:szCs w:val="28"/>
          <w:lang w:val="en-US" w:eastAsia="zh-CN"/>
        </w:rPr>
        <w:t>925.7</w:t>
      </w:r>
      <w:r>
        <w:rPr>
          <w:rFonts w:hint="eastAsia" w:ascii="宋体" w:hAnsi="宋体" w:cs="宋体"/>
          <w:sz w:val="28"/>
          <w:szCs w:val="28"/>
        </w:rPr>
        <w:t>万元（与部门决算中行政单位和参照公务员法管理事业单位一般公共预算财政拨款基本支出中公用经费之和保持一致），其中：办公费</w:t>
      </w:r>
      <w:r>
        <w:rPr>
          <w:rFonts w:hint="eastAsia" w:ascii="宋体" w:hAnsi="宋体" w:cs="宋体"/>
          <w:sz w:val="28"/>
          <w:szCs w:val="28"/>
          <w:lang w:val="en-US" w:eastAsia="zh-CN"/>
        </w:rPr>
        <w:t>6.12</w:t>
      </w:r>
      <w:r>
        <w:rPr>
          <w:rFonts w:hint="eastAsia" w:ascii="宋体" w:hAnsi="宋体" w:cs="宋体"/>
          <w:sz w:val="28"/>
          <w:szCs w:val="28"/>
        </w:rPr>
        <w:t>万元、</w:t>
      </w:r>
      <w:r>
        <w:rPr>
          <w:rFonts w:hint="eastAsia" w:ascii="宋体" w:hAnsi="宋体" w:cs="宋体"/>
          <w:sz w:val="28"/>
          <w:szCs w:val="28"/>
          <w:lang w:eastAsia="zh-CN"/>
        </w:rPr>
        <w:t>咨询</w:t>
      </w:r>
      <w:r>
        <w:rPr>
          <w:rFonts w:hint="eastAsia" w:ascii="宋体" w:hAnsi="宋体" w:cs="宋体"/>
          <w:sz w:val="28"/>
          <w:szCs w:val="28"/>
        </w:rPr>
        <w:t>费</w:t>
      </w:r>
      <w:r>
        <w:rPr>
          <w:rFonts w:hint="eastAsia" w:ascii="宋体" w:hAnsi="宋体" w:cs="宋体"/>
          <w:sz w:val="28"/>
          <w:szCs w:val="28"/>
          <w:lang w:val="en-US" w:eastAsia="zh-CN"/>
        </w:rPr>
        <w:t>2</w:t>
      </w:r>
      <w:r>
        <w:rPr>
          <w:rFonts w:hint="eastAsia" w:ascii="宋体" w:hAnsi="宋体" w:cs="宋体"/>
          <w:sz w:val="28"/>
          <w:szCs w:val="28"/>
        </w:rPr>
        <w:t>万元、邮电费</w:t>
      </w:r>
      <w:r>
        <w:rPr>
          <w:rFonts w:hint="eastAsia" w:ascii="宋体" w:hAnsi="宋体" w:cs="宋体"/>
          <w:sz w:val="28"/>
          <w:szCs w:val="28"/>
          <w:lang w:val="en-US" w:eastAsia="zh-CN"/>
        </w:rPr>
        <w:t>1.17</w:t>
      </w:r>
      <w:r>
        <w:rPr>
          <w:rFonts w:hint="eastAsia" w:ascii="宋体" w:hAnsi="宋体" w:cs="宋体"/>
          <w:sz w:val="28"/>
          <w:szCs w:val="28"/>
        </w:rPr>
        <w:t>万元、水电费</w:t>
      </w:r>
      <w:r>
        <w:rPr>
          <w:rFonts w:hint="eastAsia" w:ascii="宋体" w:hAnsi="宋体" w:cs="宋体"/>
          <w:sz w:val="28"/>
          <w:szCs w:val="28"/>
          <w:lang w:val="en-US" w:eastAsia="zh-CN"/>
        </w:rPr>
        <w:t>5.46</w:t>
      </w:r>
      <w:r>
        <w:rPr>
          <w:rFonts w:hint="eastAsia" w:ascii="宋体" w:hAnsi="宋体" w:cs="宋体"/>
          <w:sz w:val="28"/>
          <w:szCs w:val="28"/>
        </w:rPr>
        <w:t>万元、</w:t>
      </w:r>
      <w:r>
        <w:rPr>
          <w:rFonts w:hint="eastAsia" w:ascii="宋体" w:hAnsi="宋体" w:cs="宋体"/>
          <w:sz w:val="28"/>
          <w:szCs w:val="28"/>
          <w:lang w:eastAsia="zh-CN"/>
        </w:rPr>
        <w:t>差旅费</w:t>
      </w:r>
      <w:r>
        <w:rPr>
          <w:rFonts w:hint="eastAsia" w:ascii="宋体" w:hAnsi="宋体" w:cs="宋体"/>
          <w:sz w:val="28"/>
          <w:szCs w:val="28"/>
          <w:lang w:val="en-US" w:eastAsia="zh-CN"/>
        </w:rPr>
        <w:t>0.25万元、</w:t>
      </w:r>
      <w:r>
        <w:rPr>
          <w:rFonts w:hint="eastAsia" w:ascii="宋体" w:hAnsi="宋体" w:cs="宋体"/>
          <w:sz w:val="28"/>
          <w:szCs w:val="28"/>
        </w:rPr>
        <w:t>维护费</w:t>
      </w:r>
      <w:r>
        <w:rPr>
          <w:rFonts w:hint="eastAsia" w:ascii="宋体" w:hAnsi="宋体" w:cs="宋体"/>
          <w:sz w:val="28"/>
          <w:szCs w:val="28"/>
          <w:lang w:val="en-US" w:eastAsia="zh-CN"/>
        </w:rPr>
        <w:t>1.15万元</w:t>
      </w:r>
      <w:r>
        <w:rPr>
          <w:rFonts w:hint="eastAsia" w:ascii="宋体" w:hAnsi="宋体" w:cs="宋体"/>
          <w:sz w:val="28"/>
          <w:szCs w:val="28"/>
        </w:rPr>
        <w:t>、劳务费</w:t>
      </w:r>
      <w:r>
        <w:rPr>
          <w:rFonts w:hint="eastAsia" w:ascii="宋体" w:hAnsi="宋体" w:cs="宋体"/>
          <w:sz w:val="28"/>
          <w:szCs w:val="28"/>
          <w:lang w:val="en-US" w:eastAsia="zh-CN"/>
        </w:rPr>
        <w:t>749.83万元、业务费4.5万元、工会经费5.49万元、福利费3.26元，税金1.96万元、其他商品和服务支出144.5万元）</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（四）关于政府采购支出说明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w:t>
      </w:r>
      <w:r>
        <w:rPr>
          <w:rFonts w:hint="eastAsia" w:ascii="宋体" w:hAnsi="宋体" w:cs="宋体"/>
          <w:sz w:val="28"/>
          <w:szCs w:val="28"/>
          <w:lang w:val="en-US" w:eastAsia="zh-CN"/>
        </w:rPr>
        <w:t>20</w:t>
      </w:r>
      <w:r>
        <w:rPr>
          <w:rFonts w:hint="eastAsia" w:ascii="宋体" w:hAnsi="宋体" w:cs="宋体"/>
          <w:sz w:val="28"/>
          <w:szCs w:val="28"/>
        </w:rPr>
        <w:t>年度政府采购支出总额</w:t>
      </w:r>
      <w:r>
        <w:rPr>
          <w:rFonts w:hint="eastAsia" w:ascii="宋体" w:hAnsi="宋体" w:cs="宋体"/>
          <w:color w:val="auto"/>
          <w:sz w:val="28"/>
          <w:szCs w:val="28"/>
          <w:lang w:val="en-US" w:eastAsia="zh-CN"/>
        </w:rPr>
        <w:t>1.3</w:t>
      </w:r>
      <w:r>
        <w:rPr>
          <w:rFonts w:hint="eastAsia" w:ascii="宋体" w:hAnsi="宋体" w:cs="宋体"/>
          <w:sz w:val="28"/>
          <w:szCs w:val="28"/>
        </w:rPr>
        <w:t>万元，其中：政府采购货物支出</w:t>
      </w:r>
      <w:r>
        <w:rPr>
          <w:rFonts w:hint="eastAsia" w:ascii="宋体" w:hAnsi="宋体" w:cs="宋体"/>
          <w:color w:val="auto"/>
          <w:sz w:val="28"/>
          <w:szCs w:val="28"/>
          <w:lang w:val="en-US" w:eastAsia="zh-CN"/>
        </w:rPr>
        <w:t>0</w:t>
      </w:r>
      <w:r>
        <w:rPr>
          <w:rFonts w:hint="eastAsia" w:ascii="宋体" w:hAnsi="宋体" w:cs="宋体"/>
          <w:sz w:val="28"/>
          <w:szCs w:val="28"/>
        </w:rPr>
        <w:t>万元、政府采购工程支出0万元、政府采购服务支出</w:t>
      </w:r>
      <w:r>
        <w:rPr>
          <w:rFonts w:hint="eastAsia" w:ascii="宋体" w:hAnsi="宋体" w:cs="宋体"/>
          <w:color w:val="auto"/>
          <w:sz w:val="28"/>
          <w:szCs w:val="28"/>
          <w:lang w:val="en-US" w:eastAsia="zh-CN"/>
        </w:rPr>
        <w:t>1.3</w:t>
      </w:r>
      <w:r>
        <w:rPr>
          <w:rFonts w:hint="eastAsia" w:ascii="宋体" w:hAnsi="宋体" w:cs="宋体"/>
          <w:sz w:val="28"/>
          <w:szCs w:val="28"/>
        </w:rPr>
        <w:t>万元。</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（五）国有资产占用情况说明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截至</w:t>
      </w:r>
      <w:r>
        <w:rPr>
          <w:rFonts w:hint="eastAsia" w:ascii="宋体" w:hAnsi="宋体" w:cs="宋体"/>
          <w:sz w:val="28"/>
          <w:szCs w:val="28"/>
          <w:lang w:eastAsia="zh-CN"/>
        </w:rPr>
        <w:t>20</w:t>
      </w:r>
      <w:r>
        <w:rPr>
          <w:rFonts w:hint="eastAsia" w:ascii="宋体" w:hAnsi="宋体" w:cs="宋体"/>
          <w:sz w:val="28"/>
          <w:szCs w:val="28"/>
          <w:lang w:val="en-US" w:eastAsia="zh-CN"/>
        </w:rPr>
        <w:t>20</w:t>
      </w:r>
      <w:r>
        <w:rPr>
          <w:rFonts w:hint="eastAsia" w:ascii="宋体" w:hAnsi="宋体" w:cs="宋体"/>
          <w:sz w:val="28"/>
          <w:szCs w:val="28"/>
        </w:rPr>
        <w:t>年12月31日，本单位无公务车辆；单位价值 50万元以上通用设备0台；单位价值 100万元以上专用设备0台。</w:t>
      </w:r>
    </w:p>
    <w:p>
      <w:pPr>
        <w:pStyle w:val="8"/>
        <w:widowControl/>
        <w:numPr>
          <w:ilvl w:val="0"/>
          <w:numId w:val="3"/>
        </w:numPr>
        <w:spacing w:before="76" w:beforeAutospacing="0" w:after="76" w:afterAutospacing="0" w:line="450" w:lineRule="atLeast"/>
        <w:ind w:left="700" w:leftChars="0" w:firstLine="0" w:firstLineChars="0"/>
        <w:rPr>
          <w:rFonts w:hint="eastAsia" w:ascii="宋体" w:hAnsi="宋体" w:cs="宋体"/>
          <w:b/>
          <w:bCs/>
          <w:sz w:val="28"/>
          <w:szCs w:val="28"/>
          <w:lang w:eastAsia="zh-CN"/>
        </w:rPr>
      </w:pPr>
      <w:r>
        <w:rPr>
          <w:rFonts w:hint="eastAsia" w:ascii="宋体" w:hAnsi="宋体" w:cs="宋体"/>
          <w:b/>
          <w:bCs/>
          <w:sz w:val="28"/>
          <w:szCs w:val="28"/>
          <w:lang w:eastAsia="zh-CN"/>
        </w:rPr>
        <w:t>重点绩效评价结果等预算绩效情况说明</w:t>
      </w:r>
    </w:p>
    <w:p>
      <w:pPr>
        <w:ind w:firstLine="560" w:firstLineChars="200"/>
        <w:rPr>
          <w:rFonts w:hint="eastAsia" w:ascii="宋体" w:hAnsi="宋体" w:eastAsia="宋体" w:cs="宋体"/>
          <w:sz w:val="28"/>
          <w:szCs w:val="28"/>
        </w:rPr>
      </w:pPr>
      <w:r>
        <w:rPr>
          <w:rFonts w:hint="eastAsia" w:ascii="宋体" w:hAnsi="宋体" w:eastAsia="宋体" w:cs="宋体"/>
          <w:sz w:val="28"/>
          <w:szCs w:val="28"/>
          <w:lang w:eastAsia="zh-CN"/>
        </w:rPr>
        <w:t>20</w:t>
      </w:r>
      <w:r>
        <w:rPr>
          <w:rFonts w:hint="eastAsia" w:ascii="宋体" w:hAnsi="宋体" w:eastAsia="宋体" w:cs="宋体"/>
          <w:sz w:val="28"/>
          <w:szCs w:val="28"/>
          <w:lang w:val="en-US" w:eastAsia="zh-CN"/>
        </w:rPr>
        <w:t>20</w:t>
      </w:r>
      <w:r>
        <w:rPr>
          <w:rFonts w:hint="eastAsia" w:ascii="宋体" w:hAnsi="宋体" w:eastAsia="宋体" w:cs="宋体"/>
          <w:sz w:val="28"/>
          <w:szCs w:val="28"/>
        </w:rPr>
        <w:t>年</w:t>
      </w:r>
      <w:r>
        <w:rPr>
          <w:rFonts w:hint="eastAsia" w:ascii="宋体" w:hAnsi="宋体" w:eastAsia="宋体" w:cs="宋体"/>
          <w:sz w:val="28"/>
          <w:szCs w:val="28"/>
          <w:lang w:eastAsia="zh-CN"/>
        </w:rPr>
        <w:t>全年财政资金用于文明创建及社区专项服务专项经费</w:t>
      </w:r>
      <w:r>
        <w:rPr>
          <w:rFonts w:hint="eastAsia" w:ascii="宋体" w:hAnsi="宋体" w:eastAsia="宋体" w:cs="宋体"/>
          <w:sz w:val="28"/>
          <w:szCs w:val="28"/>
          <w:lang w:val="en-US" w:eastAsia="zh-CN"/>
        </w:rPr>
        <w:t>340.6万元；</w:t>
      </w:r>
      <w:r>
        <w:rPr>
          <w:rFonts w:hint="eastAsia" w:ascii="宋体" w:hAnsi="宋体" w:eastAsia="宋体" w:cs="宋体"/>
          <w:sz w:val="28"/>
          <w:szCs w:val="28"/>
        </w:rPr>
        <w:t>街道7个社区均以国卫复审和创文预检为契机，以老旧小区改造为重点，推进辖区从形象、品质到城市功能全方位提升。全力“拆违建”，累计拆除违章建筑189处6242.3㎡，长航一舍、长航二舍、光明书店楼顶、沿江外贸码头周边等多处历史遗留违建顺利拆除，为城市更新腾出发展空间。全力“畅交通”，增加停车泊位1200余个。黄冈路餐饮一条街整治13次，文华巷、南里巷早点餐饮保持常态化巡控，农贸市场周边经营秩序明显规范。在全区四次国卫复审月检中 3次名列前茅。</w:t>
      </w:r>
    </w:p>
    <w:p>
      <w:pPr>
        <w:pStyle w:val="8"/>
        <w:widowControl/>
        <w:numPr>
          <w:ilvl w:val="0"/>
          <w:numId w:val="3"/>
        </w:numPr>
        <w:spacing w:before="76" w:beforeAutospacing="0" w:after="76" w:afterAutospacing="0" w:line="450" w:lineRule="atLeast"/>
        <w:ind w:left="700" w:leftChars="0" w:firstLine="0" w:firstLineChars="0"/>
        <w:rPr>
          <w:rFonts w:hint="eastAsia" w:ascii="宋体" w:hAnsi="宋体" w:cs="宋体"/>
          <w:b/>
          <w:bCs/>
          <w:sz w:val="28"/>
          <w:szCs w:val="28"/>
          <w:lang w:eastAsia="zh-CN"/>
        </w:rPr>
      </w:pPr>
      <w:r>
        <w:rPr>
          <w:rFonts w:hint="eastAsia" w:ascii="宋体" w:hAnsi="宋体" w:cs="宋体"/>
          <w:b/>
          <w:bCs/>
          <w:sz w:val="28"/>
          <w:szCs w:val="28"/>
          <w:lang w:eastAsia="zh-CN"/>
        </w:rPr>
        <w:t>决算收支增减变化情况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1、收入增减变化情况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2019年全年总收入</w:t>
      </w:r>
      <w:r>
        <w:rPr>
          <w:rFonts w:hint="eastAsia" w:ascii="宋体" w:hAnsi="宋体" w:eastAsia="宋体" w:cs="宋体"/>
          <w:sz w:val="28"/>
          <w:szCs w:val="28"/>
          <w:lang w:val="en-US" w:eastAsia="zh-CN"/>
        </w:rPr>
        <w:t>1152.56万</w:t>
      </w:r>
      <w:r>
        <w:rPr>
          <w:rFonts w:hint="eastAsia" w:ascii="宋体" w:hAnsi="宋体" w:eastAsia="宋体" w:cs="宋体"/>
          <w:sz w:val="28"/>
          <w:szCs w:val="28"/>
        </w:rPr>
        <w:t>元,2020年全年总收入</w:t>
      </w:r>
      <w:r>
        <w:rPr>
          <w:rFonts w:hint="eastAsia" w:ascii="宋体" w:hAnsi="宋体" w:eastAsia="宋体" w:cs="宋体"/>
          <w:sz w:val="28"/>
          <w:szCs w:val="28"/>
          <w:lang w:val="en-US" w:eastAsia="zh-CN"/>
        </w:rPr>
        <w:t>1485.94万</w:t>
      </w:r>
      <w:r>
        <w:rPr>
          <w:rFonts w:hint="eastAsia" w:ascii="宋体" w:hAnsi="宋体" w:eastAsia="宋体" w:cs="宋体"/>
          <w:sz w:val="28"/>
          <w:szCs w:val="28"/>
        </w:rPr>
        <w:t>元，同比上年增加</w:t>
      </w:r>
      <w:r>
        <w:rPr>
          <w:rFonts w:hint="eastAsia" w:ascii="宋体" w:hAnsi="宋体" w:eastAsia="宋体" w:cs="宋体"/>
          <w:sz w:val="28"/>
          <w:szCs w:val="28"/>
          <w:lang w:val="en-US" w:eastAsia="zh-CN"/>
        </w:rPr>
        <w:t>333.38万</w:t>
      </w:r>
      <w:r>
        <w:rPr>
          <w:rFonts w:hint="eastAsia" w:ascii="宋体" w:hAnsi="宋体" w:eastAsia="宋体" w:cs="宋体"/>
          <w:sz w:val="28"/>
          <w:szCs w:val="28"/>
        </w:rPr>
        <w:t>元，原因是业务量增加。</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2、支出增减变化情况</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2019年全年总</w:t>
      </w:r>
      <w:r>
        <w:rPr>
          <w:rFonts w:hint="eastAsia" w:ascii="宋体" w:hAnsi="宋体" w:eastAsia="宋体" w:cs="宋体"/>
          <w:sz w:val="28"/>
          <w:szCs w:val="28"/>
          <w:lang w:val="en-US" w:eastAsia="zh-CN"/>
        </w:rPr>
        <w:t>支出1152.56万</w:t>
      </w:r>
      <w:r>
        <w:rPr>
          <w:rFonts w:hint="eastAsia" w:ascii="宋体" w:hAnsi="宋体" w:eastAsia="宋体" w:cs="宋体"/>
          <w:sz w:val="28"/>
          <w:szCs w:val="28"/>
        </w:rPr>
        <w:t>元,2020年全年总</w:t>
      </w:r>
      <w:r>
        <w:rPr>
          <w:rFonts w:hint="eastAsia" w:ascii="宋体" w:hAnsi="宋体" w:eastAsia="宋体" w:cs="宋体"/>
          <w:sz w:val="28"/>
          <w:szCs w:val="28"/>
          <w:lang w:val="en-US" w:eastAsia="zh-CN"/>
        </w:rPr>
        <w:t>支出1485.94万</w:t>
      </w:r>
      <w:r>
        <w:rPr>
          <w:rFonts w:hint="eastAsia" w:ascii="宋体" w:hAnsi="宋体" w:eastAsia="宋体" w:cs="宋体"/>
          <w:sz w:val="28"/>
          <w:szCs w:val="28"/>
        </w:rPr>
        <w:t>元，同比上年增加</w:t>
      </w:r>
      <w:r>
        <w:rPr>
          <w:rFonts w:hint="eastAsia" w:ascii="宋体" w:hAnsi="宋体" w:eastAsia="宋体" w:cs="宋体"/>
          <w:sz w:val="28"/>
          <w:szCs w:val="28"/>
          <w:lang w:val="en-US" w:eastAsia="zh-CN"/>
        </w:rPr>
        <w:t>333.38万</w:t>
      </w:r>
      <w:r>
        <w:rPr>
          <w:rFonts w:hint="eastAsia" w:ascii="宋体" w:hAnsi="宋体" w:eastAsia="宋体" w:cs="宋体"/>
          <w:sz w:val="28"/>
          <w:szCs w:val="28"/>
        </w:rPr>
        <w:t>元，原因是业务量增加。</w:t>
      </w:r>
    </w:p>
    <w:p>
      <w:pPr>
        <w:ind w:firstLine="560" w:firstLineChars="200"/>
        <w:rPr>
          <w:rFonts w:hint="eastAsia" w:ascii="宋体" w:hAnsi="宋体" w:eastAsia="宋体" w:cs="宋体"/>
          <w:sz w:val="28"/>
          <w:szCs w:val="28"/>
        </w:rPr>
      </w:pPr>
    </w:p>
    <w:p>
      <w:pPr>
        <w:pStyle w:val="8"/>
        <w:widowControl/>
        <w:spacing w:before="76" w:beforeAutospacing="0" w:after="76" w:afterAutospacing="0" w:line="450" w:lineRule="atLeast"/>
        <w:ind w:firstLine="420"/>
        <w:rPr>
          <w:rFonts w:hint="eastAsia" w:ascii="宋体" w:hAnsi="宋体" w:eastAsia="宋体" w:cs="宋体"/>
          <w:color w:val="333333"/>
          <w:sz w:val="28"/>
          <w:szCs w:val="28"/>
          <w:shd w:val="clear" w:color="auto" w:fill="FFFFFF"/>
          <w:lang w:eastAsia="zh-CN"/>
        </w:rPr>
      </w:pPr>
      <w:bookmarkStart w:id="0" w:name="_GoBack"/>
      <w:bookmarkEnd w:id="0"/>
    </w:p>
    <w:p>
      <w:pPr>
        <w:widowControl/>
        <w:shd w:val="clear" w:color="auto" w:fill="FFFFFF"/>
        <w:ind w:firstLine="480"/>
        <w:jc w:val="left"/>
        <w:rPr>
          <w:rFonts w:hint="default" w:ascii="宋体" w:hAnsi="宋体" w:cs="宋体" w:eastAsiaTheme="minorEastAsia"/>
          <w:sz w:val="28"/>
          <w:szCs w:val="28"/>
          <w:lang w:val="en-US" w:eastAsia="zh-CN"/>
        </w:rPr>
      </w:pPr>
    </w:p>
    <w:p>
      <w:pPr>
        <w:pStyle w:val="8"/>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第四部分名词解释</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一、财政补助收入：指县级财政当年拨付的资金。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二、其他收入：指除“财政拨款收入”、“上级补助收入”、“事业收入”、“经营收入”等以外的收入。主要是存款利息收入等。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三、年初结转和结余：指以前年度尚未完成、结转到本年按有关规定继续使用的资金。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六、一般公共服务（类）机关服务（项）：指县黄石港区胜阳港街办服务中心为机关提供办公楼日常维修、维护等后勤保障服务的支出。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七、一般公共服务（类）其他一般公共服务支出（款）其他一般公共服务支出（项）：指黄石港区胜阳港街办用于其他一般公共服务方面的支出。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lang w:eastAsia="zh-CN"/>
        </w:rPr>
        <w:t>八</w:t>
      </w:r>
      <w:r>
        <w:rPr>
          <w:rFonts w:hint="eastAsia" w:ascii="宋体" w:hAnsi="宋体" w:cs="宋体"/>
          <w:sz w:val="28"/>
          <w:szCs w:val="28"/>
        </w:rPr>
        <w:t>、年末结转和结余：指本年度或以前年度预算安排、因客观条件发生变化无法按原计划实施，需要延迟到以后年度按有关规定继续使用的资金。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lang w:eastAsia="zh-CN"/>
        </w:rPr>
        <w:t>九</w:t>
      </w:r>
      <w:r>
        <w:rPr>
          <w:rFonts w:hint="eastAsia" w:ascii="宋体" w:hAnsi="宋体" w:cs="宋体"/>
          <w:sz w:val="28"/>
          <w:szCs w:val="28"/>
        </w:rPr>
        <w:t>、基本支出：指为保障机构正常运转、完成日常工作任务而发生的人员支出（包括基本工资、津贴补贴等）和公用支出（包括办公费、水电费、邮电费、交通费、差旅费等）。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十、项目支出：指在基本支出之外为完成特定行政任务和事业发展目标所发生的支出。</w:t>
      </w:r>
    </w:p>
    <w:p>
      <w:pPr>
        <w:widowControl/>
        <w:shd w:val="clear" w:color="auto" w:fill="FFFFFF"/>
        <w:ind w:firstLine="480"/>
        <w:jc w:val="left"/>
      </w:pPr>
      <w:r>
        <w:rPr>
          <w:rFonts w:hint="eastAsia" w:ascii="宋体" w:hAnsi="宋体" w:cs="宋体"/>
          <w:sz w:val="28"/>
          <w:szCs w:val="28"/>
        </w:rPr>
        <w:t>十</w:t>
      </w:r>
      <w:r>
        <w:rPr>
          <w:rFonts w:hint="eastAsia" w:ascii="宋体" w:hAnsi="宋体" w:cs="宋体"/>
          <w:sz w:val="28"/>
          <w:szCs w:val="28"/>
          <w:lang w:eastAsia="zh-CN"/>
        </w:rPr>
        <w:t>一</w:t>
      </w:r>
      <w:r>
        <w:rPr>
          <w:rFonts w:hint="eastAsia" w:ascii="宋体" w:hAnsi="宋体" w:cs="宋体"/>
          <w:sz w:val="28"/>
          <w:szCs w:val="28"/>
        </w:rPr>
        <w:t>、“三公”经费：是指用财政拨款安排的因公出国（境）费、公务用车购置及运行维护费、公务接待费。</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D3BF26D"/>
    <w:multiLevelType w:val="singleLevel"/>
    <w:tmpl w:val="CD3BF26D"/>
    <w:lvl w:ilvl="0" w:tentative="0">
      <w:start w:val="2"/>
      <w:numFmt w:val="decimal"/>
      <w:suff w:val="nothing"/>
      <w:lvlText w:val="%1、"/>
      <w:lvlJc w:val="left"/>
    </w:lvl>
  </w:abstractNum>
  <w:abstractNum w:abstractNumId="1">
    <w:nsid w:val="CE5ABB6B"/>
    <w:multiLevelType w:val="singleLevel"/>
    <w:tmpl w:val="CE5ABB6B"/>
    <w:lvl w:ilvl="0" w:tentative="0">
      <w:start w:val="1"/>
      <w:numFmt w:val="chineseCounting"/>
      <w:suff w:val="nothing"/>
      <w:lvlText w:val="（%1）"/>
      <w:lvlJc w:val="left"/>
      <w:rPr>
        <w:rFonts w:hint="eastAsia"/>
      </w:rPr>
    </w:lvl>
  </w:abstractNum>
  <w:abstractNum w:abstractNumId="2">
    <w:nsid w:val="498C048E"/>
    <w:multiLevelType w:val="singleLevel"/>
    <w:tmpl w:val="498C048E"/>
    <w:lvl w:ilvl="0" w:tentative="0">
      <w:start w:val="6"/>
      <w:numFmt w:val="chineseCounting"/>
      <w:suff w:val="nothing"/>
      <w:lvlText w:val="（%1）"/>
      <w:lvlJc w:val="left"/>
      <w:pPr>
        <w:ind w:left="700" w:leftChars="0" w:firstLine="0" w:firstLineChars="0"/>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DC9"/>
    <w:rsid w:val="002F2B50"/>
    <w:rsid w:val="00406DC9"/>
    <w:rsid w:val="0067473B"/>
    <w:rsid w:val="00700C5B"/>
    <w:rsid w:val="009677D9"/>
    <w:rsid w:val="00C10F88"/>
    <w:rsid w:val="00C71E71"/>
    <w:rsid w:val="039F3302"/>
    <w:rsid w:val="04140803"/>
    <w:rsid w:val="05250A61"/>
    <w:rsid w:val="053725FE"/>
    <w:rsid w:val="05403DF2"/>
    <w:rsid w:val="0664587B"/>
    <w:rsid w:val="07DF38BF"/>
    <w:rsid w:val="09383E1F"/>
    <w:rsid w:val="09864FEA"/>
    <w:rsid w:val="09FF39B4"/>
    <w:rsid w:val="0D6E47ED"/>
    <w:rsid w:val="0F9B6E28"/>
    <w:rsid w:val="110D435D"/>
    <w:rsid w:val="11411182"/>
    <w:rsid w:val="117C072A"/>
    <w:rsid w:val="13720CFC"/>
    <w:rsid w:val="14216DBC"/>
    <w:rsid w:val="150971E0"/>
    <w:rsid w:val="16602411"/>
    <w:rsid w:val="16AA5E7F"/>
    <w:rsid w:val="18287E0B"/>
    <w:rsid w:val="193C5979"/>
    <w:rsid w:val="195D7E69"/>
    <w:rsid w:val="196338A8"/>
    <w:rsid w:val="19DF1460"/>
    <w:rsid w:val="19FD0686"/>
    <w:rsid w:val="1CE669F8"/>
    <w:rsid w:val="1CF83672"/>
    <w:rsid w:val="20423E52"/>
    <w:rsid w:val="22C24811"/>
    <w:rsid w:val="23A31EF5"/>
    <w:rsid w:val="255E033E"/>
    <w:rsid w:val="27390172"/>
    <w:rsid w:val="27D74493"/>
    <w:rsid w:val="291F612E"/>
    <w:rsid w:val="29CD63A5"/>
    <w:rsid w:val="2C843F1F"/>
    <w:rsid w:val="2CCE2491"/>
    <w:rsid w:val="2D4977F5"/>
    <w:rsid w:val="2F282FCC"/>
    <w:rsid w:val="3056086C"/>
    <w:rsid w:val="31647209"/>
    <w:rsid w:val="31D37DF4"/>
    <w:rsid w:val="341056F3"/>
    <w:rsid w:val="35587B9A"/>
    <w:rsid w:val="35857B0F"/>
    <w:rsid w:val="38981FD9"/>
    <w:rsid w:val="39187C2F"/>
    <w:rsid w:val="39CB1588"/>
    <w:rsid w:val="3BD36BF8"/>
    <w:rsid w:val="3C1A7078"/>
    <w:rsid w:val="3F486F51"/>
    <w:rsid w:val="40E75783"/>
    <w:rsid w:val="437F1328"/>
    <w:rsid w:val="458B28AE"/>
    <w:rsid w:val="46BD48D3"/>
    <w:rsid w:val="49FC1EF8"/>
    <w:rsid w:val="4A1B4EFD"/>
    <w:rsid w:val="4BE750BF"/>
    <w:rsid w:val="4C290F12"/>
    <w:rsid w:val="4C895D0F"/>
    <w:rsid w:val="4E9844E7"/>
    <w:rsid w:val="4EB07ADB"/>
    <w:rsid w:val="4F1F3F22"/>
    <w:rsid w:val="4F3F18B6"/>
    <w:rsid w:val="4F6F2B84"/>
    <w:rsid w:val="51837BC6"/>
    <w:rsid w:val="52767E96"/>
    <w:rsid w:val="53837C82"/>
    <w:rsid w:val="53D74255"/>
    <w:rsid w:val="53E04230"/>
    <w:rsid w:val="542B4977"/>
    <w:rsid w:val="56043DA9"/>
    <w:rsid w:val="57503170"/>
    <w:rsid w:val="57EA7CB1"/>
    <w:rsid w:val="58721A7D"/>
    <w:rsid w:val="58E323C0"/>
    <w:rsid w:val="5B4640FE"/>
    <w:rsid w:val="5D5A40AD"/>
    <w:rsid w:val="5DE63B51"/>
    <w:rsid w:val="60272EA1"/>
    <w:rsid w:val="60E02A8A"/>
    <w:rsid w:val="61ED55CE"/>
    <w:rsid w:val="621B3808"/>
    <w:rsid w:val="62DF5717"/>
    <w:rsid w:val="631344C3"/>
    <w:rsid w:val="635100CE"/>
    <w:rsid w:val="63DF51BF"/>
    <w:rsid w:val="64EC4F18"/>
    <w:rsid w:val="65566660"/>
    <w:rsid w:val="65713E00"/>
    <w:rsid w:val="66BC3E0B"/>
    <w:rsid w:val="67E24B93"/>
    <w:rsid w:val="67E4782B"/>
    <w:rsid w:val="6A1A2FE0"/>
    <w:rsid w:val="6DE240E9"/>
    <w:rsid w:val="6EC80B14"/>
    <w:rsid w:val="6FCD2E02"/>
    <w:rsid w:val="70793B25"/>
    <w:rsid w:val="713F1A64"/>
    <w:rsid w:val="71BD537A"/>
    <w:rsid w:val="7439111D"/>
    <w:rsid w:val="746766E2"/>
    <w:rsid w:val="74EA7B66"/>
    <w:rsid w:val="75794FFB"/>
    <w:rsid w:val="77903519"/>
    <w:rsid w:val="78186405"/>
    <w:rsid w:val="78AB6EB5"/>
    <w:rsid w:val="79D76960"/>
    <w:rsid w:val="7E254B93"/>
    <w:rsid w:val="7E7A7A50"/>
    <w:rsid w:val="7F4A6C3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9">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17"/>
    <w:qFormat/>
    <w:uiPriority w:val="0"/>
    <w:rPr>
      <w:sz w:val="18"/>
      <w:szCs w:val="18"/>
    </w:rPr>
  </w:style>
  <w:style w:type="paragraph" w:styleId="6">
    <w:name w:val="footer"/>
    <w:basedOn w:val="1"/>
    <w:link w:val="16"/>
    <w:qFormat/>
    <w:uiPriority w:val="0"/>
    <w:pPr>
      <w:tabs>
        <w:tab w:val="center" w:pos="4153"/>
        <w:tab w:val="right" w:pos="8306"/>
      </w:tabs>
      <w:snapToGrid w:val="0"/>
      <w:jc w:val="left"/>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0">
    <w:name w:val="Strong"/>
    <w:basedOn w:val="9"/>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9"/>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页眉 Char"/>
    <w:basedOn w:val="9"/>
    <w:link w:val="7"/>
    <w:qFormat/>
    <w:uiPriority w:val="0"/>
    <w:rPr>
      <w:rFonts w:asciiTheme="minorHAnsi" w:hAnsiTheme="minorHAnsi" w:eastAsiaTheme="minorEastAsia" w:cstheme="minorBidi"/>
      <w:kern w:val="2"/>
      <w:sz w:val="18"/>
      <w:szCs w:val="18"/>
    </w:rPr>
  </w:style>
  <w:style w:type="character" w:customStyle="1" w:styleId="16">
    <w:name w:val="页脚 Char"/>
    <w:basedOn w:val="9"/>
    <w:link w:val="6"/>
    <w:qFormat/>
    <w:uiPriority w:val="0"/>
    <w:rPr>
      <w:rFonts w:asciiTheme="minorHAnsi" w:hAnsiTheme="minorHAnsi" w:eastAsiaTheme="minorEastAsia" w:cstheme="minorBidi"/>
      <w:kern w:val="2"/>
      <w:sz w:val="18"/>
      <w:szCs w:val="18"/>
    </w:rPr>
  </w:style>
  <w:style w:type="character" w:customStyle="1" w:styleId="17">
    <w:name w:val="批注框文本 Char"/>
    <w:basedOn w:val="9"/>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449</Words>
  <Characters>2564</Characters>
  <Lines>21</Lines>
  <Paragraphs>6</Paragraphs>
  <TotalTime>0</TotalTime>
  <ScaleCrop>false</ScaleCrop>
  <LinksUpToDate>false</LinksUpToDate>
  <CharactersWithSpaces>3007</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2019-09-11T04:40:00Z</dcterms:created>
  <dc:creator>gg</dc:creator>
  <cp:lastModifiedBy>Administrator</cp:lastModifiedBy>
  <dcterms:modified xsi:type="dcterms:W3CDTF">2021-09-15T03:09:05Z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26A9FD3B031E49E68339F1F8E7D9BB54</vt:lpwstr>
  </property>
</Properties>
</file>