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51CC98">
      <w:pPr>
        <w:pStyle w:val="2"/>
        <w:keepNext w:val="0"/>
        <w:keepLines w:val="0"/>
        <w:pageBreakBefore w:val="0"/>
        <w:widowControl/>
        <w:shd w:val="clear" w:color="auto" w:fill="FFFFFF"/>
        <w:kinsoku/>
        <w:overflowPunct/>
        <w:topLinePunct w:val="0"/>
        <w:autoSpaceDE/>
        <w:autoSpaceDN/>
        <w:bidi w:val="0"/>
        <w:adjustRightInd/>
        <w:spacing w:before="40" w:beforeAutospacing="0" w:after="375" w:afterAutospacing="0" w:line="450" w:lineRule="atLeast"/>
        <w:jc w:val="center"/>
        <w:textAlignment w:val="auto"/>
        <w:rPr>
          <w:rFonts w:hint="eastAsia" w:ascii="宋体" w:hAnsi="宋体" w:eastAsia="宋体" w:cs="宋体"/>
          <w:color w:val="BC1010"/>
          <w:sz w:val="40"/>
          <w:szCs w:val="40"/>
        </w:rPr>
      </w:pPr>
      <w:r>
        <w:rPr>
          <w:rFonts w:hint="eastAsia" w:ascii="宋体" w:hAnsi="宋体" w:eastAsia="宋体" w:cs="宋体"/>
          <w:color w:val="BC1010"/>
          <w:sz w:val="40"/>
          <w:szCs w:val="40"/>
          <w:shd w:val="clear" w:color="auto" w:fill="FFFFFF"/>
        </w:rPr>
        <w:t>胜阳港街办</w:t>
      </w:r>
      <w:r>
        <w:rPr>
          <w:rFonts w:hint="eastAsia" w:ascii="宋体" w:hAnsi="宋体" w:eastAsia="宋体" w:cs="宋体"/>
          <w:color w:val="BC1010"/>
          <w:sz w:val="40"/>
          <w:szCs w:val="40"/>
          <w:shd w:val="clear" w:color="auto" w:fill="FFFFFF"/>
          <w:lang w:eastAsia="zh-CN"/>
        </w:rPr>
        <w:t>2021年</w:t>
      </w:r>
      <w:r>
        <w:rPr>
          <w:rFonts w:hint="eastAsia" w:ascii="宋体" w:hAnsi="宋体" w:eastAsia="宋体" w:cs="宋体"/>
          <w:color w:val="BC1010"/>
          <w:sz w:val="40"/>
          <w:szCs w:val="40"/>
          <w:shd w:val="clear" w:color="auto" w:fill="FFFFFF"/>
        </w:rPr>
        <w:t>部门</w:t>
      </w:r>
      <w:r>
        <w:rPr>
          <w:rFonts w:hint="eastAsia" w:ascii="宋体" w:hAnsi="宋体" w:eastAsia="宋体" w:cs="宋体"/>
          <w:color w:val="BC1010"/>
          <w:sz w:val="40"/>
          <w:szCs w:val="40"/>
          <w:shd w:val="clear" w:color="auto" w:fill="FFFFFF"/>
          <w:lang w:eastAsia="zh-CN"/>
        </w:rPr>
        <w:t>决算</w:t>
      </w:r>
      <w:r>
        <w:rPr>
          <w:rFonts w:hint="eastAsia" w:ascii="宋体" w:hAnsi="宋体" w:eastAsia="宋体" w:cs="宋体"/>
          <w:color w:val="BC1010"/>
          <w:sz w:val="40"/>
          <w:szCs w:val="40"/>
          <w:shd w:val="clear" w:color="auto" w:fill="FFFFFF"/>
        </w:rPr>
        <w:t>公开</w:t>
      </w:r>
    </w:p>
    <w:p w14:paraId="008E2310">
      <w:pPr>
        <w:keepNext w:val="0"/>
        <w:keepLines w:val="0"/>
        <w:pageBreakBefore w:val="0"/>
        <w:widowControl/>
        <w:shd w:val="clear" w:color="auto" w:fill="FFFFFF"/>
        <w:kinsoku/>
        <w:overflowPunct/>
        <w:topLinePunct w:val="0"/>
        <w:autoSpaceDE/>
        <w:autoSpaceDN/>
        <w:bidi w:val="0"/>
        <w:adjustRightInd/>
        <w:spacing w:before="40" w:line="450" w:lineRule="atLeast"/>
        <w:jc w:val="center"/>
        <w:textAlignment w:val="auto"/>
        <w:rPr>
          <w:rFonts w:hint="eastAsia" w:ascii="宋体" w:hAnsi="宋体" w:eastAsia="宋体" w:cs="宋体"/>
          <w:color w:val="333333"/>
          <w:sz w:val="24"/>
        </w:rPr>
      </w:pPr>
      <w:r>
        <w:rPr>
          <w:rStyle w:val="9"/>
          <w:rFonts w:hint="eastAsia" w:ascii="宋体" w:hAnsi="宋体" w:eastAsia="宋体" w:cs="宋体"/>
          <w:color w:val="333333"/>
          <w:kern w:val="0"/>
          <w:sz w:val="24"/>
          <w:shd w:val="clear" w:color="auto" w:fill="FFFFFF"/>
        </w:rPr>
        <w:t>目 录</w:t>
      </w:r>
    </w:p>
    <w:p w14:paraId="1491C2EB">
      <w:pPr>
        <w:keepNext w:val="0"/>
        <w:keepLines w:val="0"/>
        <w:pageBreakBefore w:val="0"/>
        <w:kinsoku/>
        <w:overflowPunct/>
        <w:topLinePunct w:val="0"/>
        <w:autoSpaceDE/>
        <w:autoSpaceDN/>
        <w:bidi w:val="0"/>
        <w:adjustRightInd/>
        <w:spacing w:before="40" w:line="560" w:lineRule="exact"/>
        <w:textAlignment w:val="auto"/>
        <w:rPr>
          <w:rFonts w:hint="eastAsia" w:ascii="宋体" w:hAnsi="宋体" w:eastAsia="宋体" w:cs="宋体"/>
          <w:b/>
          <w:kern w:val="0"/>
          <w:sz w:val="28"/>
          <w:szCs w:val="28"/>
        </w:rPr>
      </w:pPr>
      <w:r>
        <w:rPr>
          <w:rStyle w:val="9"/>
          <w:rFonts w:hint="eastAsia" w:ascii="宋体" w:hAnsi="宋体" w:eastAsia="宋体" w:cs="宋体"/>
          <w:color w:val="333333"/>
          <w:kern w:val="0"/>
          <w:sz w:val="24"/>
          <w:shd w:val="clear" w:color="auto" w:fill="FFFFFF"/>
        </w:rPr>
        <w:t>第一部分：部门基本情况</w:t>
      </w:r>
    </w:p>
    <w:p w14:paraId="3AD3E4E7">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部门主要职责</w:t>
      </w:r>
    </w:p>
    <w:p w14:paraId="51CCBE54">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二、部门</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单位构成</w:t>
      </w:r>
    </w:p>
    <w:p w14:paraId="3EC68A78">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Style w:val="9"/>
          <w:rFonts w:hint="eastAsia" w:ascii="宋体" w:hAnsi="宋体" w:eastAsia="宋体" w:cs="宋体"/>
          <w:color w:val="333333"/>
          <w:shd w:val="clear" w:color="auto" w:fill="FFFFFF"/>
        </w:rPr>
        <w:t>第二部分: 部门</w:t>
      </w:r>
      <w:r>
        <w:rPr>
          <w:rStyle w:val="9"/>
          <w:rFonts w:hint="eastAsia" w:ascii="宋体" w:hAnsi="宋体" w:eastAsia="宋体" w:cs="宋体"/>
          <w:color w:val="333333"/>
          <w:shd w:val="clear" w:color="auto" w:fill="FFFFFF"/>
          <w:lang w:eastAsia="zh-CN"/>
        </w:rPr>
        <w:t>2021年</w:t>
      </w:r>
      <w:r>
        <w:rPr>
          <w:rStyle w:val="9"/>
          <w:rFonts w:hint="eastAsia" w:ascii="宋体" w:hAnsi="宋体" w:eastAsia="宋体" w:cs="宋体"/>
          <w:color w:val="333333"/>
          <w:shd w:val="clear" w:color="auto" w:fill="FFFFFF"/>
        </w:rPr>
        <w:t>部门</w:t>
      </w:r>
      <w:r>
        <w:rPr>
          <w:rStyle w:val="9"/>
          <w:rFonts w:hint="eastAsia" w:ascii="宋体" w:hAnsi="宋体" w:eastAsia="宋体" w:cs="宋体"/>
          <w:color w:val="333333"/>
          <w:shd w:val="clear" w:color="auto" w:fill="FFFFFF"/>
          <w:lang w:eastAsia="zh-CN"/>
        </w:rPr>
        <w:t>决算</w:t>
      </w:r>
      <w:r>
        <w:rPr>
          <w:rStyle w:val="9"/>
          <w:rFonts w:hint="eastAsia" w:ascii="宋体" w:hAnsi="宋体" w:eastAsia="宋体" w:cs="宋体"/>
          <w:color w:val="333333"/>
          <w:shd w:val="clear" w:color="auto" w:fill="FFFFFF"/>
        </w:rPr>
        <w:t>表</w:t>
      </w:r>
    </w:p>
    <w:p w14:paraId="78B0BC7D">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一、收入支出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总表（表1）</w:t>
      </w:r>
    </w:p>
    <w:p w14:paraId="43DEAA72">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二、收入</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表（表2）</w:t>
      </w:r>
    </w:p>
    <w:p w14:paraId="1B75D0FF">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三、支出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表（表3）</w:t>
      </w:r>
    </w:p>
    <w:p w14:paraId="5BB778D9">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四、财政拨款收入支出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总表（表4）</w:t>
      </w:r>
    </w:p>
    <w:p w14:paraId="601D600A">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五、一般公共</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财政拨款支出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表（表5）</w:t>
      </w:r>
    </w:p>
    <w:p w14:paraId="06B906B7">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六、一般公共</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财政拨款基本支出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表（表6）</w:t>
      </w:r>
    </w:p>
    <w:p w14:paraId="07E57AD5">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七、一般公共</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财政拨款“三公”经费支出</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表（表7）</w:t>
      </w:r>
    </w:p>
    <w:p w14:paraId="5B4402CC">
      <w:pPr>
        <w:pStyle w:val="6"/>
        <w:keepNext w:val="0"/>
        <w:keepLines w:val="0"/>
        <w:pageBreakBefore w:val="0"/>
        <w:widowControl/>
        <w:numPr>
          <w:ilvl w:val="0"/>
          <w:numId w:val="1"/>
        </w:numPr>
        <w:kinsoku/>
        <w:overflowPunct/>
        <w:topLinePunct w:val="0"/>
        <w:autoSpaceDE/>
        <w:autoSpaceDN/>
        <w:bidi w:val="0"/>
        <w:adjustRightInd/>
        <w:spacing w:before="40" w:beforeAutospacing="0" w:after="0" w:afterAutospacing="0" w:line="560" w:lineRule="exact"/>
        <w:textAlignment w:val="auto"/>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八、政府性基金</w:t>
      </w:r>
      <w:r>
        <w:rPr>
          <w:rFonts w:hint="eastAsia" w:ascii="宋体" w:hAnsi="宋体" w:eastAsia="宋体" w:cs="宋体"/>
          <w:color w:val="333333"/>
          <w:shd w:val="clear" w:color="auto" w:fill="FFFFFF"/>
          <w:lang w:eastAsia="zh-CN"/>
        </w:rPr>
        <w:t>决算</w:t>
      </w:r>
      <w:r>
        <w:rPr>
          <w:rFonts w:hint="eastAsia" w:ascii="宋体" w:hAnsi="宋体" w:eastAsia="宋体" w:cs="宋体"/>
          <w:color w:val="333333"/>
          <w:shd w:val="clear" w:color="auto" w:fill="FFFFFF"/>
        </w:rPr>
        <w:t>支出情况表（表8）</w:t>
      </w:r>
    </w:p>
    <w:p w14:paraId="2CC70CF8">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eastAsia="zh-CN"/>
        </w:rPr>
        <w:t>九、国有资本经营预算财政拨款支出决算表（表</w:t>
      </w:r>
      <w:r>
        <w:rPr>
          <w:rFonts w:hint="eastAsia" w:ascii="宋体" w:hAnsi="宋体" w:eastAsia="宋体" w:cs="宋体"/>
          <w:color w:val="333333"/>
          <w:shd w:val="clear" w:color="auto" w:fill="FFFFFF"/>
          <w:lang w:val="en-US" w:eastAsia="zh-CN"/>
        </w:rPr>
        <w:t>9）</w:t>
      </w:r>
    </w:p>
    <w:p w14:paraId="51442A50">
      <w:pPr>
        <w:pStyle w:val="6"/>
        <w:keepNext w:val="0"/>
        <w:keepLines w:val="0"/>
        <w:pageBreakBefore w:val="0"/>
        <w:widowControl/>
        <w:numPr>
          <w:ilvl w:val="0"/>
          <w:numId w:val="0"/>
        </w:numPr>
        <w:kinsoku/>
        <w:overflowPunct/>
        <w:topLinePunct w:val="0"/>
        <w:autoSpaceDE/>
        <w:autoSpaceDN/>
        <w:bidi w:val="0"/>
        <w:adjustRightInd/>
        <w:spacing w:before="40" w:beforeAutospacing="0" w:after="0" w:afterAutospacing="0" w:line="560" w:lineRule="exact"/>
        <w:textAlignment w:val="auto"/>
        <w:rPr>
          <w:rStyle w:val="9"/>
          <w:rFonts w:hint="eastAsia" w:ascii="宋体" w:hAnsi="宋体" w:eastAsia="宋体" w:cs="宋体"/>
          <w:color w:val="333333"/>
          <w:shd w:val="clear" w:color="auto" w:fill="FFFFFF"/>
        </w:rPr>
      </w:pPr>
      <w:r>
        <w:rPr>
          <w:rStyle w:val="9"/>
          <w:rFonts w:hint="eastAsia" w:ascii="宋体" w:hAnsi="宋体" w:eastAsia="宋体" w:cs="宋体"/>
          <w:color w:val="333333"/>
          <w:shd w:val="clear" w:color="auto" w:fill="FFFFFF"/>
        </w:rPr>
        <w:t>第三部分：部门</w:t>
      </w:r>
      <w:r>
        <w:rPr>
          <w:rStyle w:val="9"/>
          <w:rFonts w:hint="eastAsia" w:ascii="宋体" w:hAnsi="宋体" w:eastAsia="宋体" w:cs="宋体"/>
          <w:color w:val="333333"/>
          <w:shd w:val="clear" w:color="auto" w:fill="FFFFFF"/>
          <w:lang w:eastAsia="zh-CN"/>
        </w:rPr>
        <w:t>20</w:t>
      </w:r>
      <w:r>
        <w:rPr>
          <w:rStyle w:val="9"/>
          <w:rFonts w:hint="eastAsia" w:ascii="宋体" w:hAnsi="宋体" w:eastAsia="宋体" w:cs="宋体"/>
          <w:color w:val="333333"/>
          <w:shd w:val="clear" w:color="auto" w:fill="FFFFFF"/>
          <w:lang w:val="en-US" w:eastAsia="zh-CN"/>
        </w:rPr>
        <w:t>21</w:t>
      </w:r>
      <w:r>
        <w:rPr>
          <w:rStyle w:val="9"/>
          <w:rFonts w:hint="eastAsia" w:ascii="宋体" w:hAnsi="宋体" w:eastAsia="宋体" w:cs="宋体"/>
          <w:color w:val="333333"/>
          <w:shd w:val="clear" w:color="auto" w:fill="FFFFFF"/>
        </w:rPr>
        <w:t>年部门决算情况说明</w:t>
      </w:r>
    </w:p>
    <w:p w14:paraId="71AED1A6">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一、预算执行情况分析</w:t>
      </w:r>
    </w:p>
    <w:p w14:paraId="093513CC">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二、关于“三公”经费支出说明</w:t>
      </w:r>
    </w:p>
    <w:p w14:paraId="19A3CE64">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三、关于机关运行经费支出说明</w:t>
      </w:r>
    </w:p>
    <w:p w14:paraId="0A4FF0C9">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四、关于政府采购支出说明</w:t>
      </w:r>
    </w:p>
    <w:p w14:paraId="2B66C4BC">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五、关于国有资产占用情况说明</w:t>
      </w:r>
    </w:p>
    <w:p w14:paraId="497679F3">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eastAsia="zh-CN"/>
        </w:rPr>
        <w:t>六、重点绩效评价结果等预算绩效情况说明</w:t>
      </w:r>
    </w:p>
    <w:p w14:paraId="610BA2F2">
      <w:pPr>
        <w:pStyle w:val="6"/>
        <w:keepNext w:val="0"/>
        <w:keepLines w:val="0"/>
        <w:pageBreakBefore w:val="0"/>
        <w:widowControl/>
        <w:kinsoku/>
        <w:overflowPunct/>
        <w:topLinePunct w:val="0"/>
        <w:autoSpaceDE/>
        <w:autoSpaceDN/>
        <w:bidi w:val="0"/>
        <w:adjustRightInd/>
        <w:spacing w:before="40" w:beforeAutospacing="0" w:after="76" w:afterAutospacing="0" w:line="450" w:lineRule="atLeast"/>
        <w:textAlignment w:val="auto"/>
        <w:rPr>
          <w:rFonts w:hint="eastAsia" w:ascii="宋体" w:hAnsi="宋体" w:eastAsia="宋体" w:cs="宋体"/>
          <w:color w:val="333333"/>
          <w:shd w:val="clear" w:color="auto" w:fill="FFFFFF"/>
          <w:lang w:eastAsia="zh-CN"/>
        </w:rPr>
      </w:pPr>
      <w:r>
        <w:rPr>
          <w:rFonts w:hint="eastAsia" w:ascii="宋体" w:hAnsi="宋体" w:eastAsia="宋体" w:cs="宋体"/>
          <w:color w:val="333333"/>
          <w:shd w:val="clear" w:color="auto" w:fill="FFFFFF"/>
          <w:lang w:val="en-US" w:eastAsia="zh-CN"/>
        </w:rPr>
        <w:t>七</w:t>
      </w:r>
      <w:r>
        <w:rPr>
          <w:rFonts w:hint="eastAsia" w:ascii="宋体" w:hAnsi="宋体" w:eastAsia="宋体" w:cs="宋体"/>
          <w:color w:val="333333"/>
          <w:shd w:val="clear" w:color="auto" w:fill="FFFFFF"/>
          <w:lang w:eastAsia="zh-CN"/>
        </w:rPr>
        <w:t>、决算收支增减变化情况</w:t>
      </w:r>
    </w:p>
    <w:p w14:paraId="31D26DF4">
      <w:pPr>
        <w:keepNext w:val="0"/>
        <w:keepLines w:val="0"/>
        <w:pageBreakBefore w:val="0"/>
        <w:widowControl/>
        <w:shd w:val="clear" w:color="auto" w:fill="FFFFFF"/>
        <w:kinsoku/>
        <w:overflowPunct/>
        <w:topLinePunct w:val="0"/>
        <w:autoSpaceDE/>
        <w:autoSpaceDN/>
        <w:bidi w:val="0"/>
        <w:adjustRightInd/>
        <w:spacing w:before="40" w:line="560" w:lineRule="exact"/>
        <w:jc w:val="left"/>
        <w:textAlignment w:val="auto"/>
        <w:rPr>
          <w:rStyle w:val="9"/>
          <w:rFonts w:hint="eastAsia" w:ascii="宋体" w:hAnsi="宋体" w:eastAsia="宋体" w:cs="宋体"/>
          <w:color w:val="333333"/>
          <w:kern w:val="0"/>
          <w:sz w:val="24"/>
          <w:shd w:val="clear" w:color="auto" w:fill="FFFFFF"/>
        </w:rPr>
      </w:pPr>
      <w:r>
        <w:rPr>
          <w:rStyle w:val="9"/>
          <w:rFonts w:hint="eastAsia" w:ascii="宋体" w:hAnsi="宋体" w:eastAsia="宋体" w:cs="宋体"/>
          <w:color w:val="333333"/>
          <w:kern w:val="0"/>
          <w:sz w:val="24"/>
          <w:shd w:val="clear" w:color="auto" w:fill="FFFFFF"/>
        </w:rPr>
        <w:t>第四部分：名词解释</w:t>
      </w:r>
      <w:r>
        <w:rPr>
          <w:rFonts w:hint="eastAsia" w:ascii="宋体" w:hAnsi="宋体" w:eastAsia="宋体" w:cs="宋体"/>
          <w:color w:val="333333"/>
          <w:kern w:val="0"/>
          <w:sz w:val="24"/>
          <w:shd w:val="clear" w:color="auto" w:fill="FFFFFF"/>
        </w:rPr>
        <w:t> </w:t>
      </w:r>
    </w:p>
    <w:p w14:paraId="36284B41">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075C4434">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1D41FB12">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15D8AB48">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5060F9E9">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75ED389F">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r>
        <w:rPr>
          <w:rStyle w:val="9"/>
          <w:rFonts w:hint="eastAsia" w:ascii="宋体" w:hAnsi="宋体" w:eastAsia="宋体" w:cs="宋体"/>
          <w:color w:val="333333"/>
          <w:kern w:val="0"/>
          <w:sz w:val="24"/>
          <w:shd w:val="clear" w:color="auto" w:fill="FFFFFF"/>
        </w:rPr>
        <w:t>第一部分：部门基本情况</w:t>
      </w:r>
    </w:p>
    <w:p w14:paraId="611E7DA8">
      <w:pPr>
        <w:keepNext w:val="0"/>
        <w:keepLines w:val="0"/>
        <w:pageBreakBefore w:val="0"/>
        <w:kinsoku/>
        <w:overflowPunct/>
        <w:topLinePunct w:val="0"/>
        <w:autoSpaceDE/>
        <w:autoSpaceDN/>
        <w:bidi w:val="0"/>
        <w:adjustRightInd/>
        <w:spacing w:before="40" w:line="560" w:lineRule="exact"/>
        <w:textAlignment w:val="auto"/>
        <w:rPr>
          <w:rStyle w:val="9"/>
          <w:rFonts w:hint="eastAsia" w:ascii="宋体" w:hAnsi="宋体" w:eastAsia="宋体" w:cs="宋体"/>
          <w:color w:val="333333"/>
          <w:kern w:val="0"/>
          <w:sz w:val="24"/>
          <w:shd w:val="clear" w:color="auto" w:fill="FFFFFF"/>
        </w:rPr>
      </w:pPr>
    </w:p>
    <w:p w14:paraId="0B7F5D47">
      <w:pPr>
        <w:keepNext w:val="0"/>
        <w:keepLines w:val="0"/>
        <w:pageBreakBefore w:val="0"/>
        <w:numPr>
          <w:ilvl w:val="0"/>
          <w:numId w:val="2"/>
        </w:numPr>
        <w:kinsoku/>
        <w:wordWrap w:val="0"/>
        <w:overflowPunct/>
        <w:topLinePunct w:val="0"/>
        <w:autoSpaceDE/>
        <w:autoSpaceDN/>
        <w:bidi w:val="0"/>
        <w:adjustRightInd/>
        <w:spacing w:before="40" w:after="120" w:line="560" w:lineRule="atLeast"/>
        <w:textAlignment w:val="auto"/>
        <w:rPr>
          <w:rFonts w:hint="eastAsia" w:ascii="宋体" w:hAnsi="宋体" w:eastAsia="宋体" w:cs="宋体"/>
          <w:sz w:val="28"/>
          <w:szCs w:val="28"/>
        </w:rPr>
      </w:pPr>
      <w:r>
        <w:rPr>
          <w:rFonts w:hint="eastAsia" w:ascii="宋体" w:hAnsi="宋体" w:eastAsia="宋体" w:cs="宋体"/>
          <w:b/>
          <w:bCs/>
          <w:color w:val="000000"/>
          <w:spacing w:val="2"/>
          <w:sz w:val="28"/>
          <w:szCs w:val="28"/>
        </w:rPr>
        <w:t>部门主要职责</w:t>
      </w:r>
    </w:p>
    <w:p w14:paraId="19247983">
      <w:pPr>
        <w:keepNext w:val="0"/>
        <w:keepLines w:val="0"/>
        <w:pageBreakBefore w:val="0"/>
        <w:numPr>
          <w:ilvl w:val="0"/>
          <w:numId w:val="0"/>
        </w:numPr>
        <w:kinsoku/>
        <w:wordWrap w:val="0"/>
        <w:overflowPunct/>
        <w:topLinePunct w:val="0"/>
        <w:autoSpaceDE/>
        <w:autoSpaceDN/>
        <w:bidi w:val="0"/>
        <w:adjustRightInd/>
        <w:spacing w:before="40" w:after="120" w:line="560" w:lineRule="atLeast"/>
        <w:ind w:firstLine="560" w:firstLineChars="200"/>
        <w:textAlignment w:val="auto"/>
        <w:rPr>
          <w:rFonts w:hint="eastAsia" w:ascii="宋体" w:hAnsi="宋体" w:eastAsia="宋体" w:cs="宋体"/>
          <w:sz w:val="28"/>
          <w:szCs w:val="28"/>
        </w:rPr>
      </w:pPr>
      <w:r>
        <w:rPr>
          <w:rFonts w:hint="eastAsia" w:ascii="宋体" w:hAnsi="宋体" w:eastAsia="宋体" w:cs="宋体"/>
          <w:color w:val="000000"/>
          <w:sz w:val="28"/>
          <w:szCs w:val="28"/>
        </w:rPr>
        <w:t>宣传、执行党的路线、方针、政策和国家法律、法规、保证市、区政府决议、决定的落实，对居民进行思想政治教育和社会主义法制教育。组织领导街道区域经济工作，制定街道经济发展规划，检查、督促各经济组织开展工作，负责街道财政</w:t>
      </w:r>
      <w:r>
        <w:rPr>
          <w:rFonts w:hint="eastAsia" w:ascii="宋体" w:hAnsi="宋体" w:eastAsia="宋体" w:cs="宋体"/>
          <w:color w:val="000000"/>
          <w:sz w:val="28"/>
          <w:szCs w:val="28"/>
          <w:lang w:eastAsia="zh-CN"/>
        </w:rPr>
        <w:t>决算</w:t>
      </w:r>
      <w:r>
        <w:rPr>
          <w:rFonts w:hint="eastAsia" w:ascii="宋体" w:hAnsi="宋体" w:eastAsia="宋体" w:cs="宋体"/>
          <w:color w:val="000000"/>
          <w:sz w:val="28"/>
          <w:szCs w:val="28"/>
        </w:rPr>
        <w:t>和收支管理，进行财务审计和有关项目统计。制定社会治安综合治理规划并组织实施，加强外来人口管理，开展民事调解，保护老人、儿童、妇女、残疾人和青少年的合法权益，保障辖区内政治稳定和社会安定。开展群众文化、科普、体育、校外教育及卫生保健工作，建设社会主义精神文明。开展爱国卫生、计划生育、市容卫生、环境保护、绿化美化工作。开展社会救济、社区服务、离退休人员管理、拥军优属、征集兵员以及殡葬管理工作，兴办社会福利事业，发展社会福利生产。指导居民委员会工作，促进居民委员会建设，提高居民委员会自治能力，发挥居民委员会作用。参与城市建设、危房改造及住宅小区的管理工作。协助有关部门搞好劳动力资源开发、配置、管理、监督及劳动保险的政策贯彻和社会化管理工作。配合有关部门做好防空、防汛、防水、防震、交通管理、抢险救灾工作。向区人民政府反映居民群众的意见和要求，办理人民群众来信来访事项，做好为居民群众服务工作</w:t>
      </w:r>
      <w:r>
        <w:rPr>
          <w:rFonts w:hint="eastAsia" w:ascii="宋体" w:hAnsi="宋体" w:eastAsia="宋体" w:cs="宋体"/>
          <w:bCs/>
          <w:sz w:val="28"/>
          <w:szCs w:val="28"/>
        </w:rPr>
        <w:t>。</w:t>
      </w:r>
    </w:p>
    <w:p w14:paraId="0F542C36">
      <w:pPr>
        <w:keepNext w:val="0"/>
        <w:keepLines w:val="0"/>
        <w:pageBreakBefore w:val="0"/>
        <w:kinsoku/>
        <w:overflowPunct/>
        <w:topLinePunct w:val="0"/>
        <w:autoSpaceDE/>
        <w:autoSpaceDN/>
        <w:bidi w:val="0"/>
        <w:adjustRightInd/>
        <w:spacing w:before="40" w:line="560" w:lineRule="exact"/>
        <w:textAlignment w:val="auto"/>
        <w:rPr>
          <w:rFonts w:hint="eastAsia" w:ascii="宋体" w:hAnsi="宋体" w:eastAsia="宋体" w:cs="宋体"/>
          <w:b/>
          <w:bCs/>
          <w:color w:val="000000"/>
          <w:spacing w:val="2"/>
          <w:sz w:val="28"/>
          <w:szCs w:val="28"/>
        </w:rPr>
      </w:pPr>
      <w:r>
        <w:rPr>
          <w:rFonts w:hint="eastAsia" w:ascii="宋体" w:hAnsi="宋体" w:eastAsia="宋体" w:cs="宋体"/>
          <w:b/>
          <w:bCs/>
          <w:sz w:val="28"/>
          <w:szCs w:val="28"/>
        </w:rPr>
        <w:t>二、</w:t>
      </w:r>
      <w:r>
        <w:rPr>
          <w:rFonts w:hint="eastAsia" w:ascii="宋体" w:hAnsi="宋体" w:eastAsia="宋体" w:cs="宋体"/>
          <w:b/>
          <w:bCs/>
          <w:color w:val="000000"/>
          <w:spacing w:val="2"/>
          <w:sz w:val="28"/>
          <w:szCs w:val="28"/>
        </w:rPr>
        <w:t>部门</w:t>
      </w:r>
      <w:r>
        <w:rPr>
          <w:rFonts w:hint="eastAsia" w:ascii="宋体" w:hAnsi="宋体" w:eastAsia="宋体" w:cs="宋体"/>
          <w:b/>
          <w:bCs/>
          <w:color w:val="000000"/>
          <w:spacing w:val="2"/>
          <w:sz w:val="28"/>
          <w:szCs w:val="28"/>
          <w:lang w:eastAsia="zh-CN"/>
        </w:rPr>
        <w:t>决算</w:t>
      </w:r>
      <w:r>
        <w:rPr>
          <w:rFonts w:hint="eastAsia" w:ascii="宋体" w:hAnsi="宋体" w:eastAsia="宋体" w:cs="宋体"/>
          <w:b/>
          <w:bCs/>
          <w:color w:val="000000"/>
          <w:spacing w:val="2"/>
          <w:sz w:val="28"/>
          <w:szCs w:val="28"/>
        </w:rPr>
        <w:t>单位构成</w:t>
      </w:r>
    </w:p>
    <w:p w14:paraId="5A3A4D91">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color w:val="333333"/>
          <w:kern w:val="0"/>
          <w:sz w:val="28"/>
          <w:szCs w:val="28"/>
        </w:rPr>
      </w:pPr>
      <w:r>
        <w:rPr>
          <w:rFonts w:hint="eastAsia" w:ascii="宋体" w:hAnsi="宋体" w:eastAsia="宋体" w:cs="宋体"/>
          <w:color w:val="000000"/>
          <w:sz w:val="28"/>
          <w:szCs w:val="28"/>
        </w:rPr>
        <w:t>内设机构：公共服务中心、经济服务中心、城管建设管理中心、综合办、党群办、法治办</w:t>
      </w:r>
      <w:r>
        <w:rPr>
          <w:rFonts w:hint="eastAsia" w:ascii="宋体" w:hAnsi="宋体" w:eastAsia="宋体" w:cs="宋体"/>
          <w:color w:val="333333"/>
          <w:kern w:val="0"/>
          <w:sz w:val="28"/>
          <w:szCs w:val="28"/>
        </w:rPr>
        <w:t>。</w:t>
      </w:r>
    </w:p>
    <w:p w14:paraId="68EE40BC">
      <w:pPr>
        <w:keepNext w:val="0"/>
        <w:keepLines w:val="0"/>
        <w:pageBreakBefore w:val="0"/>
        <w:widowControl/>
        <w:kinsoku/>
        <w:overflowPunct/>
        <w:topLinePunct w:val="0"/>
        <w:autoSpaceDE/>
        <w:autoSpaceDN/>
        <w:bidi w:val="0"/>
        <w:adjustRightInd/>
        <w:spacing w:before="40"/>
        <w:textAlignment w:val="auto"/>
        <w:rPr>
          <w:rFonts w:hint="eastAsia" w:ascii="宋体" w:hAnsi="宋体" w:eastAsia="宋体" w:cs="宋体"/>
          <w:color w:val="000000"/>
          <w:kern w:val="0"/>
          <w:sz w:val="28"/>
          <w:szCs w:val="28"/>
        </w:rPr>
      </w:pPr>
    </w:p>
    <w:p w14:paraId="3B00729E">
      <w:pPr>
        <w:keepNext w:val="0"/>
        <w:keepLines w:val="0"/>
        <w:pageBreakBefore w:val="0"/>
        <w:widowControl/>
        <w:kinsoku/>
        <w:overflowPunct/>
        <w:topLinePunct w:val="0"/>
        <w:autoSpaceDE/>
        <w:autoSpaceDN/>
        <w:bidi w:val="0"/>
        <w:adjustRightInd/>
        <w:spacing w:before="40"/>
        <w:textAlignment w:val="auto"/>
        <w:rPr>
          <w:rFonts w:hint="eastAsia" w:ascii="宋体" w:hAnsi="宋体" w:eastAsia="宋体" w:cs="宋体"/>
          <w:color w:val="000000"/>
          <w:kern w:val="0"/>
          <w:sz w:val="28"/>
          <w:szCs w:val="28"/>
        </w:rPr>
      </w:pPr>
    </w:p>
    <w:p w14:paraId="0C7BF25F">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55C5662A">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235F7AB6">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7BB4810D">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05D68070">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78CC8997">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3CAF8946">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68C59F6A">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18CDB284">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2E6B68D4">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0BA4D52F">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4215EE18">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p>
    <w:p w14:paraId="450C09B8">
      <w:pPr>
        <w:keepNext w:val="0"/>
        <w:keepLines w:val="0"/>
        <w:pageBreakBefore w:val="0"/>
        <w:widowControl/>
        <w:kinsoku/>
        <w:overflowPunct/>
        <w:topLinePunct w:val="0"/>
        <w:autoSpaceDE/>
        <w:autoSpaceDN/>
        <w:bidi w:val="0"/>
        <w:adjustRightInd/>
        <w:spacing w:before="40"/>
        <w:jc w:val="left"/>
        <w:textAlignment w:val="auto"/>
        <w:rPr>
          <w:rStyle w:val="9"/>
          <w:rFonts w:hint="eastAsia" w:ascii="宋体" w:hAnsi="宋体" w:eastAsia="宋体" w:cs="宋体"/>
          <w:color w:val="333333"/>
          <w:kern w:val="0"/>
          <w:sz w:val="24"/>
          <w:szCs w:val="22"/>
          <w:highlight w:val="none"/>
          <w:shd w:val="clear" w:color="auto" w:fill="FFFFFF"/>
        </w:rPr>
      </w:pPr>
      <w:r>
        <w:rPr>
          <w:rStyle w:val="9"/>
          <w:rFonts w:hint="eastAsia" w:ascii="宋体" w:hAnsi="宋体" w:eastAsia="宋体" w:cs="宋体"/>
          <w:color w:val="333333"/>
          <w:kern w:val="0"/>
          <w:sz w:val="24"/>
          <w:szCs w:val="22"/>
          <w:highlight w:val="none"/>
          <w:shd w:val="clear" w:color="auto" w:fill="FFFFFF"/>
        </w:rPr>
        <w:t>第二部分: 部门</w:t>
      </w:r>
      <w:r>
        <w:rPr>
          <w:rStyle w:val="9"/>
          <w:rFonts w:hint="eastAsia" w:ascii="宋体" w:hAnsi="宋体" w:eastAsia="宋体" w:cs="宋体"/>
          <w:color w:val="333333"/>
          <w:kern w:val="0"/>
          <w:sz w:val="24"/>
          <w:szCs w:val="22"/>
          <w:highlight w:val="none"/>
          <w:shd w:val="clear" w:color="auto" w:fill="FFFFFF"/>
          <w:lang w:eastAsia="zh-CN"/>
        </w:rPr>
        <w:t>2021年</w:t>
      </w:r>
      <w:r>
        <w:rPr>
          <w:rStyle w:val="9"/>
          <w:rFonts w:hint="eastAsia" w:ascii="宋体" w:hAnsi="宋体" w:eastAsia="宋体" w:cs="宋体"/>
          <w:color w:val="333333"/>
          <w:kern w:val="0"/>
          <w:sz w:val="24"/>
          <w:szCs w:val="22"/>
          <w:highlight w:val="none"/>
          <w:shd w:val="clear" w:color="auto" w:fill="FFFFFF"/>
        </w:rPr>
        <w:t>部门</w:t>
      </w:r>
      <w:r>
        <w:rPr>
          <w:rStyle w:val="9"/>
          <w:rFonts w:hint="eastAsia" w:ascii="宋体" w:hAnsi="宋体" w:eastAsia="宋体" w:cs="宋体"/>
          <w:color w:val="333333"/>
          <w:kern w:val="0"/>
          <w:sz w:val="24"/>
          <w:szCs w:val="22"/>
          <w:highlight w:val="none"/>
          <w:shd w:val="clear" w:color="auto" w:fill="FFFFFF"/>
          <w:lang w:eastAsia="zh-CN"/>
        </w:rPr>
        <w:t>决算</w:t>
      </w:r>
      <w:r>
        <w:rPr>
          <w:rStyle w:val="9"/>
          <w:rFonts w:hint="eastAsia" w:ascii="宋体" w:hAnsi="宋体" w:eastAsia="宋体" w:cs="宋体"/>
          <w:color w:val="333333"/>
          <w:kern w:val="0"/>
          <w:sz w:val="24"/>
          <w:szCs w:val="22"/>
          <w:highlight w:val="none"/>
          <w:shd w:val="clear" w:color="auto" w:fill="FFFFFF"/>
        </w:rPr>
        <w:t>表</w:t>
      </w:r>
    </w:p>
    <w:p w14:paraId="22861EE8">
      <w:pPr>
        <w:keepNext w:val="0"/>
        <w:keepLines w:val="0"/>
        <w:pageBreakBefore w:val="0"/>
        <w:widowControl/>
        <w:kinsoku/>
        <w:overflowPunct/>
        <w:topLinePunct w:val="0"/>
        <w:autoSpaceDE/>
        <w:autoSpaceDN/>
        <w:bidi w:val="0"/>
        <w:adjustRightInd/>
        <w:spacing w:before="40"/>
        <w:jc w:val="left"/>
        <w:textAlignment w:val="auto"/>
        <w:rPr>
          <w:rFonts w:hint="eastAsia" w:ascii="宋体" w:hAnsi="宋体" w:eastAsia="宋体" w:cs="宋体"/>
          <w:b/>
          <w:bCs/>
          <w:color w:val="333333"/>
          <w:kern w:val="0"/>
          <w:sz w:val="24"/>
          <w:shd w:val="clear" w:color="auto" w:fill="FFFFFF"/>
        </w:rPr>
      </w:pPr>
      <w:r>
        <w:rPr>
          <w:rFonts w:hint="eastAsia" w:ascii="宋体" w:hAnsi="宋体" w:eastAsia="宋体" w:cs="宋体"/>
        </w:rPr>
        <w:drawing>
          <wp:inline distT="0" distB="0" distL="114300" distR="114300">
            <wp:extent cx="7463155" cy="2621915"/>
            <wp:effectExtent l="0" t="0" r="4445" b="698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7463155" cy="2621915"/>
                    </a:xfrm>
                    <a:prstGeom prst="rect">
                      <a:avLst/>
                    </a:prstGeom>
                    <a:noFill/>
                    <a:ln>
                      <a:noFill/>
                    </a:ln>
                  </pic:spPr>
                </pic:pic>
              </a:graphicData>
            </a:graphic>
          </wp:inline>
        </w:drawing>
      </w:r>
    </w:p>
    <w:p w14:paraId="2E87A201">
      <w:pPr>
        <w:keepNext w:val="0"/>
        <w:keepLines w:val="0"/>
        <w:pageBreakBefore w:val="0"/>
        <w:widowControl/>
        <w:kinsoku/>
        <w:overflowPunct/>
        <w:topLinePunct w:val="0"/>
        <w:autoSpaceDE/>
        <w:autoSpaceDN/>
        <w:bidi w:val="0"/>
        <w:adjustRightInd/>
        <w:spacing w:before="40"/>
        <w:jc w:val="left"/>
        <w:textAlignment w:val="auto"/>
        <w:rPr>
          <w:rFonts w:hint="eastAsia" w:ascii="宋体" w:hAnsi="宋体" w:eastAsia="宋体" w:cs="宋体"/>
          <w:b/>
          <w:bCs/>
          <w:color w:val="333333"/>
          <w:kern w:val="0"/>
          <w:sz w:val="24"/>
          <w:shd w:val="clear" w:color="auto" w:fill="FFFFFF"/>
        </w:rPr>
      </w:pPr>
    </w:p>
    <w:p w14:paraId="5480A9D2">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r>
        <w:rPr>
          <w:rFonts w:hint="eastAsia" w:ascii="宋体" w:hAnsi="宋体" w:eastAsia="宋体" w:cs="宋体"/>
        </w:rPr>
        <w:drawing>
          <wp:inline distT="0" distB="0" distL="114300" distR="114300">
            <wp:extent cx="7615555" cy="1770380"/>
            <wp:effectExtent l="0" t="0" r="4445"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6"/>
                    <a:stretch>
                      <a:fillRect/>
                    </a:stretch>
                  </pic:blipFill>
                  <pic:spPr>
                    <a:xfrm>
                      <a:off x="0" y="0"/>
                      <a:ext cx="7615555" cy="1770380"/>
                    </a:xfrm>
                    <a:prstGeom prst="rect">
                      <a:avLst/>
                    </a:prstGeom>
                    <a:noFill/>
                    <a:ln>
                      <a:noFill/>
                    </a:ln>
                  </pic:spPr>
                </pic:pic>
              </a:graphicData>
            </a:graphic>
          </wp:inline>
        </w:drawing>
      </w:r>
    </w:p>
    <w:p w14:paraId="5F015806">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r>
        <w:rPr>
          <w:rFonts w:hint="eastAsia" w:ascii="宋体" w:hAnsi="宋体" w:eastAsia="宋体" w:cs="宋体"/>
        </w:rPr>
        <w:drawing>
          <wp:inline distT="0" distB="0" distL="114300" distR="114300">
            <wp:extent cx="8317865" cy="2054860"/>
            <wp:effectExtent l="0" t="0" r="6985" b="25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7"/>
                    <a:stretch>
                      <a:fillRect/>
                    </a:stretch>
                  </pic:blipFill>
                  <pic:spPr>
                    <a:xfrm>
                      <a:off x="0" y="0"/>
                      <a:ext cx="8317865" cy="2054860"/>
                    </a:xfrm>
                    <a:prstGeom prst="rect">
                      <a:avLst/>
                    </a:prstGeom>
                    <a:noFill/>
                    <a:ln>
                      <a:noFill/>
                    </a:ln>
                  </pic:spPr>
                </pic:pic>
              </a:graphicData>
            </a:graphic>
          </wp:inline>
        </w:drawing>
      </w:r>
    </w:p>
    <w:p w14:paraId="12EA05DF">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p>
    <w:p w14:paraId="39C82AFF">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p>
    <w:p w14:paraId="1F7FC23D">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r>
        <w:rPr>
          <w:rFonts w:hint="eastAsia" w:ascii="宋体" w:hAnsi="宋体" w:eastAsia="宋体" w:cs="宋体"/>
        </w:rPr>
        <w:drawing>
          <wp:inline distT="0" distB="0" distL="114300" distR="114300">
            <wp:extent cx="8137525" cy="5288280"/>
            <wp:effectExtent l="0" t="0" r="15875" b="762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8"/>
                    <a:stretch>
                      <a:fillRect/>
                    </a:stretch>
                  </pic:blipFill>
                  <pic:spPr>
                    <a:xfrm>
                      <a:off x="0" y="0"/>
                      <a:ext cx="8137525" cy="5288280"/>
                    </a:xfrm>
                    <a:prstGeom prst="rect">
                      <a:avLst/>
                    </a:prstGeom>
                    <a:noFill/>
                    <a:ln>
                      <a:noFill/>
                    </a:ln>
                  </pic:spPr>
                </pic:pic>
              </a:graphicData>
            </a:graphic>
          </wp:inline>
        </w:drawing>
      </w:r>
    </w:p>
    <w:p w14:paraId="7CCC2828">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p>
    <w:p w14:paraId="0B882FCC">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b/>
          <w:bCs/>
          <w:color w:val="333333"/>
          <w:kern w:val="0"/>
          <w:sz w:val="24"/>
          <w:shd w:val="clear" w:color="auto" w:fill="FFFFFF"/>
        </w:rPr>
      </w:pPr>
      <w:r>
        <w:rPr>
          <w:rFonts w:hint="eastAsia" w:ascii="宋体" w:hAnsi="宋体" w:eastAsia="宋体" w:cs="宋体"/>
        </w:rPr>
        <w:drawing>
          <wp:inline distT="0" distB="0" distL="114300" distR="114300">
            <wp:extent cx="8157845" cy="2679700"/>
            <wp:effectExtent l="0" t="0" r="14605" b="635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9"/>
                    <a:stretch>
                      <a:fillRect/>
                    </a:stretch>
                  </pic:blipFill>
                  <pic:spPr>
                    <a:xfrm>
                      <a:off x="0" y="0"/>
                      <a:ext cx="8157845" cy="2679700"/>
                    </a:xfrm>
                    <a:prstGeom prst="rect">
                      <a:avLst/>
                    </a:prstGeom>
                    <a:noFill/>
                    <a:ln>
                      <a:noFill/>
                    </a:ln>
                  </pic:spPr>
                </pic:pic>
              </a:graphicData>
            </a:graphic>
          </wp:inline>
        </w:drawing>
      </w:r>
    </w:p>
    <w:p w14:paraId="0B2393A9">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rPr>
      </w:pPr>
      <w:r>
        <w:rPr>
          <w:rFonts w:hint="eastAsia" w:ascii="宋体" w:hAnsi="宋体" w:eastAsia="宋体" w:cs="宋体"/>
        </w:rPr>
        <w:drawing>
          <wp:inline distT="0" distB="0" distL="114300" distR="114300">
            <wp:extent cx="8634095" cy="4258310"/>
            <wp:effectExtent l="0" t="0" r="14605" b="889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0"/>
                    <a:stretch>
                      <a:fillRect/>
                    </a:stretch>
                  </pic:blipFill>
                  <pic:spPr>
                    <a:xfrm>
                      <a:off x="0" y="0"/>
                      <a:ext cx="8634095" cy="4258310"/>
                    </a:xfrm>
                    <a:prstGeom prst="rect">
                      <a:avLst/>
                    </a:prstGeom>
                    <a:noFill/>
                    <a:ln>
                      <a:noFill/>
                    </a:ln>
                  </pic:spPr>
                </pic:pic>
              </a:graphicData>
            </a:graphic>
          </wp:inline>
        </w:drawing>
      </w:r>
    </w:p>
    <w:p w14:paraId="4F62C8FD">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rPr>
      </w:pPr>
    </w:p>
    <w:p w14:paraId="5B03E706">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eastAsia="宋体" w:cs="宋体"/>
        </w:rPr>
      </w:pPr>
    </w:p>
    <w:tbl>
      <w:tblPr>
        <w:tblStyle w:val="7"/>
        <w:tblpPr w:leftFromText="180" w:rightFromText="180" w:vertAnchor="text" w:horzAnchor="page" w:tblpX="1403" w:tblpY="3768"/>
        <w:tblOverlap w:val="neve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565"/>
        <w:gridCol w:w="222"/>
        <w:gridCol w:w="222"/>
        <w:gridCol w:w="1016"/>
        <w:gridCol w:w="1616"/>
        <w:gridCol w:w="1016"/>
        <w:gridCol w:w="616"/>
        <w:gridCol w:w="1016"/>
        <w:gridCol w:w="1016"/>
        <w:gridCol w:w="1756"/>
      </w:tblGrid>
      <w:tr w14:paraId="0AD1A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13061" w:type="dxa"/>
            <w:gridSpan w:val="10"/>
            <w:tcBorders>
              <w:top w:val="nil"/>
              <w:left w:val="nil"/>
              <w:bottom w:val="nil"/>
              <w:right w:val="nil"/>
            </w:tcBorders>
            <w:shd w:val="clear" w:color="auto" w:fill="FFFFFF"/>
            <w:noWrap/>
            <w:vAlign w:val="center"/>
          </w:tcPr>
          <w:p w14:paraId="20B0273A">
            <w:pPr>
              <w:ind w:left="-840" w:leftChars="-400" w:firstLine="0" w:firstLineChars="0"/>
              <w:jc w:val="center"/>
              <w:rPr>
                <w:rFonts w:hint="eastAsia" w:ascii="宋体" w:hAnsi="宋体" w:eastAsia="宋体" w:cs="宋体"/>
                <w:i w:val="0"/>
                <w:iCs w:val="0"/>
                <w:color w:val="000000"/>
                <w:sz w:val="18"/>
                <w:szCs w:val="18"/>
                <w:u w:val="none"/>
              </w:rPr>
            </w:pPr>
            <w:r>
              <w:rPr>
                <w:rFonts w:hint="eastAsia" w:ascii="黑体" w:hAnsi="宋体" w:eastAsia="黑体" w:cs="黑体"/>
                <w:i w:val="0"/>
                <w:iCs w:val="0"/>
                <w:color w:val="000000"/>
                <w:kern w:val="0"/>
                <w:sz w:val="30"/>
                <w:szCs w:val="30"/>
                <w:u w:val="none"/>
                <w:lang w:val="en-US" w:eastAsia="zh-CN" w:bidi="ar"/>
              </w:rPr>
              <w:t>政府性基金预算财政拨款收入支出决算表</w:t>
            </w:r>
          </w:p>
        </w:tc>
      </w:tr>
      <w:tr w14:paraId="4430BE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65" w:type="dxa"/>
            <w:tcBorders>
              <w:top w:val="nil"/>
              <w:left w:val="nil"/>
              <w:bottom w:val="nil"/>
              <w:right w:val="nil"/>
            </w:tcBorders>
            <w:shd w:val="clear" w:color="auto" w:fill="FFFFFF"/>
            <w:noWrap/>
            <w:vAlign w:val="center"/>
          </w:tcPr>
          <w:p w14:paraId="46650DEC">
            <w:pPr>
              <w:jc w:val="left"/>
              <w:rPr>
                <w:rFonts w:hint="eastAsia" w:ascii="宋体" w:hAnsi="宋体" w:eastAsia="宋体" w:cs="宋体"/>
                <w:i w:val="0"/>
                <w:iCs w:val="0"/>
                <w:color w:val="000000"/>
                <w:sz w:val="18"/>
                <w:szCs w:val="18"/>
                <w:u w:val="none"/>
              </w:rPr>
            </w:pPr>
          </w:p>
        </w:tc>
        <w:tc>
          <w:tcPr>
            <w:tcW w:w="222" w:type="dxa"/>
            <w:tcBorders>
              <w:top w:val="nil"/>
              <w:left w:val="nil"/>
              <w:bottom w:val="nil"/>
              <w:right w:val="nil"/>
            </w:tcBorders>
            <w:shd w:val="clear" w:color="auto" w:fill="FFFFFF"/>
            <w:noWrap/>
            <w:vAlign w:val="center"/>
          </w:tcPr>
          <w:p w14:paraId="4730F03E">
            <w:pPr>
              <w:jc w:val="left"/>
              <w:rPr>
                <w:rFonts w:hint="eastAsia" w:ascii="宋体" w:hAnsi="宋体" w:eastAsia="宋体" w:cs="宋体"/>
                <w:i w:val="0"/>
                <w:iCs w:val="0"/>
                <w:color w:val="000000"/>
                <w:sz w:val="18"/>
                <w:szCs w:val="18"/>
                <w:u w:val="none"/>
              </w:rPr>
            </w:pPr>
          </w:p>
        </w:tc>
        <w:tc>
          <w:tcPr>
            <w:tcW w:w="222" w:type="dxa"/>
            <w:tcBorders>
              <w:top w:val="nil"/>
              <w:left w:val="nil"/>
              <w:bottom w:val="nil"/>
              <w:right w:val="nil"/>
            </w:tcBorders>
            <w:shd w:val="clear" w:color="auto" w:fill="FFFFFF"/>
            <w:noWrap/>
            <w:vAlign w:val="center"/>
          </w:tcPr>
          <w:p w14:paraId="0FB60B6F">
            <w:pPr>
              <w:jc w:val="left"/>
              <w:rPr>
                <w:rFonts w:hint="eastAsia" w:ascii="宋体" w:hAnsi="宋体" w:eastAsia="宋体" w:cs="宋体"/>
                <w:i w:val="0"/>
                <w:iCs w:val="0"/>
                <w:color w:val="000000"/>
                <w:sz w:val="18"/>
                <w:szCs w:val="18"/>
                <w:u w:val="none"/>
              </w:rPr>
            </w:pPr>
          </w:p>
        </w:tc>
        <w:tc>
          <w:tcPr>
            <w:tcW w:w="1016" w:type="dxa"/>
            <w:tcBorders>
              <w:top w:val="nil"/>
              <w:left w:val="nil"/>
              <w:bottom w:val="nil"/>
              <w:right w:val="nil"/>
            </w:tcBorders>
            <w:shd w:val="clear" w:color="auto" w:fill="FFFFFF"/>
            <w:noWrap/>
            <w:vAlign w:val="center"/>
          </w:tcPr>
          <w:p w14:paraId="6F22B929">
            <w:pPr>
              <w:jc w:val="left"/>
              <w:rPr>
                <w:rFonts w:hint="eastAsia" w:ascii="宋体" w:hAnsi="宋体" w:eastAsia="宋体" w:cs="宋体"/>
                <w:i w:val="0"/>
                <w:iCs w:val="0"/>
                <w:color w:val="000000"/>
                <w:sz w:val="18"/>
                <w:szCs w:val="18"/>
                <w:u w:val="none"/>
              </w:rPr>
            </w:pPr>
          </w:p>
        </w:tc>
        <w:tc>
          <w:tcPr>
            <w:tcW w:w="1616" w:type="dxa"/>
            <w:tcBorders>
              <w:top w:val="nil"/>
              <w:left w:val="nil"/>
              <w:bottom w:val="nil"/>
              <w:right w:val="nil"/>
            </w:tcBorders>
            <w:shd w:val="clear" w:color="auto" w:fill="FFFFFF"/>
            <w:noWrap/>
            <w:vAlign w:val="center"/>
          </w:tcPr>
          <w:p w14:paraId="6359B7C6">
            <w:pPr>
              <w:jc w:val="left"/>
              <w:rPr>
                <w:rFonts w:hint="eastAsia" w:ascii="宋体" w:hAnsi="宋体" w:eastAsia="宋体" w:cs="宋体"/>
                <w:i w:val="0"/>
                <w:iCs w:val="0"/>
                <w:color w:val="000000"/>
                <w:sz w:val="18"/>
                <w:szCs w:val="18"/>
                <w:u w:val="none"/>
              </w:rPr>
            </w:pPr>
          </w:p>
        </w:tc>
        <w:tc>
          <w:tcPr>
            <w:tcW w:w="1016" w:type="dxa"/>
            <w:tcBorders>
              <w:top w:val="nil"/>
              <w:left w:val="nil"/>
              <w:bottom w:val="nil"/>
              <w:right w:val="nil"/>
            </w:tcBorders>
            <w:shd w:val="clear" w:color="auto" w:fill="FFFFFF"/>
            <w:noWrap/>
            <w:vAlign w:val="center"/>
          </w:tcPr>
          <w:p w14:paraId="3083444A">
            <w:pPr>
              <w:jc w:val="left"/>
              <w:rPr>
                <w:rFonts w:hint="eastAsia" w:ascii="宋体" w:hAnsi="宋体" w:eastAsia="宋体" w:cs="宋体"/>
                <w:i w:val="0"/>
                <w:iCs w:val="0"/>
                <w:color w:val="000000"/>
                <w:sz w:val="18"/>
                <w:szCs w:val="18"/>
                <w:u w:val="none"/>
              </w:rPr>
            </w:pPr>
          </w:p>
        </w:tc>
        <w:tc>
          <w:tcPr>
            <w:tcW w:w="616" w:type="dxa"/>
            <w:tcBorders>
              <w:top w:val="nil"/>
              <w:left w:val="nil"/>
              <w:bottom w:val="nil"/>
              <w:right w:val="nil"/>
            </w:tcBorders>
            <w:shd w:val="clear" w:color="auto" w:fill="FFFFFF"/>
            <w:noWrap/>
            <w:vAlign w:val="center"/>
          </w:tcPr>
          <w:p w14:paraId="0227EEF0">
            <w:pPr>
              <w:jc w:val="left"/>
              <w:rPr>
                <w:rFonts w:hint="eastAsia" w:ascii="宋体" w:hAnsi="宋体" w:eastAsia="宋体" w:cs="宋体"/>
                <w:i w:val="0"/>
                <w:iCs w:val="0"/>
                <w:color w:val="000000"/>
                <w:sz w:val="18"/>
                <w:szCs w:val="18"/>
                <w:u w:val="none"/>
              </w:rPr>
            </w:pPr>
          </w:p>
        </w:tc>
        <w:tc>
          <w:tcPr>
            <w:tcW w:w="1016" w:type="dxa"/>
            <w:tcBorders>
              <w:top w:val="nil"/>
              <w:left w:val="nil"/>
              <w:bottom w:val="nil"/>
              <w:right w:val="nil"/>
            </w:tcBorders>
            <w:shd w:val="clear" w:color="auto" w:fill="FFFFFF"/>
            <w:noWrap/>
            <w:vAlign w:val="center"/>
          </w:tcPr>
          <w:p w14:paraId="137EB35C">
            <w:pPr>
              <w:jc w:val="left"/>
              <w:rPr>
                <w:rFonts w:hint="eastAsia" w:ascii="宋体" w:hAnsi="宋体" w:eastAsia="宋体" w:cs="宋体"/>
                <w:i w:val="0"/>
                <w:iCs w:val="0"/>
                <w:color w:val="000000"/>
                <w:sz w:val="18"/>
                <w:szCs w:val="18"/>
                <w:u w:val="none"/>
              </w:rPr>
            </w:pPr>
          </w:p>
        </w:tc>
        <w:tc>
          <w:tcPr>
            <w:tcW w:w="1016" w:type="dxa"/>
            <w:tcBorders>
              <w:top w:val="nil"/>
              <w:left w:val="nil"/>
              <w:bottom w:val="nil"/>
              <w:right w:val="nil"/>
            </w:tcBorders>
            <w:shd w:val="clear" w:color="auto" w:fill="FFFFFF"/>
            <w:noWrap/>
            <w:vAlign w:val="center"/>
          </w:tcPr>
          <w:p w14:paraId="1189AF32">
            <w:pPr>
              <w:jc w:val="left"/>
              <w:rPr>
                <w:rFonts w:hint="eastAsia" w:ascii="宋体" w:hAnsi="宋体" w:eastAsia="宋体" w:cs="宋体"/>
                <w:i w:val="0"/>
                <w:iCs w:val="0"/>
                <w:color w:val="000000"/>
                <w:sz w:val="18"/>
                <w:szCs w:val="18"/>
                <w:u w:val="none"/>
              </w:rPr>
            </w:pPr>
          </w:p>
        </w:tc>
        <w:tc>
          <w:tcPr>
            <w:tcW w:w="1756" w:type="dxa"/>
            <w:tcBorders>
              <w:top w:val="nil"/>
              <w:left w:val="nil"/>
              <w:bottom w:val="nil"/>
              <w:right w:val="nil"/>
            </w:tcBorders>
            <w:shd w:val="clear" w:color="auto" w:fill="FFFFFF"/>
            <w:noWrap/>
            <w:vAlign w:val="center"/>
          </w:tcPr>
          <w:p w14:paraId="520737F1">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公开08表</w:t>
            </w:r>
          </w:p>
        </w:tc>
      </w:tr>
      <w:tr w14:paraId="0DE1E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4565" w:type="dxa"/>
            <w:tcBorders>
              <w:top w:val="nil"/>
              <w:left w:val="nil"/>
              <w:bottom w:val="single" w:color="000000" w:sz="4" w:space="0"/>
              <w:right w:val="nil"/>
            </w:tcBorders>
            <w:shd w:val="clear" w:color="auto" w:fill="FFFFFF"/>
            <w:noWrap/>
            <w:vAlign w:val="center"/>
          </w:tcPr>
          <w:p w14:paraId="584955D3">
            <w:pPr>
              <w:keepNext w:val="0"/>
              <w:keepLines w:val="0"/>
              <w:widowControl/>
              <w:suppressLineNumbers w:val="0"/>
              <w:jc w:val="left"/>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部门：黄石市黄石港区</w:t>
            </w:r>
            <w:r>
              <w:rPr>
                <w:rFonts w:hint="eastAsia" w:ascii="宋体" w:hAnsi="宋体" w:cs="宋体"/>
                <w:i w:val="0"/>
                <w:iCs w:val="0"/>
                <w:color w:val="000000"/>
                <w:kern w:val="0"/>
                <w:sz w:val="22"/>
                <w:szCs w:val="22"/>
                <w:u w:val="none"/>
                <w:lang w:val="en-US" w:eastAsia="zh-CN" w:bidi="ar"/>
              </w:rPr>
              <w:t>胜阳港街道办事处</w:t>
            </w:r>
          </w:p>
        </w:tc>
        <w:tc>
          <w:tcPr>
            <w:tcW w:w="222" w:type="dxa"/>
            <w:tcBorders>
              <w:top w:val="nil"/>
              <w:left w:val="nil"/>
              <w:bottom w:val="single" w:color="000000" w:sz="4" w:space="0"/>
              <w:right w:val="nil"/>
            </w:tcBorders>
            <w:shd w:val="clear" w:color="auto" w:fill="FFFFFF"/>
            <w:noWrap/>
            <w:vAlign w:val="center"/>
          </w:tcPr>
          <w:p w14:paraId="09EF3CC4">
            <w:pPr>
              <w:jc w:val="center"/>
              <w:rPr>
                <w:rFonts w:hint="eastAsia" w:ascii="宋体" w:hAnsi="宋体" w:eastAsia="宋体" w:cs="宋体"/>
                <w:i w:val="0"/>
                <w:iCs w:val="0"/>
                <w:color w:val="000000"/>
                <w:sz w:val="18"/>
                <w:szCs w:val="18"/>
                <w:u w:val="none"/>
              </w:rPr>
            </w:pPr>
          </w:p>
        </w:tc>
        <w:tc>
          <w:tcPr>
            <w:tcW w:w="222" w:type="dxa"/>
            <w:tcBorders>
              <w:top w:val="nil"/>
              <w:left w:val="nil"/>
              <w:bottom w:val="single" w:color="000000" w:sz="4" w:space="0"/>
              <w:right w:val="nil"/>
            </w:tcBorders>
            <w:shd w:val="clear" w:color="auto" w:fill="FFFFFF"/>
            <w:noWrap/>
            <w:vAlign w:val="center"/>
          </w:tcPr>
          <w:p w14:paraId="3221D94C">
            <w:pPr>
              <w:jc w:val="center"/>
              <w:rPr>
                <w:rFonts w:hint="eastAsia" w:ascii="宋体" w:hAnsi="宋体" w:eastAsia="宋体" w:cs="宋体"/>
                <w:i w:val="0"/>
                <w:iCs w:val="0"/>
                <w:color w:val="000000"/>
                <w:sz w:val="18"/>
                <w:szCs w:val="18"/>
                <w:u w:val="none"/>
              </w:rPr>
            </w:pPr>
          </w:p>
        </w:tc>
        <w:tc>
          <w:tcPr>
            <w:tcW w:w="1016" w:type="dxa"/>
            <w:tcBorders>
              <w:top w:val="nil"/>
              <w:left w:val="nil"/>
              <w:bottom w:val="single" w:color="000000" w:sz="4" w:space="0"/>
              <w:right w:val="nil"/>
            </w:tcBorders>
            <w:shd w:val="clear" w:color="auto" w:fill="FFFFFF"/>
            <w:noWrap/>
            <w:vAlign w:val="center"/>
          </w:tcPr>
          <w:p w14:paraId="74C1B36B">
            <w:pPr>
              <w:jc w:val="center"/>
              <w:rPr>
                <w:rFonts w:hint="eastAsia" w:ascii="宋体" w:hAnsi="宋体" w:eastAsia="宋体" w:cs="宋体"/>
                <w:i w:val="0"/>
                <w:iCs w:val="0"/>
                <w:color w:val="000000"/>
                <w:sz w:val="18"/>
                <w:szCs w:val="18"/>
                <w:u w:val="none"/>
              </w:rPr>
            </w:pPr>
          </w:p>
        </w:tc>
        <w:tc>
          <w:tcPr>
            <w:tcW w:w="1616" w:type="dxa"/>
            <w:tcBorders>
              <w:top w:val="nil"/>
              <w:left w:val="nil"/>
              <w:bottom w:val="single" w:color="000000" w:sz="4" w:space="0"/>
              <w:right w:val="nil"/>
            </w:tcBorders>
            <w:shd w:val="clear" w:color="auto" w:fill="FFFFFF"/>
            <w:noWrap/>
            <w:vAlign w:val="center"/>
          </w:tcPr>
          <w:p w14:paraId="7F07D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2021年度</w:t>
            </w:r>
          </w:p>
        </w:tc>
        <w:tc>
          <w:tcPr>
            <w:tcW w:w="1016" w:type="dxa"/>
            <w:tcBorders>
              <w:top w:val="nil"/>
              <w:left w:val="nil"/>
              <w:bottom w:val="single" w:color="000000" w:sz="4" w:space="0"/>
              <w:right w:val="nil"/>
            </w:tcBorders>
            <w:shd w:val="clear" w:color="auto" w:fill="FFFFFF"/>
            <w:noWrap/>
            <w:vAlign w:val="center"/>
          </w:tcPr>
          <w:p w14:paraId="61A9B47B">
            <w:pPr>
              <w:jc w:val="center"/>
              <w:rPr>
                <w:rFonts w:hint="eastAsia" w:ascii="宋体" w:hAnsi="宋体" w:eastAsia="宋体" w:cs="宋体"/>
                <w:i w:val="0"/>
                <w:iCs w:val="0"/>
                <w:color w:val="000000"/>
                <w:sz w:val="18"/>
                <w:szCs w:val="18"/>
                <w:u w:val="none"/>
              </w:rPr>
            </w:pPr>
          </w:p>
        </w:tc>
        <w:tc>
          <w:tcPr>
            <w:tcW w:w="616" w:type="dxa"/>
            <w:tcBorders>
              <w:top w:val="nil"/>
              <w:left w:val="nil"/>
              <w:bottom w:val="single" w:color="000000" w:sz="4" w:space="0"/>
              <w:right w:val="nil"/>
            </w:tcBorders>
            <w:shd w:val="clear" w:color="auto" w:fill="FFFFFF"/>
            <w:noWrap/>
            <w:vAlign w:val="center"/>
          </w:tcPr>
          <w:p w14:paraId="389761CF">
            <w:pPr>
              <w:jc w:val="center"/>
              <w:rPr>
                <w:rFonts w:hint="eastAsia" w:ascii="宋体" w:hAnsi="宋体" w:eastAsia="宋体" w:cs="宋体"/>
                <w:i w:val="0"/>
                <w:iCs w:val="0"/>
                <w:color w:val="000000"/>
                <w:sz w:val="18"/>
                <w:szCs w:val="18"/>
                <w:u w:val="none"/>
              </w:rPr>
            </w:pPr>
          </w:p>
        </w:tc>
        <w:tc>
          <w:tcPr>
            <w:tcW w:w="1016" w:type="dxa"/>
            <w:tcBorders>
              <w:top w:val="nil"/>
              <w:left w:val="nil"/>
              <w:bottom w:val="single" w:color="000000" w:sz="4" w:space="0"/>
              <w:right w:val="nil"/>
            </w:tcBorders>
            <w:shd w:val="clear" w:color="auto" w:fill="FFFFFF"/>
            <w:noWrap/>
            <w:vAlign w:val="center"/>
          </w:tcPr>
          <w:p w14:paraId="30B82A75">
            <w:pPr>
              <w:jc w:val="center"/>
              <w:rPr>
                <w:rFonts w:hint="eastAsia" w:ascii="宋体" w:hAnsi="宋体" w:eastAsia="宋体" w:cs="宋体"/>
                <w:i w:val="0"/>
                <w:iCs w:val="0"/>
                <w:color w:val="000000"/>
                <w:sz w:val="18"/>
                <w:szCs w:val="18"/>
                <w:u w:val="none"/>
              </w:rPr>
            </w:pPr>
          </w:p>
        </w:tc>
        <w:tc>
          <w:tcPr>
            <w:tcW w:w="1016" w:type="dxa"/>
            <w:tcBorders>
              <w:top w:val="nil"/>
              <w:left w:val="nil"/>
              <w:bottom w:val="single" w:color="000000" w:sz="4" w:space="0"/>
              <w:right w:val="nil"/>
            </w:tcBorders>
            <w:shd w:val="clear" w:color="auto" w:fill="FFFFFF"/>
            <w:noWrap/>
            <w:vAlign w:val="center"/>
          </w:tcPr>
          <w:p w14:paraId="6C6F6180">
            <w:pPr>
              <w:jc w:val="center"/>
              <w:rPr>
                <w:rFonts w:hint="eastAsia" w:ascii="宋体" w:hAnsi="宋体" w:eastAsia="宋体" w:cs="宋体"/>
                <w:i w:val="0"/>
                <w:iCs w:val="0"/>
                <w:color w:val="000000"/>
                <w:sz w:val="18"/>
                <w:szCs w:val="18"/>
                <w:u w:val="none"/>
              </w:rPr>
            </w:pPr>
          </w:p>
        </w:tc>
        <w:tc>
          <w:tcPr>
            <w:tcW w:w="1756" w:type="dxa"/>
            <w:tcBorders>
              <w:top w:val="nil"/>
              <w:left w:val="nil"/>
              <w:bottom w:val="single" w:color="000000" w:sz="4" w:space="0"/>
              <w:right w:val="nil"/>
            </w:tcBorders>
            <w:shd w:val="clear" w:color="auto" w:fill="FFFFFF"/>
            <w:noWrap/>
            <w:vAlign w:val="center"/>
          </w:tcPr>
          <w:p w14:paraId="1DD1A6E2">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1C26A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025" w:type="dxa"/>
            <w:gridSpan w:val="4"/>
            <w:tcBorders>
              <w:top w:val="nil"/>
              <w:left w:val="single" w:color="000000" w:sz="4" w:space="0"/>
              <w:bottom w:val="single" w:color="000000" w:sz="4" w:space="0"/>
              <w:right w:val="single" w:color="000000" w:sz="4" w:space="0"/>
            </w:tcBorders>
            <w:shd w:val="clear" w:color="auto" w:fill="C0C0C0"/>
            <w:noWrap/>
            <w:vAlign w:val="center"/>
          </w:tcPr>
          <w:p w14:paraId="3711AAB8">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w:t>
            </w:r>
          </w:p>
        </w:tc>
        <w:tc>
          <w:tcPr>
            <w:tcW w:w="1616" w:type="dxa"/>
            <w:vMerge w:val="restart"/>
            <w:tcBorders>
              <w:top w:val="nil"/>
              <w:left w:val="nil"/>
              <w:bottom w:val="single" w:color="000000" w:sz="4" w:space="0"/>
              <w:right w:val="single" w:color="000000" w:sz="4" w:space="0"/>
            </w:tcBorders>
            <w:shd w:val="clear" w:color="auto" w:fill="C0C0C0"/>
            <w:noWrap w:val="0"/>
            <w:vAlign w:val="center"/>
          </w:tcPr>
          <w:p w14:paraId="7F61E6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年初结转和结余</w:t>
            </w:r>
          </w:p>
        </w:tc>
        <w:tc>
          <w:tcPr>
            <w:tcW w:w="1016" w:type="dxa"/>
            <w:vMerge w:val="restart"/>
            <w:tcBorders>
              <w:top w:val="nil"/>
              <w:left w:val="nil"/>
              <w:bottom w:val="single" w:color="000000" w:sz="4" w:space="0"/>
              <w:right w:val="single" w:color="000000" w:sz="4" w:space="0"/>
            </w:tcBorders>
            <w:shd w:val="clear" w:color="auto" w:fill="C0C0C0"/>
            <w:noWrap w:val="0"/>
            <w:vAlign w:val="center"/>
          </w:tcPr>
          <w:p w14:paraId="02FBF2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本年收入</w:t>
            </w:r>
          </w:p>
        </w:tc>
        <w:tc>
          <w:tcPr>
            <w:tcW w:w="2648" w:type="dxa"/>
            <w:gridSpan w:val="3"/>
            <w:tcBorders>
              <w:top w:val="nil"/>
              <w:left w:val="nil"/>
              <w:bottom w:val="single" w:color="000000" w:sz="4" w:space="0"/>
              <w:right w:val="single" w:color="000000" w:sz="4" w:space="0"/>
            </w:tcBorders>
            <w:shd w:val="clear" w:color="auto" w:fill="C0C0C0"/>
            <w:noWrap w:val="0"/>
            <w:vAlign w:val="center"/>
          </w:tcPr>
          <w:p w14:paraId="0CCD963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本年支出</w:t>
            </w:r>
          </w:p>
        </w:tc>
        <w:tc>
          <w:tcPr>
            <w:tcW w:w="1756" w:type="dxa"/>
            <w:vMerge w:val="restart"/>
            <w:tcBorders>
              <w:top w:val="nil"/>
              <w:left w:val="nil"/>
              <w:bottom w:val="single" w:color="000000" w:sz="4" w:space="0"/>
              <w:right w:val="single" w:color="000000" w:sz="4" w:space="0"/>
            </w:tcBorders>
            <w:shd w:val="clear" w:color="auto" w:fill="C0C0C0"/>
            <w:noWrap w:val="0"/>
            <w:vAlign w:val="center"/>
          </w:tcPr>
          <w:p w14:paraId="53C147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年末结转和结余</w:t>
            </w:r>
          </w:p>
        </w:tc>
      </w:tr>
      <w:tr w14:paraId="65672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9" w:type="dxa"/>
            <w:gridSpan w:val="3"/>
            <w:vMerge w:val="restart"/>
            <w:tcBorders>
              <w:top w:val="nil"/>
              <w:left w:val="single" w:color="000000" w:sz="4" w:space="0"/>
              <w:bottom w:val="single" w:color="000000" w:sz="4" w:space="0"/>
              <w:right w:val="single" w:color="000000" w:sz="4" w:space="0"/>
            </w:tcBorders>
            <w:shd w:val="clear" w:color="auto" w:fill="C0C0C0"/>
            <w:noWrap w:val="0"/>
            <w:vAlign w:val="center"/>
          </w:tcPr>
          <w:p w14:paraId="644D69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功能分类科目编码</w:t>
            </w:r>
          </w:p>
        </w:tc>
        <w:tc>
          <w:tcPr>
            <w:tcW w:w="1016" w:type="dxa"/>
            <w:vMerge w:val="restart"/>
            <w:tcBorders>
              <w:top w:val="nil"/>
              <w:left w:val="nil"/>
              <w:bottom w:val="single" w:color="000000" w:sz="4" w:space="0"/>
              <w:right w:val="single" w:color="000000" w:sz="4" w:space="0"/>
            </w:tcBorders>
            <w:shd w:val="clear" w:color="auto" w:fill="C0C0C0"/>
            <w:noWrap/>
            <w:vAlign w:val="center"/>
          </w:tcPr>
          <w:p w14:paraId="5E05439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科目名称</w:t>
            </w:r>
          </w:p>
        </w:tc>
        <w:tc>
          <w:tcPr>
            <w:tcW w:w="1616" w:type="dxa"/>
            <w:vMerge w:val="continue"/>
            <w:tcBorders>
              <w:top w:val="nil"/>
              <w:left w:val="nil"/>
              <w:bottom w:val="single" w:color="000000" w:sz="4" w:space="0"/>
              <w:right w:val="single" w:color="000000" w:sz="4" w:space="0"/>
            </w:tcBorders>
            <w:shd w:val="clear" w:color="auto" w:fill="C0C0C0"/>
            <w:noWrap w:val="0"/>
            <w:vAlign w:val="center"/>
          </w:tcPr>
          <w:p w14:paraId="1E5460AD">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1709B948">
            <w:pPr>
              <w:jc w:val="center"/>
              <w:rPr>
                <w:rFonts w:hint="eastAsia" w:ascii="宋体" w:hAnsi="宋体" w:eastAsia="宋体" w:cs="宋体"/>
                <w:i w:val="0"/>
                <w:iCs w:val="0"/>
                <w:color w:val="000000"/>
                <w:sz w:val="20"/>
                <w:szCs w:val="20"/>
                <w:u w:val="none"/>
              </w:rPr>
            </w:pPr>
          </w:p>
        </w:tc>
        <w:tc>
          <w:tcPr>
            <w:tcW w:w="616" w:type="dxa"/>
            <w:vMerge w:val="restart"/>
            <w:tcBorders>
              <w:top w:val="nil"/>
              <w:left w:val="nil"/>
              <w:bottom w:val="single" w:color="000000" w:sz="4" w:space="0"/>
              <w:right w:val="single" w:color="000000" w:sz="4" w:space="0"/>
            </w:tcBorders>
            <w:shd w:val="clear" w:color="auto" w:fill="C0C0C0"/>
            <w:noWrap w:val="0"/>
            <w:vAlign w:val="center"/>
          </w:tcPr>
          <w:p w14:paraId="60E9BA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小计</w:t>
            </w:r>
          </w:p>
        </w:tc>
        <w:tc>
          <w:tcPr>
            <w:tcW w:w="1016" w:type="dxa"/>
            <w:vMerge w:val="restart"/>
            <w:tcBorders>
              <w:top w:val="nil"/>
              <w:left w:val="nil"/>
              <w:bottom w:val="single" w:color="000000" w:sz="4" w:space="0"/>
              <w:right w:val="single" w:color="000000" w:sz="4" w:space="0"/>
            </w:tcBorders>
            <w:shd w:val="clear" w:color="auto" w:fill="C0C0C0"/>
            <w:noWrap w:val="0"/>
            <w:vAlign w:val="center"/>
          </w:tcPr>
          <w:p w14:paraId="660841F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基本支出</w:t>
            </w:r>
          </w:p>
        </w:tc>
        <w:tc>
          <w:tcPr>
            <w:tcW w:w="1016" w:type="dxa"/>
            <w:vMerge w:val="restart"/>
            <w:tcBorders>
              <w:top w:val="nil"/>
              <w:left w:val="nil"/>
              <w:bottom w:val="single" w:color="000000" w:sz="4" w:space="0"/>
              <w:right w:val="single" w:color="000000" w:sz="4" w:space="0"/>
            </w:tcBorders>
            <w:shd w:val="clear" w:color="auto" w:fill="C0C0C0"/>
            <w:noWrap w:val="0"/>
            <w:vAlign w:val="center"/>
          </w:tcPr>
          <w:p w14:paraId="22BBB9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项目支出</w:t>
            </w:r>
          </w:p>
        </w:tc>
        <w:tc>
          <w:tcPr>
            <w:tcW w:w="1756" w:type="dxa"/>
            <w:vMerge w:val="continue"/>
            <w:tcBorders>
              <w:top w:val="nil"/>
              <w:left w:val="nil"/>
              <w:bottom w:val="single" w:color="000000" w:sz="4" w:space="0"/>
              <w:right w:val="single" w:color="000000" w:sz="4" w:space="0"/>
            </w:tcBorders>
            <w:shd w:val="clear" w:color="auto" w:fill="C0C0C0"/>
            <w:noWrap w:val="0"/>
            <w:vAlign w:val="center"/>
          </w:tcPr>
          <w:p w14:paraId="4DA85C3C">
            <w:pPr>
              <w:jc w:val="center"/>
              <w:rPr>
                <w:rFonts w:hint="eastAsia" w:ascii="宋体" w:hAnsi="宋体" w:eastAsia="宋体" w:cs="宋体"/>
                <w:i w:val="0"/>
                <w:iCs w:val="0"/>
                <w:color w:val="000000"/>
                <w:sz w:val="20"/>
                <w:szCs w:val="20"/>
                <w:u w:val="none"/>
              </w:rPr>
            </w:pPr>
          </w:p>
        </w:tc>
      </w:tr>
      <w:tr w14:paraId="6983A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9" w:type="dxa"/>
            <w:gridSpan w:val="3"/>
            <w:vMerge w:val="continue"/>
            <w:tcBorders>
              <w:top w:val="nil"/>
              <w:left w:val="single" w:color="000000" w:sz="4" w:space="0"/>
              <w:bottom w:val="single" w:color="000000" w:sz="4" w:space="0"/>
              <w:right w:val="single" w:color="000000" w:sz="4" w:space="0"/>
            </w:tcBorders>
            <w:shd w:val="clear" w:color="auto" w:fill="C0C0C0"/>
            <w:noWrap w:val="0"/>
            <w:vAlign w:val="center"/>
          </w:tcPr>
          <w:p w14:paraId="64A35BD4">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ign w:val="center"/>
          </w:tcPr>
          <w:p w14:paraId="094F8D1A">
            <w:pPr>
              <w:jc w:val="center"/>
              <w:rPr>
                <w:rFonts w:hint="eastAsia" w:ascii="宋体" w:hAnsi="宋体" w:eastAsia="宋体" w:cs="宋体"/>
                <w:i w:val="0"/>
                <w:iCs w:val="0"/>
                <w:color w:val="000000"/>
                <w:sz w:val="20"/>
                <w:szCs w:val="20"/>
                <w:u w:val="none"/>
              </w:rPr>
            </w:pPr>
          </w:p>
        </w:tc>
        <w:tc>
          <w:tcPr>
            <w:tcW w:w="1616" w:type="dxa"/>
            <w:vMerge w:val="continue"/>
            <w:tcBorders>
              <w:top w:val="nil"/>
              <w:left w:val="nil"/>
              <w:bottom w:val="single" w:color="000000" w:sz="4" w:space="0"/>
              <w:right w:val="single" w:color="000000" w:sz="4" w:space="0"/>
            </w:tcBorders>
            <w:shd w:val="clear" w:color="auto" w:fill="C0C0C0"/>
            <w:noWrap w:val="0"/>
            <w:vAlign w:val="center"/>
          </w:tcPr>
          <w:p w14:paraId="3AF3460C">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4F9448AB">
            <w:pPr>
              <w:jc w:val="center"/>
              <w:rPr>
                <w:rFonts w:hint="eastAsia" w:ascii="宋体" w:hAnsi="宋体" w:eastAsia="宋体" w:cs="宋体"/>
                <w:i w:val="0"/>
                <w:iCs w:val="0"/>
                <w:color w:val="000000"/>
                <w:sz w:val="20"/>
                <w:szCs w:val="20"/>
                <w:u w:val="none"/>
              </w:rPr>
            </w:pPr>
          </w:p>
        </w:tc>
        <w:tc>
          <w:tcPr>
            <w:tcW w:w="616" w:type="dxa"/>
            <w:vMerge w:val="continue"/>
            <w:tcBorders>
              <w:top w:val="nil"/>
              <w:left w:val="nil"/>
              <w:bottom w:val="single" w:color="000000" w:sz="4" w:space="0"/>
              <w:right w:val="single" w:color="000000" w:sz="4" w:space="0"/>
            </w:tcBorders>
            <w:shd w:val="clear" w:color="auto" w:fill="C0C0C0"/>
            <w:noWrap w:val="0"/>
            <w:vAlign w:val="center"/>
          </w:tcPr>
          <w:p w14:paraId="50EA01EF">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19B361B3">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180165E8">
            <w:pPr>
              <w:jc w:val="center"/>
              <w:rPr>
                <w:rFonts w:hint="eastAsia" w:ascii="宋体" w:hAnsi="宋体" w:eastAsia="宋体" w:cs="宋体"/>
                <w:i w:val="0"/>
                <w:iCs w:val="0"/>
                <w:color w:val="000000"/>
                <w:sz w:val="20"/>
                <w:szCs w:val="20"/>
                <w:u w:val="none"/>
              </w:rPr>
            </w:pPr>
          </w:p>
        </w:tc>
        <w:tc>
          <w:tcPr>
            <w:tcW w:w="1756" w:type="dxa"/>
            <w:vMerge w:val="continue"/>
            <w:tcBorders>
              <w:top w:val="nil"/>
              <w:left w:val="nil"/>
              <w:bottom w:val="single" w:color="000000" w:sz="4" w:space="0"/>
              <w:right w:val="single" w:color="000000" w:sz="4" w:space="0"/>
            </w:tcBorders>
            <w:shd w:val="clear" w:color="auto" w:fill="C0C0C0"/>
            <w:noWrap w:val="0"/>
            <w:vAlign w:val="center"/>
          </w:tcPr>
          <w:p w14:paraId="102A8976">
            <w:pPr>
              <w:jc w:val="center"/>
              <w:rPr>
                <w:rFonts w:hint="eastAsia" w:ascii="宋体" w:hAnsi="宋体" w:eastAsia="宋体" w:cs="宋体"/>
                <w:i w:val="0"/>
                <w:iCs w:val="0"/>
                <w:color w:val="000000"/>
                <w:sz w:val="20"/>
                <w:szCs w:val="20"/>
                <w:u w:val="none"/>
              </w:rPr>
            </w:pPr>
          </w:p>
        </w:tc>
      </w:tr>
      <w:tr w14:paraId="0E6979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9" w:type="dxa"/>
            <w:gridSpan w:val="3"/>
            <w:vMerge w:val="continue"/>
            <w:tcBorders>
              <w:top w:val="nil"/>
              <w:left w:val="single" w:color="000000" w:sz="4" w:space="0"/>
              <w:bottom w:val="single" w:color="000000" w:sz="4" w:space="0"/>
              <w:right w:val="single" w:color="000000" w:sz="4" w:space="0"/>
            </w:tcBorders>
            <w:shd w:val="clear" w:color="auto" w:fill="C0C0C0"/>
            <w:noWrap w:val="0"/>
            <w:vAlign w:val="center"/>
          </w:tcPr>
          <w:p w14:paraId="44599626">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ign w:val="center"/>
          </w:tcPr>
          <w:p w14:paraId="7F87A878">
            <w:pPr>
              <w:jc w:val="center"/>
              <w:rPr>
                <w:rFonts w:hint="eastAsia" w:ascii="宋体" w:hAnsi="宋体" w:eastAsia="宋体" w:cs="宋体"/>
                <w:i w:val="0"/>
                <w:iCs w:val="0"/>
                <w:color w:val="000000"/>
                <w:sz w:val="20"/>
                <w:szCs w:val="20"/>
                <w:u w:val="none"/>
              </w:rPr>
            </w:pPr>
          </w:p>
        </w:tc>
        <w:tc>
          <w:tcPr>
            <w:tcW w:w="1616" w:type="dxa"/>
            <w:vMerge w:val="continue"/>
            <w:tcBorders>
              <w:top w:val="nil"/>
              <w:left w:val="nil"/>
              <w:bottom w:val="single" w:color="000000" w:sz="4" w:space="0"/>
              <w:right w:val="single" w:color="000000" w:sz="4" w:space="0"/>
            </w:tcBorders>
            <w:shd w:val="clear" w:color="auto" w:fill="C0C0C0"/>
            <w:noWrap w:val="0"/>
            <w:vAlign w:val="center"/>
          </w:tcPr>
          <w:p w14:paraId="770FC582">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2B07403D">
            <w:pPr>
              <w:jc w:val="center"/>
              <w:rPr>
                <w:rFonts w:hint="eastAsia" w:ascii="宋体" w:hAnsi="宋体" w:eastAsia="宋体" w:cs="宋体"/>
                <w:i w:val="0"/>
                <w:iCs w:val="0"/>
                <w:color w:val="000000"/>
                <w:sz w:val="20"/>
                <w:szCs w:val="20"/>
                <w:u w:val="none"/>
              </w:rPr>
            </w:pPr>
          </w:p>
        </w:tc>
        <w:tc>
          <w:tcPr>
            <w:tcW w:w="616" w:type="dxa"/>
            <w:vMerge w:val="continue"/>
            <w:tcBorders>
              <w:top w:val="nil"/>
              <w:left w:val="nil"/>
              <w:bottom w:val="single" w:color="000000" w:sz="4" w:space="0"/>
              <w:right w:val="single" w:color="000000" w:sz="4" w:space="0"/>
            </w:tcBorders>
            <w:shd w:val="clear" w:color="auto" w:fill="C0C0C0"/>
            <w:noWrap w:val="0"/>
            <w:vAlign w:val="center"/>
          </w:tcPr>
          <w:p w14:paraId="364BAEC0">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798E011D">
            <w:pPr>
              <w:jc w:val="center"/>
              <w:rPr>
                <w:rFonts w:hint="eastAsia" w:ascii="宋体" w:hAnsi="宋体" w:eastAsia="宋体" w:cs="宋体"/>
                <w:i w:val="0"/>
                <w:iCs w:val="0"/>
                <w:color w:val="000000"/>
                <w:sz w:val="20"/>
                <w:szCs w:val="20"/>
                <w:u w:val="none"/>
              </w:rPr>
            </w:pPr>
          </w:p>
        </w:tc>
        <w:tc>
          <w:tcPr>
            <w:tcW w:w="1016" w:type="dxa"/>
            <w:vMerge w:val="continue"/>
            <w:tcBorders>
              <w:top w:val="nil"/>
              <w:left w:val="nil"/>
              <w:bottom w:val="single" w:color="000000" w:sz="4" w:space="0"/>
              <w:right w:val="single" w:color="000000" w:sz="4" w:space="0"/>
            </w:tcBorders>
            <w:shd w:val="clear" w:color="auto" w:fill="C0C0C0"/>
            <w:noWrap w:val="0"/>
            <w:vAlign w:val="center"/>
          </w:tcPr>
          <w:p w14:paraId="18670F4F">
            <w:pPr>
              <w:jc w:val="center"/>
              <w:rPr>
                <w:rFonts w:hint="eastAsia" w:ascii="宋体" w:hAnsi="宋体" w:eastAsia="宋体" w:cs="宋体"/>
                <w:i w:val="0"/>
                <w:iCs w:val="0"/>
                <w:color w:val="000000"/>
                <w:sz w:val="20"/>
                <w:szCs w:val="20"/>
                <w:u w:val="none"/>
              </w:rPr>
            </w:pPr>
          </w:p>
        </w:tc>
        <w:tc>
          <w:tcPr>
            <w:tcW w:w="1756" w:type="dxa"/>
            <w:vMerge w:val="continue"/>
            <w:tcBorders>
              <w:top w:val="nil"/>
              <w:left w:val="nil"/>
              <w:bottom w:val="single" w:color="000000" w:sz="4" w:space="0"/>
              <w:right w:val="single" w:color="000000" w:sz="4" w:space="0"/>
            </w:tcBorders>
            <w:shd w:val="clear" w:color="auto" w:fill="C0C0C0"/>
            <w:noWrap w:val="0"/>
            <w:vAlign w:val="center"/>
          </w:tcPr>
          <w:p w14:paraId="3FD4F6B1">
            <w:pPr>
              <w:jc w:val="center"/>
              <w:rPr>
                <w:rFonts w:hint="eastAsia" w:ascii="宋体" w:hAnsi="宋体" w:eastAsia="宋体" w:cs="宋体"/>
                <w:i w:val="0"/>
                <w:iCs w:val="0"/>
                <w:color w:val="000000"/>
                <w:sz w:val="20"/>
                <w:szCs w:val="20"/>
                <w:u w:val="none"/>
              </w:rPr>
            </w:pPr>
          </w:p>
        </w:tc>
      </w:tr>
      <w:tr w14:paraId="6BE67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025" w:type="dxa"/>
            <w:gridSpan w:val="4"/>
            <w:tcBorders>
              <w:top w:val="nil"/>
              <w:left w:val="single" w:color="000000" w:sz="4" w:space="0"/>
              <w:bottom w:val="single" w:color="000000" w:sz="4" w:space="0"/>
              <w:right w:val="single" w:color="000000" w:sz="4" w:space="0"/>
            </w:tcBorders>
            <w:shd w:val="clear" w:color="auto" w:fill="C0C0C0"/>
            <w:noWrap/>
            <w:vAlign w:val="center"/>
          </w:tcPr>
          <w:p w14:paraId="63DC88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栏次</w:t>
            </w:r>
          </w:p>
        </w:tc>
        <w:tc>
          <w:tcPr>
            <w:tcW w:w="1616" w:type="dxa"/>
            <w:tcBorders>
              <w:top w:val="nil"/>
              <w:left w:val="nil"/>
              <w:bottom w:val="single" w:color="000000" w:sz="4" w:space="0"/>
              <w:right w:val="single" w:color="000000" w:sz="4" w:space="0"/>
            </w:tcBorders>
            <w:shd w:val="clear" w:color="auto" w:fill="C0C0C0"/>
            <w:noWrap/>
            <w:vAlign w:val="center"/>
          </w:tcPr>
          <w:p w14:paraId="6C425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016" w:type="dxa"/>
            <w:tcBorders>
              <w:top w:val="nil"/>
              <w:left w:val="nil"/>
              <w:bottom w:val="single" w:color="000000" w:sz="4" w:space="0"/>
              <w:right w:val="single" w:color="000000" w:sz="4" w:space="0"/>
            </w:tcBorders>
            <w:shd w:val="clear" w:color="auto" w:fill="C0C0C0"/>
            <w:noWrap/>
            <w:vAlign w:val="center"/>
          </w:tcPr>
          <w:p w14:paraId="30EE54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616" w:type="dxa"/>
            <w:tcBorders>
              <w:top w:val="nil"/>
              <w:left w:val="nil"/>
              <w:bottom w:val="single" w:color="000000" w:sz="4" w:space="0"/>
              <w:right w:val="single" w:color="000000" w:sz="4" w:space="0"/>
            </w:tcBorders>
            <w:shd w:val="clear" w:color="auto" w:fill="C0C0C0"/>
            <w:noWrap/>
            <w:vAlign w:val="center"/>
          </w:tcPr>
          <w:p w14:paraId="53683E0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016" w:type="dxa"/>
            <w:tcBorders>
              <w:top w:val="nil"/>
              <w:left w:val="nil"/>
              <w:bottom w:val="single" w:color="000000" w:sz="4" w:space="0"/>
              <w:right w:val="single" w:color="000000" w:sz="4" w:space="0"/>
            </w:tcBorders>
            <w:shd w:val="clear" w:color="auto" w:fill="C0C0C0"/>
            <w:noWrap/>
            <w:vAlign w:val="center"/>
          </w:tcPr>
          <w:p w14:paraId="14EE12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016" w:type="dxa"/>
            <w:tcBorders>
              <w:top w:val="nil"/>
              <w:left w:val="nil"/>
              <w:bottom w:val="single" w:color="000000" w:sz="4" w:space="0"/>
              <w:right w:val="single" w:color="000000" w:sz="4" w:space="0"/>
            </w:tcBorders>
            <w:shd w:val="clear" w:color="auto" w:fill="C0C0C0"/>
            <w:noWrap/>
            <w:vAlign w:val="center"/>
          </w:tcPr>
          <w:p w14:paraId="7421425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1756" w:type="dxa"/>
            <w:tcBorders>
              <w:top w:val="nil"/>
              <w:left w:val="nil"/>
              <w:bottom w:val="single" w:color="000000" w:sz="4" w:space="0"/>
              <w:right w:val="single" w:color="000000" w:sz="4" w:space="0"/>
            </w:tcBorders>
            <w:shd w:val="clear" w:color="auto" w:fill="C0C0C0"/>
            <w:noWrap/>
            <w:vAlign w:val="center"/>
          </w:tcPr>
          <w:p w14:paraId="523061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r>
      <w:tr w14:paraId="127DC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025" w:type="dxa"/>
            <w:gridSpan w:val="4"/>
            <w:tcBorders>
              <w:top w:val="nil"/>
              <w:left w:val="single" w:color="000000" w:sz="4" w:space="0"/>
              <w:bottom w:val="single" w:color="000000" w:sz="4" w:space="0"/>
              <w:right w:val="single" w:color="000000" w:sz="4" w:space="0"/>
            </w:tcBorders>
            <w:shd w:val="clear" w:color="auto" w:fill="C0C0C0"/>
            <w:noWrap/>
            <w:vAlign w:val="center"/>
          </w:tcPr>
          <w:p w14:paraId="3A67EBDC">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1616" w:type="dxa"/>
            <w:tcBorders>
              <w:top w:val="nil"/>
              <w:left w:val="nil"/>
              <w:bottom w:val="single" w:color="000000" w:sz="4" w:space="0"/>
              <w:right w:val="single" w:color="000000" w:sz="4" w:space="0"/>
            </w:tcBorders>
            <w:shd w:val="clear" w:color="auto" w:fill="FFFFFF"/>
            <w:noWrap/>
            <w:vAlign w:val="center"/>
          </w:tcPr>
          <w:p w14:paraId="0D6B5961">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587AE0DD">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616" w:type="dxa"/>
            <w:tcBorders>
              <w:top w:val="nil"/>
              <w:left w:val="nil"/>
              <w:bottom w:val="single" w:color="000000" w:sz="4" w:space="0"/>
              <w:right w:val="single" w:color="000000" w:sz="4" w:space="0"/>
            </w:tcBorders>
            <w:shd w:val="clear" w:color="auto" w:fill="FFFFFF"/>
            <w:noWrap/>
            <w:vAlign w:val="center"/>
          </w:tcPr>
          <w:p w14:paraId="413825AE">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2A4AC9B4">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7970163F">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756" w:type="dxa"/>
            <w:tcBorders>
              <w:top w:val="nil"/>
              <w:left w:val="nil"/>
              <w:bottom w:val="single" w:color="000000" w:sz="4" w:space="0"/>
              <w:right w:val="single" w:color="000000" w:sz="4" w:space="0"/>
            </w:tcBorders>
            <w:shd w:val="clear" w:color="auto" w:fill="FFFFFF"/>
            <w:noWrap/>
            <w:vAlign w:val="center"/>
          </w:tcPr>
          <w:p w14:paraId="40BC6855">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r>
      <w:tr w14:paraId="12104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5009" w:type="dxa"/>
            <w:gridSpan w:val="3"/>
            <w:tcBorders>
              <w:top w:val="nil"/>
              <w:left w:val="single" w:color="000000" w:sz="4" w:space="0"/>
              <w:bottom w:val="single" w:color="000000" w:sz="4" w:space="0"/>
              <w:right w:val="single" w:color="000000" w:sz="4" w:space="0"/>
            </w:tcBorders>
            <w:shd w:val="clear" w:color="auto" w:fill="FFFFFF"/>
            <w:noWrap/>
            <w:vAlign w:val="center"/>
          </w:tcPr>
          <w:p w14:paraId="452005B4">
            <w:pPr>
              <w:jc w:val="left"/>
              <w:rPr>
                <w:rFonts w:hint="eastAsia" w:ascii="宋体" w:hAnsi="宋体" w:eastAsia="宋体" w:cs="宋体"/>
                <w:i w:val="0"/>
                <w:iCs w:val="0"/>
                <w:color w:val="000000"/>
                <w:sz w:val="20"/>
                <w:szCs w:val="20"/>
                <w:u w:val="none"/>
              </w:rPr>
            </w:pPr>
          </w:p>
        </w:tc>
        <w:tc>
          <w:tcPr>
            <w:tcW w:w="1016" w:type="dxa"/>
            <w:tcBorders>
              <w:top w:val="nil"/>
              <w:left w:val="nil"/>
              <w:bottom w:val="single" w:color="000000" w:sz="4" w:space="0"/>
              <w:right w:val="single" w:color="000000" w:sz="4" w:space="0"/>
            </w:tcBorders>
            <w:shd w:val="clear" w:color="auto" w:fill="CCFFFF"/>
            <w:noWrap/>
            <w:vAlign w:val="center"/>
          </w:tcPr>
          <w:p w14:paraId="6306FD60">
            <w:pPr>
              <w:jc w:val="left"/>
              <w:rPr>
                <w:rFonts w:hint="eastAsia" w:ascii="宋体" w:hAnsi="宋体" w:eastAsia="宋体" w:cs="宋体"/>
                <w:i w:val="0"/>
                <w:iCs w:val="0"/>
                <w:color w:val="000000"/>
                <w:sz w:val="20"/>
                <w:szCs w:val="20"/>
                <w:u w:val="none"/>
              </w:rPr>
            </w:pPr>
          </w:p>
        </w:tc>
        <w:tc>
          <w:tcPr>
            <w:tcW w:w="1616" w:type="dxa"/>
            <w:tcBorders>
              <w:top w:val="nil"/>
              <w:left w:val="nil"/>
              <w:bottom w:val="single" w:color="000000" w:sz="4" w:space="0"/>
              <w:right w:val="single" w:color="000000" w:sz="4" w:space="0"/>
            </w:tcBorders>
            <w:shd w:val="clear" w:color="auto" w:fill="FFFFFF"/>
            <w:noWrap/>
            <w:vAlign w:val="center"/>
          </w:tcPr>
          <w:p w14:paraId="6BEB3489">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4E799778">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616" w:type="dxa"/>
            <w:tcBorders>
              <w:top w:val="nil"/>
              <w:left w:val="nil"/>
              <w:bottom w:val="single" w:color="000000" w:sz="4" w:space="0"/>
              <w:right w:val="single" w:color="000000" w:sz="4" w:space="0"/>
            </w:tcBorders>
            <w:shd w:val="clear" w:color="auto" w:fill="FFFFFF"/>
            <w:noWrap/>
            <w:vAlign w:val="center"/>
          </w:tcPr>
          <w:p w14:paraId="6BC99158">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072D9DC6">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016" w:type="dxa"/>
            <w:tcBorders>
              <w:top w:val="nil"/>
              <w:left w:val="nil"/>
              <w:bottom w:val="single" w:color="000000" w:sz="4" w:space="0"/>
              <w:right w:val="single" w:color="000000" w:sz="4" w:space="0"/>
            </w:tcBorders>
            <w:shd w:val="clear" w:color="auto" w:fill="FFFFFF"/>
            <w:noWrap/>
            <w:vAlign w:val="center"/>
          </w:tcPr>
          <w:p w14:paraId="72756BCA">
            <w:pPr>
              <w:jc w:val="right"/>
              <w:rPr>
                <w:rFonts w:hint="eastAsia" w:ascii="宋体" w:hAnsi="宋体" w:eastAsia="宋体" w:cs="宋体"/>
                <w:i w:val="0"/>
                <w:iCs w:val="0"/>
                <w:color w:val="000000"/>
                <w:sz w:val="20"/>
                <w:szCs w:val="20"/>
                <w:u w:val="none"/>
              </w:rPr>
            </w:pPr>
          </w:p>
        </w:tc>
        <w:tc>
          <w:tcPr>
            <w:tcW w:w="1756" w:type="dxa"/>
            <w:tcBorders>
              <w:top w:val="nil"/>
              <w:left w:val="nil"/>
              <w:bottom w:val="single" w:color="000000" w:sz="4" w:space="0"/>
              <w:right w:val="single" w:color="000000" w:sz="4" w:space="0"/>
            </w:tcBorders>
            <w:shd w:val="clear" w:color="auto" w:fill="FFFFFF"/>
            <w:noWrap/>
            <w:vAlign w:val="center"/>
          </w:tcPr>
          <w:p w14:paraId="4DA3EB66">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r>
      <w:tr w14:paraId="68006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3061" w:type="dxa"/>
            <w:gridSpan w:val="10"/>
            <w:tcBorders>
              <w:top w:val="nil"/>
              <w:left w:val="nil"/>
              <w:bottom w:val="nil"/>
              <w:right w:val="nil"/>
            </w:tcBorders>
            <w:shd w:val="clear" w:color="auto" w:fill="FFFFFF"/>
            <w:noWrap/>
            <w:vAlign w:val="center"/>
          </w:tcPr>
          <w:p w14:paraId="3CA887E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注：本表反映部门本年度政府性基金预算财政拨款收入、支出及结转和结余情况。 </w:t>
            </w:r>
          </w:p>
          <w:p w14:paraId="46D96E1C">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我部门无此项内容，本表无数据。</w:t>
            </w:r>
          </w:p>
        </w:tc>
      </w:tr>
    </w:tbl>
    <w:p w14:paraId="3E68F232">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pPr>
      <w:r>
        <w:drawing>
          <wp:inline distT="0" distB="0" distL="114300" distR="114300">
            <wp:extent cx="8283575" cy="1779905"/>
            <wp:effectExtent l="0" t="0" r="3175" b="10795"/>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pic:cNvPicPr>
                      <a:picLocks noChangeAspect="1"/>
                    </pic:cNvPicPr>
                  </pic:nvPicPr>
                  <pic:blipFill>
                    <a:blip r:embed="rId11"/>
                    <a:stretch>
                      <a:fillRect/>
                    </a:stretch>
                  </pic:blipFill>
                  <pic:spPr>
                    <a:xfrm>
                      <a:off x="0" y="0"/>
                      <a:ext cx="8283575" cy="1779905"/>
                    </a:xfrm>
                    <a:prstGeom prst="rect">
                      <a:avLst/>
                    </a:prstGeom>
                    <a:noFill/>
                    <a:ln>
                      <a:noFill/>
                    </a:ln>
                  </pic:spPr>
                </pic:pic>
              </a:graphicData>
            </a:graphic>
          </wp:inline>
        </w:drawing>
      </w:r>
    </w:p>
    <w:p w14:paraId="74423C1E">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default" w:ascii="宋体" w:hAnsi="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注：本表反映部门本年度“三公”经费支出预决算情况。</w:t>
      </w:r>
      <w:r>
        <w:rPr>
          <w:rFonts w:hint="eastAsia" w:ascii="宋体" w:hAnsi="宋体" w:cs="宋体"/>
          <w:i w:val="0"/>
          <w:color w:val="000000"/>
          <w:kern w:val="0"/>
          <w:sz w:val="20"/>
          <w:szCs w:val="20"/>
          <w:u w:val="none"/>
          <w:lang w:val="en-US" w:eastAsia="zh-CN" w:bidi="ar"/>
        </w:rPr>
        <w:t>我部门无此项内容，本表无数据。</w:t>
      </w:r>
    </w:p>
    <w:p w14:paraId="3BA5213C">
      <w:pPr>
        <w:keepNext w:val="0"/>
        <w:keepLines w:val="0"/>
        <w:pageBreakBefore w:val="0"/>
        <w:widowControl/>
        <w:shd w:val="clear" w:color="auto" w:fill="FFFFFF"/>
        <w:kinsoku/>
        <w:overflowPunct/>
        <w:topLinePunct w:val="0"/>
        <w:autoSpaceDE/>
        <w:autoSpaceDN/>
        <w:bidi w:val="0"/>
        <w:adjustRightInd/>
        <w:spacing w:before="40" w:line="450" w:lineRule="atLeast"/>
        <w:textAlignment w:val="auto"/>
        <w:rPr>
          <w:rFonts w:hint="eastAsia" w:ascii="宋体" w:hAnsi="宋体" w:cs="宋体"/>
          <w:i w:val="0"/>
          <w:color w:val="000000"/>
          <w:kern w:val="0"/>
          <w:sz w:val="20"/>
          <w:szCs w:val="20"/>
          <w:u w:val="none"/>
          <w:lang w:val="en-US" w:eastAsia="zh-CN" w:bidi="ar"/>
        </w:rPr>
      </w:pPr>
    </w:p>
    <w:p w14:paraId="721B9B19">
      <w:pPr>
        <w:pStyle w:val="17"/>
        <w:widowControl/>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rFonts w:ascii="宋体" w:hAnsi="宋体" w:eastAsia="宋体" w:cs="宋体"/>
          <w:kern w:val="0"/>
          <w:sz w:val="24"/>
          <w:szCs w:val="24"/>
          <w:lang w:val="en-US" w:eastAsia="zh-CN" w:bidi="ar-SA"/>
        </w:rPr>
      </w:pPr>
    </w:p>
    <w:tbl>
      <w:tblPr>
        <w:tblStyle w:val="7"/>
        <w:tblW w:w="135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919"/>
        <w:gridCol w:w="289"/>
        <w:gridCol w:w="289"/>
        <w:gridCol w:w="1497"/>
        <w:gridCol w:w="1373"/>
        <w:gridCol w:w="1212"/>
        <w:gridCol w:w="2941"/>
      </w:tblGrid>
      <w:tr w14:paraId="3500A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3520" w:type="dxa"/>
            <w:gridSpan w:val="7"/>
            <w:tcBorders>
              <w:top w:val="nil"/>
              <w:left w:val="nil"/>
              <w:bottom w:val="nil"/>
              <w:right w:val="nil"/>
            </w:tcBorders>
            <w:shd w:val="clear" w:color="auto" w:fill="FFFFFF"/>
            <w:noWrap/>
            <w:vAlign w:val="center"/>
          </w:tcPr>
          <w:p w14:paraId="01B935F7">
            <w:pPr>
              <w:keepNext w:val="0"/>
              <w:keepLines w:val="0"/>
              <w:widowControl/>
              <w:suppressLineNumbers w:val="0"/>
              <w:jc w:val="center"/>
              <w:textAlignment w:val="center"/>
              <w:rPr>
                <w:rFonts w:hint="eastAsia" w:ascii="黑体" w:hAnsi="宋体" w:eastAsia="黑体" w:cs="黑体"/>
                <w:i w:val="0"/>
                <w:iCs w:val="0"/>
                <w:color w:val="000000"/>
                <w:kern w:val="0"/>
                <w:sz w:val="30"/>
                <w:szCs w:val="30"/>
                <w:u w:val="none"/>
                <w:lang w:val="en-US" w:eastAsia="zh-CN" w:bidi="ar"/>
              </w:rPr>
            </w:pPr>
          </w:p>
          <w:p w14:paraId="2878BFA8">
            <w:pPr>
              <w:keepNext w:val="0"/>
              <w:keepLines w:val="0"/>
              <w:widowControl/>
              <w:suppressLineNumbers w:val="0"/>
              <w:jc w:val="center"/>
              <w:textAlignment w:val="center"/>
              <w:rPr>
                <w:rFonts w:hint="eastAsia" w:ascii="黑体" w:hAnsi="宋体" w:eastAsia="黑体" w:cs="黑体"/>
                <w:i w:val="0"/>
                <w:iCs w:val="0"/>
                <w:color w:val="000000"/>
                <w:kern w:val="0"/>
                <w:sz w:val="30"/>
                <w:szCs w:val="30"/>
                <w:u w:val="none"/>
                <w:lang w:val="en-US" w:eastAsia="zh-CN" w:bidi="ar"/>
              </w:rPr>
            </w:pPr>
          </w:p>
          <w:p w14:paraId="274023AE">
            <w:pPr>
              <w:keepNext w:val="0"/>
              <w:keepLines w:val="0"/>
              <w:widowControl/>
              <w:suppressLineNumbers w:val="0"/>
              <w:jc w:val="center"/>
              <w:textAlignment w:val="center"/>
              <w:rPr>
                <w:rFonts w:ascii="黑体" w:hAnsi="宋体" w:eastAsia="黑体" w:cs="黑体"/>
                <w:i w:val="0"/>
                <w:iCs w:val="0"/>
                <w:color w:val="000000"/>
                <w:sz w:val="30"/>
                <w:szCs w:val="30"/>
                <w:u w:val="none"/>
              </w:rPr>
            </w:pPr>
            <w:r>
              <w:rPr>
                <w:rFonts w:hint="eastAsia" w:ascii="黑体" w:hAnsi="宋体" w:eastAsia="黑体" w:cs="黑体"/>
                <w:i w:val="0"/>
                <w:iCs w:val="0"/>
                <w:color w:val="000000"/>
                <w:kern w:val="0"/>
                <w:sz w:val="30"/>
                <w:szCs w:val="30"/>
                <w:u w:val="none"/>
                <w:lang w:val="en-US" w:eastAsia="zh-CN" w:bidi="ar"/>
              </w:rPr>
              <w:t>国有资本经营预算财政拨款支出决算表</w:t>
            </w:r>
          </w:p>
        </w:tc>
      </w:tr>
      <w:tr w14:paraId="50DBF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5919" w:type="dxa"/>
            <w:tcBorders>
              <w:top w:val="nil"/>
              <w:left w:val="nil"/>
              <w:bottom w:val="nil"/>
              <w:right w:val="nil"/>
            </w:tcBorders>
            <w:shd w:val="clear" w:color="auto" w:fill="FFFFFF"/>
            <w:noWrap/>
            <w:vAlign w:val="center"/>
          </w:tcPr>
          <w:p w14:paraId="01F00D04">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FFFFFF"/>
            <w:noWrap/>
            <w:vAlign w:val="center"/>
          </w:tcPr>
          <w:p w14:paraId="4F3FC4BD">
            <w:pPr>
              <w:jc w:val="left"/>
              <w:rPr>
                <w:rFonts w:hint="eastAsia" w:ascii="宋体" w:hAnsi="宋体" w:eastAsia="宋体" w:cs="宋体"/>
                <w:i w:val="0"/>
                <w:iCs w:val="0"/>
                <w:color w:val="000000"/>
                <w:sz w:val="18"/>
                <w:szCs w:val="18"/>
                <w:u w:val="none"/>
              </w:rPr>
            </w:pPr>
          </w:p>
        </w:tc>
        <w:tc>
          <w:tcPr>
            <w:tcW w:w="289" w:type="dxa"/>
            <w:tcBorders>
              <w:top w:val="nil"/>
              <w:left w:val="nil"/>
              <w:bottom w:val="nil"/>
              <w:right w:val="nil"/>
            </w:tcBorders>
            <w:shd w:val="clear" w:color="auto" w:fill="FFFFFF"/>
            <w:noWrap/>
            <w:vAlign w:val="center"/>
          </w:tcPr>
          <w:p w14:paraId="3FD0302A">
            <w:pPr>
              <w:jc w:val="left"/>
              <w:rPr>
                <w:rFonts w:hint="eastAsia" w:ascii="宋体" w:hAnsi="宋体" w:eastAsia="宋体" w:cs="宋体"/>
                <w:i w:val="0"/>
                <w:iCs w:val="0"/>
                <w:color w:val="000000"/>
                <w:sz w:val="18"/>
                <w:szCs w:val="18"/>
                <w:u w:val="none"/>
              </w:rPr>
            </w:pPr>
          </w:p>
        </w:tc>
        <w:tc>
          <w:tcPr>
            <w:tcW w:w="1497" w:type="dxa"/>
            <w:tcBorders>
              <w:top w:val="nil"/>
              <w:left w:val="nil"/>
              <w:bottom w:val="nil"/>
              <w:right w:val="nil"/>
            </w:tcBorders>
            <w:shd w:val="clear" w:color="auto" w:fill="FFFFFF"/>
            <w:noWrap/>
            <w:vAlign w:val="center"/>
          </w:tcPr>
          <w:p w14:paraId="4333C4E9">
            <w:pPr>
              <w:jc w:val="left"/>
              <w:rPr>
                <w:rFonts w:hint="eastAsia" w:ascii="宋体" w:hAnsi="宋体" w:eastAsia="宋体" w:cs="宋体"/>
                <w:i w:val="0"/>
                <w:iCs w:val="0"/>
                <w:color w:val="000000"/>
                <w:sz w:val="18"/>
                <w:szCs w:val="18"/>
                <w:u w:val="none"/>
              </w:rPr>
            </w:pPr>
          </w:p>
        </w:tc>
        <w:tc>
          <w:tcPr>
            <w:tcW w:w="1373" w:type="dxa"/>
            <w:tcBorders>
              <w:top w:val="nil"/>
              <w:left w:val="nil"/>
              <w:bottom w:val="nil"/>
              <w:right w:val="nil"/>
            </w:tcBorders>
            <w:shd w:val="clear" w:color="auto" w:fill="FFFFFF"/>
            <w:noWrap/>
            <w:vAlign w:val="center"/>
          </w:tcPr>
          <w:p w14:paraId="44F1AB7A">
            <w:pPr>
              <w:jc w:val="left"/>
              <w:rPr>
                <w:rFonts w:hint="eastAsia" w:ascii="宋体" w:hAnsi="宋体" w:eastAsia="宋体" w:cs="宋体"/>
                <w:i w:val="0"/>
                <w:iCs w:val="0"/>
                <w:color w:val="000000"/>
                <w:sz w:val="18"/>
                <w:szCs w:val="18"/>
                <w:u w:val="none"/>
              </w:rPr>
            </w:pPr>
          </w:p>
        </w:tc>
        <w:tc>
          <w:tcPr>
            <w:tcW w:w="1212" w:type="dxa"/>
            <w:tcBorders>
              <w:top w:val="nil"/>
              <w:left w:val="nil"/>
              <w:bottom w:val="nil"/>
              <w:right w:val="nil"/>
            </w:tcBorders>
            <w:shd w:val="clear" w:color="auto" w:fill="FFFFFF"/>
            <w:noWrap/>
            <w:vAlign w:val="center"/>
          </w:tcPr>
          <w:p w14:paraId="28EAD0DB">
            <w:pPr>
              <w:jc w:val="left"/>
              <w:rPr>
                <w:rFonts w:hint="eastAsia" w:ascii="宋体" w:hAnsi="宋体" w:eastAsia="宋体" w:cs="宋体"/>
                <w:i w:val="0"/>
                <w:iCs w:val="0"/>
                <w:color w:val="000000"/>
                <w:sz w:val="18"/>
                <w:szCs w:val="18"/>
                <w:u w:val="none"/>
              </w:rPr>
            </w:pPr>
          </w:p>
        </w:tc>
        <w:tc>
          <w:tcPr>
            <w:tcW w:w="2941" w:type="dxa"/>
            <w:tcBorders>
              <w:top w:val="nil"/>
              <w:left w:val="nil"/>
              <w:bottom w:val="nil"/>
              <w:right w:val="nil"/>
            </w:tcBorders>
            <w:shd w:val="clear" w:color="auto" w:fill="FFFFFF"/>
            <w:noWrap/>
            <w:vAlign w:val="center"/>
          </w:tcPr>
          <w:p w14:paraId="264B7A30">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公开09表</w:t>
            </w:r>
          </w:p>
        </w:tc>
      </w:tr>
      <w:tr w14:paraId="0DD31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9" w:hRule="atLeast"/>
          <w:jc w:val="center"/>
        </w:trPr>
        <w:tc>
          <w:tcPr>
            <w:tcW w:w="5919" w:type="dxa"/>
            <w:tcBorders>
              <w:top w:val="nil"/>
              <w:left w:val="nil"/>
              <w:bottom w:val="single" w:color="000000" w:sz="4" w:space="0"/>
              <w:right w:val="nil"/>
            </w:tcBorders>
            <w:shd w:val="clear" w:color="auto" w:fill="FFFFFF"/>
            <w:noWrap/>
            <w:vAlign w:val="center"/>
          </w:tcPr>
          <w:p w14:paraId="728B2E63">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部门：黄石市黄石港区</w:t>
            </w:r>
            <w:r>
              <w:rPr>
                <w:rFonts w:hint="eastAsia" w:ascii="宋体" w:hAnsi="宋体" w:cs="宋体"/>
                <w:i w:val="0"/>
                <w:iCs w:val="0"/>
                <w:color w:val="000000"/>
                <w:kern w:val="0"/>
                <w:sz w:val="22"/>
                <w:szCs w:val="22"/>
                <w:u w:val="none"/>
                <w:lang w:val="en-US" w:eastAsia="zh-CN" w:bidi="ar"/>
              </w:rPr>
              <w:t>胜阳港街道办事处</w:t>
            </w:r>
          </w:p>
        </w:tc>
        <w:tc>
          <w:tcPr>
            <w:tcW w:w="289" w:type="dxa"/>
            <w:tcBorders>
              <w:top w:val="nil"/>
              <w:left w:val="nil"/>
              <w:bottom w:val="single" w:color="000000" w:sz="4" w:space="0"/>
              <w:right w:val="nil"/>
            </w:tcBorders>
            <w:shd w:val="clear" w:color="auto" w:fill="FFFFFF"/>
            <w:noWrap/>
            <w:vAlign w:val="center"/>
          </w:tcPr>
          <w:p w14:paraId="0689D7C9">
            <w:pPr>
              <w:jc w:val="center"/>
              <w:rPr>
                <w:rFonts w:hint="eastAsia" w:ascii="宋体" w:hAnsi="宋体" w:eastAsia="宋体" w:cs="宋体"/>
                <w:i w:val="0"/>
                <w:iCs w:val="0"/>
                <w:color w:val="000000"/>
                <w:sz w:val="18"/>
                <w:szCs w:val="18"/>
                <w:u w:val="none"/>
              </w:rPr>
            </w:pPr>
          </w:p>
        </w:tc>
        <w:tc>
          <w:tcPr>
            <w:tcW w:w="289" w:type="dxa"/>
            <w:tcBorders>
              <w:top w:val="nil"/>
              <w:left w:val="nil"/>
              <w:bottom w:val="single" w:color="000000" w:sz="4" w:space="0"/>
              <w:right w:val="nil"/>
            </w:tcBorders>
            <w:shd w:val="clear" w:color="auto" w:fill="FFFFFF"/>
            <w:noWrap/>
            <w:vAlign w:val="center"/>
          </w:tcPr>
          <w:p w14:paraId="5075B239">
            <w:pPr>
              <w:jc w:val="center"/>
              <w:rPr>
                <w:rFonts w:hint="eastAsia" w:ascii="宋体" w:hAnsi="宋体" w:eastAsia="宋体" w:cs="宋体"/>
                <w:i w:val="0"/>
                <w:iCs w:val="0"/>
                <w:color w:val="000000"/>
                <w:sz w:val="18"/>
                <w:szCs w:val="18"/>
                <w:u w:val="none"/>
              </w:rPr>
            </w:pPr>
          </w:p>
        </w:tc>
        <w:tc>
          <w:tcPr>
            <w:tcW w:w="1497" w:type="dxa"/>
            <w:tcBorders>
              <w:top w:val="nil"/>
              <w:left w:val="nil"/>
              <w:bottom w:val="single" w:color="000000" w:sz="4" w:space="0"/>
              <w:right w:val="nil"/>
            </w:tcBorders>
            <w:shd w:val="clear" w:color="auto" w:fill="FFFFFF"/>
            <w:noWrap/>
            <w:vAlign w:val="center"/>
          </w:tcPr>
          <w:p w14:paraId="2C1AE1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2021年度</w:t>
            </w:r>
          </w:p>
        </w:tc>
        <w:tc>
          <w:tcPr>
            <w:tcW w:w="1373" w:type="dxa"/>
            <w:tcBorders>
              <w:top w:val="nil"/>
              <w:left w:val="nil"/>
              <w:bottom w:val="single" w:color="000000" w:sz="4" w:space="0"/>
              <w:right w:val="nil"/>
            </w:tcBorders>
            <w:shd w:val="clear" w:color="auto" w:fill="FFFFFF"/>
            <w:noWrap/>
            <w:vAlign w:val="center"/>
          </w:tcPr>
          <w:p w14:paraId="2599EA2B">
            <w:pPr>
              <w:jc w:val="center"/>
              <w:rPr>
                <w:rFonts w:hint="eastAsia" w:ascii="宋体" w:hAnsi="宋体" w:eastAsia="宋体" w:cs="宋体"/>
                <w:i w:val="0"/>
                <w:iCs w:val="0"/>
                <w:color w:val="000000"/>
                <w:sz w:val="18"/>
                <w:szCs w:val="18"/>
                <w:u w:val="none"/>
              </w:rPr>
            </w:pPr>
          </w:p>
        </w:tc>
        <w:tc>
          <w:tcPr>
            <w:tcW w:w="1212" w:type="dxa"/>
            <w:tcBorders>
              <w:top w:val="nil"/>
              <w:left w:val="nil"/>
              <w:bottom w:val="single" w:color="000000" w:sz="4" w:space="0"/>
              <w:right w:val="nil"/>
            </w:tcBorders>
            <w:shd w:val="clear" w:color="auto" w:fill="FFFFFF"/>
            <w:noWrap/>
            <w:vAlign w:val="center"/>
          </w:tcPr>
          <w:p w14:paraId="6EA45EE6">
            <w:pPr>
              <w:jc w:val="center"/>
              <w:rPr>
                <w:rFonts w:hint="eastAsia" w:ascii="宋体" w:hAnsi="宋体" w:eastAsia="宋体" w:cs="宋体"/>
                <w:i w:val="0"/>
                <w:iCs w:val="0"/>
                <w:color w:val="000000"/>
                <w:sz w:val="18"/>
                <w:szCs w:val="18"/>
                <w:u w:val="none"/>
              </w:rPr>
            </w:pPr>
          </w:p>
        </w:tc>
        <w:tc>
          <w:tcPr>
            <w:tcW w:w="2941" w:type="dxa"/>
            <w:tcBorders>
              <w:top w:val="nil"/>
              <w:left w:val="nil"/>
              <w:bottom w:val="single" w:color="000000" w:sz="4" w:space="0"/>
              <w:right w:val="nil"/>
            </w:tcBorders>
            <w:shd w:val="clear" w:color="auto" w:fill="FFFFFF"/>
            <w:noWrap/>
            <w:vAlign w:val="center"/>
          </w:tcPr>
          <w:p w14:paraId="294B6908">
            <w:pPr>
              <w:keepNext w:val="0"/>
              <w:keepLines w:val="0"/>
              <w:widowControl/>
              <w:suppressLineNumbers w:val="0"/>
              <w:jc w:val="righ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金额单位：万元</w:t>
            </w:r>
          </w:p>
        </w:tc>
      </w:tr>
      <w:tr w14:paraId="297A5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7994" w:type="dxa"/>
            <w:gridSpan w:val="4"/>
            <w:tcBorders>
              <w:top w:val="nil"/>
              <w:left w:val="single" w:color="000000" w:sz="4" w:space="0"/>
              <w:bottom w:val="single" w:color="000000" w:sz="4" w:space="0"/>
              <w:right w:val="single" w:color="000000" w:sz="4" w:space="0"/>
            </w:tcBorders>
            <w:shd w:val="clear" w:color="auto" w:fill="C0C0C0"/>
            <w:noWrap/>
            <w:vAlign w:val="center"/>
          </w:tcPr>
          <w:p w14:paraId="085CCBA7">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w:t>
            </w:r>
          </w:p>
        </w:tc>
        <w:tc>
          <w:tcPr>
            <w:tcW w:w="5526" w:type="dxa"/>
            <w:gridSpan w:val="3"/>
            <w:tcBorders>
              <w:top w:val="nil"/>
              <w:left w:val="nil"/>
              <w:bottom w:val="single" w:color="000000" w:sz="4" w:space="0"/>
              <w:right w:val="single" w:color="000000" w:sz="4" w:space="0"/>
            </w:tcBorders>
            <w:shd w:val="clear" w:color="auto" w:fill="C0C0C0"/>
            <w:noWrap w:val="0"/>
            <w:vAlign w:val="center"/>
          </w:tcPr>
          <w:p w14:paraId="3F1FD5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本年支出</w:t>
            </w:r>
          </w:p>
        </w:tc>
      </w:tr>
      <w:tr w14:paraId="2A00E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497" w:type="dxa"/>
            <w:gridSpan w:val="3"/>
            <w:vMerge w:val="restart"/>
            <w:tcBorders>
              <w:top w:val="nil"/>
              <w:left w:val="single" w:color="000000" w:sz="4" w:space="0"/>
              <w:bottom w:val="single" w:color="000000" w:sz="4" w:space="0"/>
              <w:right w:val="single" w:color="000000" w:sz="4" w:space="0"/>
            </w:tcBorders>
            <w:shd w:val="clear" w:color="auto" w:fill="C0C0C0"/>
            <w:noWrap w:val="0"/>
            <w:vAlign w:val="center"/>
          </w:tcPr>
          <w:p w14:paraId="6362C7C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功能分类科目编码</w:t>
            </w:r>
          </w:p>
        </w:tc>
        <w:tc>
          <w:tcPr>
            <w:tcW w:w="1497" w:type="dxa"/>
            <w:vMerge w:val="restart"/>
            <w:tcBorders>
              <w:top w:val="nil"/>
              <w:left w:val="nil"/>
              <w:bottom w:val="single" w:color="000000" w:sz="4" w:space="0"/>
              <w:right w:val="single" w:color="000000" w:sz="4" w:space="0"/>
            </w:tcBorders>
            <w:shd w:val="clear" w:color="auto" w:fill="C0C0C0"/>
            <w:noWrap/>
            <w:vAlign w:val="center"/>
          </w:tcPr>
          <w:p w14:paraId="27070F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科目名称</w:t>
            </w:r>
          </w:p>
        </w:tc>
        <w:tc>
          <w:tcPr>
            <w:tcW w:w="1373" w:type="dxa"/>
            <w:vMerge w:val="restart"/>
            <w:tcBorders>
              <w:top w:val="nil"/>
              <w:left w:val="nil"/>
              <w:bottom w:val="single" w:color="000000" w:sz="4" w:space="0"/>
              <w:right w:val="single" w:color="000000" w:sz="4" w:space="0"/>
            </w:tcBorders>
            <w:shd w:val="clear" w:color="auto" w:fill="C0C0C0"/>
            <w:noWrap w:val="0"/>
            <w:vAlign w:val="center"/>
          </w:tcPr>
          <w:p w14:paraId="7542F5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1212" w:type="dxa"/>
            <w:vMerge w:val="restart"/>
            <w:tcBorders>
              <w:top w:val="nil"/>
              <w:left w:val="nil"/>
              <w:bottom w:val="single" w:color="000000" w:sz="4" w:space="0"/>
              <w:right w:val="single" w:color="000000" w:sz="4" w:space="0"/>
            </w:tcBorders>
            <w:shd w:val="clear" w:color="auto" w:fill="C0C0C0"/>
            <w:noWrap w:val="0"/>
            <w:vAlign w:val="center"/>
          </w:tcPr>
          <w:p w14:paraId="6323F62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基本支出</w:t>
            </w:r>
          </w:p>
        </w:tc>
        <w:tc>
          <w:tcPr>
            <w:tcW w:w="2941" w:type="dxa"/>
            <w:vMerge w:val="restart"/>
            <w:tcBorders>
              <w:top w:val="nil"/>
              <w:left w:val="nil"/>
              <w:bottom w:val="single" w:color="000000" w:sz="4" w:space="0"/>
              <w:right w:val="single" w:color="000000" w:sz="4" w:space="0"/>
            </w:tcBorders>
            <w:shd w:val="clear" w:color="auto" w:fill="C0C0C0"/>
            <w:noWrap w:val="0"/>
            <w:vAlign w:val="center"/>
          </w:tcPr>
          <w:p w14:paraId="37CC335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项目支出</w:t>
            </w:r>
          </w:p>
        </w:tc>
      </w:tr>
      <w:tr w14:paraId="1F9A2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497" w:type="dxa"/>
            <w:gridSpan w:val="3"/>
            <w:vMerge w:val="continue"/>
            <w:tcBorders>
              <w:top w:val="nil"/>
              <w:left w:val="single" w:color="000000" w:sz="4" w:space="0"/>
              <w:bottom w:val="single" w:color="000000" w:sz="4" w:space="0"/>
              <w:right w:val="single" w:color="000000" w:sz="4" w:space="0"/>
            </w:tcBorders>
            <w:shd w:val="clear" w:color="auto" w:fill="C0C0C0"/>
            <w:noWrap w:val="0"/>
            <w:vAlign w:val="center"/>
          </w:tcPr>
          <w:p w14:paraId="5A257C00">
            <w:pPr>
              <w:jc w:val="center"/>
              <w:rPr>
                <w:rFonts w:hint="eastAsia" w:ascii="宋体" w:hAnsi="宋体" w:eastAsia="宋体" w:cs="宋体"/>
                <w:i w:val="0"/>
                <w:iCs w:val="0"/>
                <w:color w:val="000000"/>
                <w:sz w:val="20"/>
                <w:szCs w:val="20"/>
                <w:u w:val="none"/>
              </w:rPr>
            </w:pPr>
          </w:p>
        </w:tc>
        <w:tc>
          <w:tcPr>
            <w:tcW w:w="1497" w:type="dxa"/>
            <w:vMerge w:val="continue"/>
            <w:tcBorders>
              <w:top w:val="nil"/>
              <w:left w:val="nil"/>
              <w:bottom w:val="single" w:color="000000" w:sz="4" w:space="0"/>
              <w:right w:val="single" w:color="000000" w:sz="4" w:space="0"/>
            </w:tcBorders>
            <w:shd w:val="clear" w:color="auto" w:fill="C0C0C0"/>
            <w:noWrap/>
            <w:vAlign w:val="center"/>
          </w:tcPr>
          <w:p w14:paraId="25807D3D">
            <w:pPr>
              <w:jc w:val="center"/>
              <w:rPr>
                <w:rFonts w:hint="eastAsia" w:ascii="宋体" w:hAnsi="宋体" w:eastAsia="宋体" w:cs="宋体"/>
                <w:i w:val="0"/>
                <w:iCs w:val="0"/>
                <w:color w:val="000000"/>
                <w:sz w:val="20"/>
                <w:szCs w:val="20"/>
                <w:u w:val="none"/>
              </w:rPr>
            </w:pPr>
          </w:p>
        </w:tc>
        <w:tc>
          <w:tcPr>
            <w:tcW w:w="1373" w:type="dxa"/>
            <w:vMerge w:val="continue"/>
            <w:tcBorders>
              <w:top w:val="nil"/>
              <w:left w:val="nil"/>
              <w:bottom w:val="single" w:color="000000" w:sz="4" w:space="0"/>
              <w:right w:val="single" w:color="000000" w:sz="4" w:space="0"/>
            </w:tcBorders>
            <w:shd w:val="clear" w:color="auto" w:fill="C0C0C0"/>
            <w:noWrap w:val="0"/>
            <w:vAlign w:val="center"/>
          </w:tcPr>
          <w:p w14:paraId="6B7CDD1F">
            <w:pPr>
              <w:jc w:val="center"/>
              <w:rPr>
                <w:rFonts w:hint="eastAsia" w:ascii="宋体" w:hAnsi="宋体" w:eastAsia="宋体" w:cs="宋体"/>
                <w:i w:val="0"/>
                <w:iCs w:val="0"/>
                <w:color w:val="000000"/>
                <w:sz w:val="20"/>
                <w:szCs w:val="20"/>
                <w:u w:val="none"/>
              </w:rPr>
            </w:pPr>
          </w:p>
        </w:tc>
        <w:tc>
          <w:tcPr>
            <w:tcW w:w="1212" w:type="dxa"/>
            <w:vMerge w:val="continue"/>
            <w:tcBorders>
              <w:top w:val="nil"/>
              <w:left w:val="nil"/>
              <w:bottom w:val="single" w:color="000000" w:sz="4" w:space="0"/>
              <w:right w:val="single" w:color="000000" w:sz="4" w:space="0"/>
            </w:tcBorders>
            <w:shd w:val="clear" w:color="auto" w:fill="C0C0C0"/>
            <w:noWrap w:val="0"/>
            <w:vAlign w:val="center"/>
          </w:tcPr>
          <w:p w14:paraId="2CDF8A20">
            <w:pPr>
              <w:jc w:val="center"/>
              <w:rPr>
                <w:rFonts w:hint="eastAsia" w:ascii="宋体" w:hAnsi="宋体" w:eastAsia="宋体" w:cs="宋体"/>
                <w:i w:val="0"/>
                <w:iCs w:val="0"/>
                <w:color w:val="000000"/>
                <w:sz w:val="20"/>
                <w:szCs w:val="20"/>
                <w:u w:val="none"/>
              </w:rPr>
            </w:pPr>
          </w:p>
        </w:tc>
        <w:tc>
          <w:tcPr>
            <w:tcW w:w="2941" w:type="dxa"/>
            <w:vMerge w:val="continue"/>
            <w:tcBorders>
              <w:top w:val="nil"/>
              <w:left w:val="nil"/>
              <w:bottom w:val="single" w:color="000000" w:sz="4" w:space="0"/>
              <w:right w:val="single" w:color="000000" w:sz="4" w:space="0"/>
            </w:tcBorders>
            <w:shd w:val="clear" w:color="auto" w:fill="C0C0C0"/>
            <w:noWrap w:val="0"/>
            <w:vAlign w:val="center"/>
          </w:tcPr>
          <w:p w14:paraId="7CC0E8D0">
            <w:pPr>
              <w:jc w:val="center"/>
              <w:rPr>
                <w:rFonts w:hint="eastAsia" w:ascii="宋体" w:hAnsi="宋体" w:eastAsia="宋体" w:cs="宋体"/>
                <w:i w:val="0"/>
                <w:iCs w:val="0"/>
                <w:color w:val="000000"/>
                <w:sz w:val="20"/>
                <w:szCs w:val="20"/>
                <w:u w:val="none"/>
              </w:rPr>
            </w:pPr>
          </w:p>
        </w:tc>
      </w:tr>
      <w:tr w14:paraId="13CB7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6497" w:type="dxa"/>
            <w:gridSpan w:val="3"/>
            <w:vMerge w:val="continue"/>
            <w:tcBorders>
              <w:top w:val="nil"/>
              <w:left w:val="single" w:color="000000" w:sz="4" w:space="0"/>
              <w:bottom w:val="single" w:color="000000" w:sz="4" w:space="0"/>
              <w:right w:val="single" w:color="000000" w:sz="4" w:space="0"/>
            </w:tcBorders>
            <w:shd w:val="clear" w:color="auto" w:fill="C0C0C0"/>
            <w:noWrap w:val="0"/>
            <w:vAlign w:val="center"/>
          </w:tcPr>
          <w:p w14:paraId="5EF34E58">
            <w:pPr>
              <w:jc w:val="center"/>
              <w:rPr>
                <w:rFonts w:hint="eastAsia" w:ascii="宋体" w:hAnsi="宋体" w:eastAsia="宋体" w:cs="宋体"/>
                <w:i w:val="0"/>
                <w:iCs w:val="0"/>
                <w:color w:val="000000"/>
                <w:sz w:val="20"/>
                <w:szCs w:val="20"/>
                <w:u w:val="none"/>
              </w:rPr>
            </w:pPr>
          </w:p>
        </w:tc>
        <w:tc>
          <w:tcPr>
            <w:tcW w:w="1497" w:type="dxa"/>
            <w:vMerge w:val="continue"/>
            <w:tcBorders>
              <w:top w:val="nil"/>
              <w:left w:val="nil"/>
              <w:bottom w:val="single" w:color="000000" w:sz="4" w:space="0"/>
              <w:right w:val="single" w:color="000000" w:sz="4" w:space="0"/>
            </w:tcBorders>
            <w:shd w:val="clear" w:color="auto" w:fill="C0C0C0"/>
            <w:noWrap/>
            <w:vAlign w:val="center"/>
          </w:tcPr>
          <w:p w14:paraId="16480979">
            <w:pPr>
              <w:jc w:val="center"/>
              <w:rPr>
                <w:rFonts w:hint="eastAsia" w:ascii="宋体" w:hAnsi="宋体" w:eastAsia="宋体" w:cs="宋体"/>
                <w:i w:val="0"/>
                <w:iCs w:val="0"/>
                <w:color w:val="000000"/>
                <w:sz w:val="20"/>
                <w:szCs w:val="20"/>
                <w:u w:val="none"/>
              </w:rPr>
            </w:pPr>
          </w:p>
        </w:tc>
        <w:tc>
          <w:tcPr>
            <w:tcW w:w="1373" w:type="dxa"/>
            <w:vMerge w:val="continue"/>
            <w:tcBorders>
              <w:top w:val="nil"/>
              <w:left w:val="nil"/>
              <w:bottom w:val="single" w:color="000000" w:sz="4" w:space="0"/>
              <w:right w:val="single" w:color="000000" w:sz="4" w:space="0"/>
            </w:tcBorders>
            <w:shd w:val="clear" w:color="auto" w:fill="C0C0C0"/>
            <w:noWrap w:val="0"/>
            <w:vAlign w:val="center"/>
          </w:tcPr>
          <w:p w14:paraId="272EFEB8">
            <w:pPr>
              <w:jc w:val="center"/>
              <w:rPr>
                <w:rFonts w:hint="eastAsia" w:ascii="宋体" w:hAnsi="宋体" w:eastAsia="宋体" w:cs="宋体"/>
                <w:i w:val="0"/>
                <w:iCs w:val="0"/>
                <w:color w:val="000000"/>
                <w:sz w:val="20"/>
                <w:szCs w:val="20"/>
                <w:u w:val="none"/>
              </w:rPr>
            </w:pPr>
          </w:p>
        </w:tc>
        <w:tc>
          <w:tcPr>
            <w:tcW w:w="1212" w:type="dxa"/>
            <w:vMerge w:val="continue"/>
            <w:tcBorders>
              <w:top w:val="nil"/>
              <w:left w:val="nil"/>
              <w:bottom w:val="single" w:color="000000" w:sz="4" w:space="0"/>
              <w:right w:val="single" w:color="000000" w:sz="4" w:space="0"/>
            </w:tcBorders>
            <w:shd w:val="clear" w:color="auto" w:fill="C0C0C0"/>
            <w:noWrap w:val="0"/>
            <w:vAlign w:val="center"/>
          </w:tcPr>
          <w:p w14:paraId="53D2B8B9">
            <w:pPr>
              <w:jc w:val="center"/>
              <w:rPr>
                <w:rFonts w:hint="eastAsia" w:ascii="宋体" w:hAnsi="宋体" w:eastAsia="宋体" w:cs="宋体"/>
                <w:i w:val="0"/>
                <w:iCs w:val="0"/>
                <w:color w:val="000000"/>
                <w:sz w:val="20"/>
                <w:szCs w:val="20"/>
                <w:u w:val="none"/>
              </w:rPr>
            </w:pPr>
          </w:p>
        </w:tc>
        <w:tc>
          <w:tcPr>
            <w:tcW w:w="2941" w:type="dxa"/>
            <w:vMerge w:val="continue"/>
            <w:tcBorders>
              <w:top w:val="nil"/>
              <w:left w:val="nil"/>
              <w:bottom w:val="single" w:color="000000" w:sz="4" w:space="0"/>
              <w:right w:val="single" w:color="000000" w:sz="4" w:space="0"/>
            </w:tcBorders>
            <w:shd w:val="clear" w:color="auto" w:fill="C0C0C0"/>
            <w:noWrap w:val="0"/>
            <w:vAlign w:val="center"/>
          </w:tcPr>
          <w:p w14:paraId="25F5073D">
            <w:pPr>
              <w:jc w:val="center"/>
              <w:rPr>
                <w:rFonts w:hint="eastAsia" w:ascii="宋体" w:hAnsi="宋体" w:eastAsia="宋体" w:cs="宋体"/>
                <w:i w:val="0"/>
                <w:iCs w:val="0"/>
                <w:color w:val="000000"/>
                <w:sz w:val="20"/>
                <w:szCs w:val="20"/>
                <w:u w:val="none"/>
              </w:rPr>
            </w:pPr>
          </w:p>
        </w:tc>
      </w:tr>
      <w:tr w14:paraId="76DBD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7994" w:type="dxa"/>
            <w:gridSpan w:val="4"/>
            <w:tcBorders>
              <w:top w:val="nil"/>
              <w:left w:val="single" w:color="000000" w:sz="4" w:space="0"/>
              <w:bottom w:val="single" w:color="000000" w:sz="4" w:space="0"/>
              <w:right w:val="single" w:color="000000" w:sz="4" w:space="0"/>
            </w:tcBorders>
            <w:shd w:val="clear" w:color="auto" w:fill="C0C0C0"/>
            <w:noWrap/>
            <w:vAlign w:val="center"/>
          </w:tcPr>
          <w:p w14:paraId="19D338F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栏次</w:t>
            </w:r>
          </w:p>
        </w:tc>
        <w:tc>
          <w:tcPr>
            <w:tcW w:w="1373" w:type="dxa"/>
            <w:tcBorders>
              <w:top w:val="nil"/>
              <w:left w:val="nil"/>
              <w:bottom w:val="single" w:color="000000" w:sz="4" w:space="0"/>
              <w:right w:val="single" w:color="000000" w:sz="4" w:space="0"/>
            </w:tcBorders>
            <w:shd w:val="clear" w:color="auto" w:fill="C0C0C0"/>
            <w:noWrap/>
            <w:vAlign w:val="center"/>
          </w:tcPr>
          <w:p w14:paraId="44CB78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212" w:type="dxa"/>
            <w:tcBorders>
              <w:top w:val="nil"/>
              <w:left w:val="nil"/>
              <w:bottom w:val="single" w:color="000000" w:sz="4" w:space="0"/>
              <w:right w:val="single" w:color="000000" w:sz="4" w:space="0"/>
            </w:tcBorders>
            <w:shd w:val="clear" w:color="auto" w:fill="C0C0C0"/>
            <w:noWrap/>
            <w:vAlign w:val="center"/>
          </w:tcPr>
          <w:p w14:paraId="05A1018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2941" w:type="dxa"/>
            <w:tcBorders>
              <w:top w:val="nil"/>
              <w:left w:val="nil"/>
              <w:bottom w:val="single" w:color="000000" w:sz="4" w:space="0"/>
              <w:right w:val="single" w:color="000000" w:sz="4" w:space="0"/>
            </w:tcBorders>
            <w:shd w:val="clear" w:color="auto" w:fill="C0C0C0"/>
            <w:noWrap/>
            <w:vAlign w:val="center"/>
          </w:tcPr>
          <w:p w14:paraId="129121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r>
      <w:tr w14:paraId="6A50F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7994" w:type="dxa"/>
            <w:gridSpan w:val="4"/>
            <w:tcBorders>
              <w:top w:val="nil"/>
              <w:left w:val="single" w:color="000000" w:sz="4" w:space="0"/>
              <w:bottom w:val="single" w:color="000000" w:sz="4" w:space="0"/>
              <w:right w:val="single" w:color="000000" w:sz="4" w:space="0"/>
            </w:tcBorders>
            <w:shd w:val="clear" w:color="auto" w:fill="C0C0C0"/>
            <w:noWrap/>
            <w:vAlign w:val="center"/>
          </w:tcPr>
          <w:p w14:paraId="2C99D670">
            <w:pPr>
              <w:keepNext w:val="0"/>
              <w:keepLines w:val="0"/>
              <w:widowControl/>
              <w:suppressLineNumbers w:val="0"/>
              <w:jc w:val="both"/>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合计</w:t>
            </w:r>
          </w:p>
        </w:tc>
        <w:tc>
          <w:tcPr>
            <w:tcW w:w="1373" w:type="dxa"/>
            <w:tcBorders>
              <w:top w:val="nil"/>
              <w:left w:val="nil"/>
              <w:bottom w:val="single" w:color="000000" w:sz="4" w:space="0"/>
              <w:right w:val="single" w:color="000000" w:sz="4" w:space="0"/>
            </w:tcBorders>
            <w:shd w:val="clear" w:color="auto" w:fill="FFFFFF"/>
            <w:noWrap/>
            <w:vAlign w:val="center"/>
          </w:tcPr>
          <w:p w14:paraId="0A267270">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212" w:type="dxa"/>
            <w:tcBorders>
              <w:top w:val="nil"/>
              <w:left w:val="nil"/>
              <w:bottom w:val="single" w:color="000000" w:sz="4" w:space="0"/>
              <w:right w:val="single" w:color="000000" w:sz="4" w:space="0"/>
            </w:tcBorders>
            <w:shd w:val="clear" w:color="auto" w:fill="FFFFFF"/>
            <w:noWrap/>
            <w:vAlign w:val="center"/>
          </w:tcPr>
          <w:p w14:paraId="34E9B89C">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2941" w:type="dxa"/>
            <w:tcBorders>
              <w:top w:val="nil"/>
              <w:left w:val="nil"/>
              <w:bottom w:val="single" w:color="000000" w:sz="4" w:space="0"/>
              <w:right w:val="single" w:color="000000" w:sz="4" w:space="0"/>
            </w:tcBorders>
            <w:shd w:val="clear" w:color="auto" w:fill="FFFFFF"/>
            <w:noWrap/>
            <w:vAlign w:val="center"/>
          </w:tcPr>
          <w:p w14:paraId="05A1934F">
            <w:pPr>
              <w:jc w:val="right"/>
              <w:rPr>
                <w:rFonts w:hint="eastAsia" w:ascii="宋体" w:hAnsi="宋体" w:eastAsia="宋体" w:cs="宋体"/>
                <w:b/>
                <w:bCs/>
                <w:i w:val="0"/>
                <w:iCs w:val="0"/>
                <w:color w:val="000000"/>
                <w:sz w:val="20"/>
                <w:szCs w:val="20"/>
                <w:u w:val="none"/>
              </w:rPr>
            </w:pPr>
            <w:r>
              <w:rPr>
                <w:rFonts w:hint="eastAsia" w:ascii="宋体" w:hAnsi="宋体" w:cs="宋体"/>
                <w:i w:val="0"/>
                <w:iCs w:val="0"/>
                <w:color w:val="000000"/>
                <w:sz w:val="20"/>
                <w:szCs w:val="20"/>
                <w:u w:val="none"/>
                <w:lang w:val="en-US" w:eastAsia="zh-CN"/>
              </w:rPr>
              <w:t>0.00</w:t>
            </w:r>
          </w:p>
        </w:tc>
      </w:tr>
      <w:tr w14:paraId="46ACD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6497" w:type="dxa"/>
            <w:gridSpan w:val="3"/>
            <w:tcBorders>
              <w:top w:val="nil"/>
              <w:left w:val="single" w:color="000000" w:sz="4" w:space="0"/>
              <w:bottom w:val="single" w:color="000000" w:sz="4" w:space="0"/>
              <w:right w:val="single" w:color="000000" w:sz="4" w:space="0"/>
            </w:tcBorders>
            <w:shd w:val="clear" w:color="auto" w:fill="FFFFFF"/>
            <w:noWrap/>
            <w:vAlign w:val="center"/>
          </w:tcPr>
          <w:p w14:paraId="1E1EB4BA">
            <w:pPr>
              <w:jc w:val="left"/>
              <w:rPr>
                <w:rFonts w:hint="eastAsia" w:ascii="宋体" w:hAnsi="宋体" w:eastAsia="宋体" w:cs="宋体"/>
                <w:i w:val="0"/>
                <w:iCs w:val="0"/>
                <w:color w:val="000000"/>
                <w:sz w:val="20"/>
                <w:szCs w:val="20"/>
                <w:u w:val="none"/>
              </w:rPr>
            </w:pPr>
          </w:p>
        </w:tc>
        <w:tc>
          <w:tcPr>
            <w:tcW w:w="1497" w:type="dxa"/>
            <w:tcBorders>
              <w:top w:val="nil"/>
              <w:left w:val="nil"/>
              <w:bottom w:val="single" w:color="000000" w:sz="4" w:space="0"/>
              <w:right w:val="single" w:color="000000" w:sz="4" w:space="0"/>
            </w:tcBorders>
            <w:shd w:val="clear" w:color="auto" w:fill="CCFFFF"/>
            <w:noWrap/>
            <w:vAlign w:val="center"/>
          </w:tcPr>
          <w:p w14:paraId="12403148">
            <w:pPr>
              <w:jc w:val="left"/>
              <w:rPr>
                <w:rFonts w:hint="eastAsia" w:ascii="宋体" w:hAnsi="宋体" w:eastAsia="宋体" w:cs="宋体"/>
                <w:i w:val="0"/>
                <w:iCs w:val="0"/>
                <w:color w:val="000000"/>
                <w:sz w:val="20"/>
                <w:szCs w:val="20"/>
                <w:u w:val="none"/>
              </w:rPr>
            </w:pPr>
          </w:p>
        </w:tc>
        <w:tc>
          <w:tcPr>
            <w:tcW w:w="1373" w:type="dxa"/>
            <w:tcBorders>
              <w:top w:val="nil"/>
              <w:left w:val="nil"/>
              <w:bottom w:val="single" w:color="000000" w:sz="4" w:space="0"/>
              <w:right w:val="single" w:color="000000" w:sz="4" w:space="0"/>
            </w:tcBorders>
            <w:shd w:val="clear" w:color="auto" w:fill="FFFFFF"/>
            <w:noWrap/>
            <w:vAlign w:val="center"/>
          </w:tcPr>
          <w:p w14:paraId="4290346A">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1212" w:type="dxa"/>
            <w:tcBorders>
              <w:top w:val="nil"/>
              <w:left w:val="nil"/>
              <w:bottom w:val="single" w:color="000000" w:sz="4" w:space="0"/>
              <w:right w:val="single" w:color="000000" w:sz="4" w:space="0"/>
            </w:tcBorders>
            <w:shd w:val="clear" w:color="auto" w:fill="FFFFFF"/>
            <w:noWrap/>
            <w:vAlign w:val="center"/>
          </w:tcPr>
          <w:p w14:paraId="0B1D8E2E">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c>
          <w:tcPr>
            <w:tcW w:w="2941" w:type="dxa"/>
            <w:tcBorders>
              <w:top w:val="nil"/>
              <w:left w:val="nil"/>
              <w:bottom w:val="single" w:color="000000" w:sz="4" w:space="0"/>
              <w:right w:val="single" w:color="000000" w:sz="4" w:space="0"/>
            </w:tcBorders>
            <w:shd w:val="clear" w:color="auto" w:fill="FFFFFF"/>
            <w:noWrap/>
            <w:vAlign w:val="center"/>
          </w:tcPr>
          <w:p w14:paraId="27DB3C5F">
            <w:pPr>
              <w:jc w:val="right"/>
              <w:rPr>
                <w:rFonts w:hint="eastAsia" w:ascii="宋体" w:hAnsi="宋体" w:eastAsia="宋体" w:cs="宋体"/>
                <w:i w:val="0"/>
                <w:iCs w:val="0"/>
                <w:color w:val="000000"/>
                <w:sz w:val="20"/>
                <w:szCs w:val="20"/>
                <w:u w:val="none"/>
              </w:rPr>
            </w:pPr>
            <w:r>
              <w:rPr>
                <w:rFonts w:hint="eastAsia" w:ascii="宋体" w:hAnsi="宋体" w:cs="宋体"/>
                <w:i w:val="0"/>
                <w:iCs w:val="0"/>
                <w:color w:val="000000"/>
                <w:sz w:val="20"/>
                <w:szCs w:val="20"/>
                <w:u w:val="none"/>
                <w:lang w:val="en-US" w:eastAsia="zh-CN"/>
              </w:rPr>
              <w:t>0.00</w:t>
            </w:r>
          </w:p>
        </w:tc>
      </w:tr>
      <w:tr w14:paraId="2CC03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 w:hRule="atLeast"/>
          <w:jc w:val="center"/>
        </w:trPr>
        <w:tc>
          <w:tcPr>
            <w:tcW w:w="13520" w:type="dxa"/>
            <w:gridSpan w:val="7"/>
            <w:tcBorders>
              <w:top w:val="nil"/>
              <w:left w:val="nil"/>
              <w:bottom w:val="nil"/>
              <w:right w:val="nil"/>
            </w:tcBorders>
            <w:shd w:val="clear" w:color="auto" w:fill="FFFFFF"/>
            <w:noWrap/>
            <w:vAlign w:val="center"/>
          </w:tcPr>
          <w:p w14:paraId="5DA5F95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 xml:space="preserve">注：本表反映部门本年度国有资本经营预算财政拨款支出情况。 </w:t>
            </w:r>
          </w:p>
          <w:p w14:paraId="5BFB9F10">
            <w:pPr>
              <w:keepNext w:val="0"/>
              <w:keepLines w:val="0"/>
              <w:widowControl/>
              <w:suppressLineNumbers w:val="0"/>
              <w:ind w:firstLine="400" w:firstLineChars="20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我部门无此项内容，本表无数据。</w:t>
            </w:r>
          </w:p>
        </w:tc>
      </w:tr>
    </w:tbl>
    <w:p w14:paraId="75AD6EF9">
      <w:pPr>
        <w:pStyle w:val="17"/>
        <w:widowControl/>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center"/>
        <w:rPr>
          <w:rFonts w:ascii="宋体" w:hAnsi="宋体" w:eastAsia="宋体" w:cs="宋体"/>
          <w:kern w:val="0"/>
          <w:sz w:val="24"/>
          <w:szCs w:val="24"/>
          <w:lang w:val="en-US" w:eastAsia="zh-CN" w:bidi="ar-SA"/>
        </w:rPr>
      </w:pPr>
    </w:p>
    <w:p w14:paraId="40D4CE04">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p>
    <w:p w14:paraId="7EFEAA92">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p>
    <w:p w14:paraId="6404C8D0">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p>
    <w:p w14:paraId="7C12C366">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p>
    <w:p w14:paraId="0BA789E2">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p>
    <w:p w14:paraId="3EBDACA8">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highlight w:val="none"/>
          <w:shd w:val="clear" w:color="auto" w:fill="FFFFFF"/>
        </w:rPr>
      </w:pPr>
      <w:r>
        <w:rPr>
          <w:rStyle w:val="9"/>
          <w:rFonts w:hint="eastAsia" w:ascii="宋体" w:hAnsi="宋体" w:eastAsia="宋体" w:cs="宋体"/>
          <w:color w:val="333333"/>
          <w:highlight w:val="none"/>
          <w:shd w:val="clear" w:color="auto" w:fill="FFFFFF"/>
        </w:rPr>
        <w:t>第三部分：</w:t>
      </w:r>
      <w:r>
        <w:rPr>
          <w:rStyle w:val="9"/>
          <w:rFonts w:hint="eastAsia" w:ascii="宋体" w:hAnsi="宋体" w:eastAsia="宋体" w:cs="宋体"/>
          <w:color w:val="333333"/>
          <w:highlight w:val="none"/>
          <w:shd w:val="clear" w:color="auto" w:fill="FFFFFF"/>
          <w:lang w:eastAsia="zh-CN"/>
        </w:rPr>
        <w:t>2021年</w:t>
      </w:r>
      <w:r>
        <w:rPr>
          <w:rStyle w:val="9"/>
          <w:rFonts w:hint="eastAsia" w:ascii="宋体" w:hAnsi="宋体" w:eastAsia="宋体" w:cs="宋体"/>
          <w:color w:val="333333"/>
          <w:highlight w:val="none"/>
          <w:shd w:val="clear" w:color="auto" w:fill="FFFFFF"/>
        </w:rPr>
        <w:t>部门</w:t>
      </w:r>
      <w:r>
        <w:rPr>
          <w:rStyle w:val="9"/>
          <w:rFonts w:hint="eastAsia" w:ascii="宋体" w:hAnsi="宋体" w:eastAsia="宋体" w:cs="宋体"/>
          <w:color w:val="333333"/>
          <w:highlight w:val="none"/>
          <w:shd w:val="clear" w:color="auto" w:fill="FFFFFF"/>
          <w:lang w:eastAsia="zh-CN"/>
        </w:rPr>
        <w:t>决算</w:t>
      </w:r>
      <w:r>
        <w:rPr>
          <w:rStyle w:val="9"/>
          <w:rFonts w:hint="eastAsia" w:ascii="宋体" w:hAnsi="宋体" w:eastAsia="宋体" w:cs="宋体"/>
          <w:color w:val="333333"/>
          <w:highlight w:val="none"/>
          <w:shd w:val="clear" w:color="auto" w:fill="FFFFFF"/>
        </w:rPr>
        <w:t>情况说明</w:t>
      </w:r>
    </w:p>
    <w:p w14:paraId="70744569">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b/>
          <w:bCs/>
          <w:sz w:val="28"/>
          <w:szCs w:val="28"/>
          <w:highlight w:val="none"/>
        </w:rPr>
      </w:pPr>
    </w:p>
    <w:p w14:paraId="3DA44704">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（一）预算</w:t>
      </w:r>
      <w:r>
        <w:rPr>
          <w:rFonts w:hint="eastAsia" w:ascii="宋体" w:hAnsi="宋体" w:eastAsia="宋体" w:cs="宋体"/>
          <w:b/>
          <w:bCs/>
          <w:sz w:val="28"/>
          <w:szCs w:val="28"/>
          <w:highlight w:val="none"/>
          <w:lang w:eastAsia="zh-CN"/>
        </w:rPr>
        <w:t>执行</w:t>
      </w:r>
      <w:r>
        <w:rPr>
          <w:rFonts w:hint="eastAsia" w:ascii="宋体" w:hAnsi="宋体" w:eastAsia="宋体" w:cs="宋体"/>
          <w:b/>
          <w:bCs/>
          <w:sz w:val="28"/>
          <w:szCs w:val="28"/>
          <w:highlight w:val="none"/>
        </w:rPr>
        <w:t>情况。</w:t>
      </w:r>
    </w:p>
    <w:p w14:paraId="680F1C0E">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1、</w:t>
      </w:r>
      <w:r>
        <w:rPr>
          <w:rFonts w:hint="eastAsia" w:ascii="宋体" w:hAnsi="宋体" w:eastAsia="宋体" w:cs="宋体"/>
          <w:sz w:val="28"/>
          <w:szCs w:val="28"/>
          <w:highlight w:val="none"/>
        </w:rPr>
        <w:t>年初根据上一年度人员情况确认财政下拨预算数为1077.36万元，(人员经费823.68万元，公用经费253.68万元)，全年实际支出2051.78万元(其中人员经费1151.1万元，公用经费900.68万元)增长97.44%。2020年实际支出数为1485.94万，增加565.84万元；原因是2021年机构改革后，由财政资金保障的区城管及工商局人员调入8人(其中2人退休)，新招入职事业编制人员7人</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2020年8月社区干部工资薪金上调，87名人均涨幅1000元/月，2021年支出数含2020年度8-12月份增资额</w:t>
      </w:r>
      <w:r>
        <w:rPr>
          <w:rFonts w:hint="eastAsia" w:ascii="宋体" w:hAnsi="宋体" w:cs="宋体"/>
          <w:sz w:val="28"/>
          <w:szCs w:val="28"/>
          <w:highlight w:val="none"/>
          <w:lang w:eastAsia="zh-CN"/>
        </w:rPr>
        <w:t>。</w:t>
      </w:r>
    </w:p>
    <w:p w14:paraId="518B5E66">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收入支出预算执行情况。</w:t>
      </w:r>
    </w:p>
    <w:p w14:paraId="002F9A66">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本年实际财政拨款收入2051.78万，本年实际支出2051.78万，收支一致， </w:t>
      </w:r>
    </w:p>
    <w:p w14:paraId="0C5F8F93">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收入支出与预算对比分析。</w:t>
      </w:r>
    </w:p>
    <w:p w14:paraId="39FF1374">
      <w:pPr>
        <w:widowControl/>
        <w:shd w:val="clear" w:color="auto" w:fill="FFFFFF"/>
        <w:ind w:firstLine="48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Theme="minorEastAsia" w:hAnsiTheme="minorEastAsia" w:eastAsiaTheme="minorEastAsia" w:cstheme="minorEastAsia"/>
          <w:sz w:val="28"/>
          <w:szCs w:val="28"/>
        </w:rPr>
        <w:t>收入支出与预算对比分析。</w:t>
      </w:r>
    </w:p>
    <w:p w14:paraId="6841D5BE">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2021年预算数为1077.36万元，决算数为2051.78万元</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其中</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2021年人员经费预算823.67万元</w:t>
      </w:r>
      <w:r>
        <w:rPr>
          <w:rFonts w:hint="eastAsia" w:asciiTheme="minorEastAsia" w:hAnsiTheme="minorEastAsia" w:eastAsiaTheme="minorEastAsia" w:cstheme="minorEastAsia"/>
          <w:sz w:val="28"/>
          <w:szCs w:val="28"/>
          <w:highlight w:val="none"/>
          <w:lang w:val="en-US" w:eastAsia="zh-CN"/>
        </w:rPr>
        <w:t>（含工资福利支出、对个人及家庭补助支出）</w:t>
      </w:r>
      <w:r>
        <w:rPr>
          <w:rFonts w:hint="eastAsia" w:ascii="宋体" w:hAnsi="宋体" w:cs="宋体"/>
          <w:sz w:val="28"/>
          <w:szCs w:val="28"/>
          <w:highlight w:val="none"/>
          <w:lang w:val="en-US" w:eastAsia="zh-CN"/>
        </w:rPr>
        <w:t>，2021年实际</w:t>
      </w:r>
      <w:r>
        <w:rPr>
          <w:rFonts w:hint="eastAsia" w:ascii="宋体" w:hAnsi="宋体" w:eastAsia="宋体" w:cs="宋体"/>
          <w:sz w:val="28"/>
          <w:szCs w:val="28"/>
          <w:highlight w:val="none"/>
        </w:rPr>
        <w:t>人员经费</w:t>
      </w:r>
      <w:r>
        <w:rPr>
          <w:rFonts w:hint="eastAsia" w:ascii="宋体" w:hAnsi="宋体" w:cs="宋体"/>
          <w:sz w:val="28"/>
          <w:szCs w:val="28"/>
          <w:highlight w:val="none"/>
          <w:lang w:eastAsia="zh-CN"/>
        </w:rPr>
        <w:t>支出</w:t>
      </w:r>
      <w:r>
        <w:rPr>
          <w:rFonts w:hint="eastAsia" w:ascii="宋体" w:hAnsi="宋体" w:eastAsia="宋体" w:cs="宋体"/>
          <w:sz w:val="28"/>
          <w:szCs w:val="28"/>
          <w:highlight w:val="none"/>
        </w:rPr>
        <w:t>1151.1万元，</w:t>
      </w:r>
      <w:r>
        <w:rPr>
          <w:rFonts w:hint="eastAsia" w:ascii="宋体" w:hAnsi="宋体" w:cs="宋体"/>
          <w:sz w:val="28"/>
          <w:szCs w:val="28"/>
          <w:highlight w:val="none"/>
          <w:lang w:eastAsia="zh-CN"/>
        </w:rPr>
        <w:t>同比上年增长</w:t>
      </w:r>
      <w:r>
        <w:rPr>
          <w:rFonts w:hint="eastAsia" w:ascii="宋体" w:hAnsi="宋体" w:cs="宋体"/>
          <w:sz w:val="28"/>
          <w:szCs w:val="28"/>
          <w:highlight w:val="none"/>
          <w:lang w:val="en-US" w:eastAsia="zh-CN"/>
        </w:rPr>
        <w:t>590.85万元，涨幅原因是人员增加，社区干部薪资上调。</w:t>
      </w:r>
    </w:p>
    <w:p w14:paraId="6A319F2E">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2</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收入支出结构分析。</w:t>
      </w:r>
    </w:p>
    <w:p w14:paraId="0974BD3D">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工资福利支出</w:t>
      </w:r>
      <w:r>
        <w:rPr>
          <w:rFonts w:hint="eastAsia" w:ascii="宋体" w:hAnsi="宋体" w:cs="宋体"/>
          <w:sz w:val="28"/>
          <w:szCs w:val="28"/>
          <w:highlight w:val="none"/>
          <w:lang w:val="en-US" w:eastAsia="zh-CN"/>
        </w:rPr>
        <w:t>1151.1万元，</w:t>
      </w:r>
      <w:r>
        <w:rPr>
          <w:rFonts w:hint="eastAsia" w:ascii="宋体" w:hAnsi="宋体" w:eastAsia="宋体" w:cs="宋体"/>
          <w:sz w:val="28"/>
          <w:szCs w:val="28"/>
          <w:highlight w:val="none"/>
        </w:rPr>
        <w:t>占比56%，</w:t>
      </w:r>
    </w:p>
    <w:p w14:paraId="5475DAD9">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商品和服务支出</w:t>
      </w:r>
      <w:r>
        <w:rPr>
          <w:rFonts w:hint="eastAsia" w:ascii="宋体" w:hAnsi="宋体" w:cs="宋体"/>
          <w:sz w:val="28"/>
          <w:szCs w:val="28"/>
          <w:highlight w:val="none"/>
          <w:lang w:val="en-US" w:eastAsia="zh-CN"/>
        </w:rPr>
        <w:t>900.68万元，</w:t>
      </w:r>
      <w:r>
        <w:rPr>
          <w:rFonts w:hint="eastAsia" w:ascii="宋体" w:hAnsi="宋体" w:eastAsia="宋体" w:cs="宋体"/>
          <w:sz w:val="28"/>
          <w:szCs w:val="28"/>
          <w:highlight w:val="none"/>
        </w:rPr>
        <w:t>占比44%</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 xml:space="preserve"> </w:t>
      </w:r>
    </w:p>
    <w:p w14:paraId="698A8300">
      <w:pPr>
        <w:keepNext w:val="0"/>
        <w:keepLines w:val="0"/>
        <w:pageBreakBefore w:val="0"/>
        <w:widowControl/>
        <w:numPr>
          <w:ilvl w:val="0"/>
          <w:numId w:val="3"/>
        </w:numPr>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财政拨款收入、支出分析。</w:t>
      </w:r>
    </w:p>
    <w:p w14:paraId="1B65F736">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2021</w:t>
      </w:r>
      <w:r>
        <w:rPr>
          <w:rFonts w:hint="eastAsia" w:ascii="宋体" w:hAnsi="宋体" w:eastAsia="宋体" w:cs="宋体"/>
          <w:sz w:val="28"/>
          <w:szCs w:val="28"/>
          <w:highlight w:val="none"/>
        </w:rPr>
        <w:t>年度</w:t>
      </w:r>
      <w:r>
        <w:rPr>
          <w:rFonts w:hint="eastAsia" w:ascii="宋体" w:hAnsi="宋体" w:cs="宋体"/>
          <w:sz w:val="28"/>
          <w:szCs w:val="28"/>
          <w:highlight w:val="none"/>
          <w:lang w:eastAsia="zh-CN"/>
        </w:rPr>
        <w:t>财政拨款</w:t>
      </w:r>
      <w:r>
        <w:rPr>
          <w:rFonts w:hint="eastAsia" w:ascii="宋体" w:hAnsi="宋体" w:cs="宋体"/>
          <w:sz w:val="28"/>
          <w:szCs w:val="28"/>
          <w:highlight w:val="none"/>
          <w:lang w:val="en-US" w:eastAsia="zh-CN"/>
        </w:rPr>
        <w:t>收入</w:t>
      </w:r>
      <w:r>
        <w:rPr>
          <w:rFonts w:hint="eastAsia" w:ascii="宋体" w:hAnsi="宋体" w:eastAsia="宋体" w:cs="宋体"/>
          <w:sz w:val="28"/>
          <w:szCs w:val="28"/>
          <w:highlight w:val="none"/>
        </w:rPr>
        <w:t>为2051.78万元，</w:t>
      </w:r>
      <w:r>
        <w:rPr>
          <w:rFonts w:hint="eastAsia" w:ascii="宋体" w:hAnsi="宋体" w:cs="宋体"/>
          <w:sz w:val="28"/>
          <w:szCs w:val="28"/>
          <w:highlight w:val="none"/>
          <w:lang w:eastAsia="zh-CN"/>
        </w:rPr>
        <w:t>与</w:t>
      </w:r>
      <w:r>
        <w:rPr>
          <w:rFonts w:hint="eastAsia" w:ascii="宋体" w:hAnsi="宋体" w:eastAsia="宋体" w:cs="宋体"/>
          <w:sz w:val="28"/>
          <w:szCs w:val="28"/>
          <w:highlight w:val="none"/>
        </w:rPr>
        <w:t>2020年</w:t>
      </w:r>
      <w:r>
        <w:rPr>
          <w:rFonts w:hint="eastAsia" w:ascii="宋体" w:hAnsi="宋体" w:cs="宋体"/>
          <w:sz w:val="28"/>
          <w:szCs w:val="28"/>
          <w:highlight w:val="none"/>
          <w:lang w:eastAsia="zh-CN"/>
        </w:rPr>
        <w:t>度相比，财政拨款支出增加</w:t>
      </w:r>
      <w:r>
        <w:rPr>
          <w:rFonts w:hint="eastAsia" w:ascii="宋体" w:hAnsi="宋体" w:cs="宋体"/>
          <w:sz w:val="28"/>
          <w:szCs w:val="28"/>
          <w:highlight w:val="none"/>
          <w:lang w:val="en-US" w:eastAsia="zh-CN"/>
        </w:rPr>
        <w:t>565.84万元，</w:t>
      </w:r>
      <w:r>
        <w:rPr>
          <w:rFonts w:hint="eastAsia" w:ascii="宋体" w:hAnsi="宋体" w:eastAsia="宋体" w:cs="宋体"/>
          <w:sz w:val="28"/>
          <w:szCs w:val="28"/>
          <w:highlight w:val="none"/>
        </w:rPr>
        <w:t>增</w:t>
      </w:r>
      <w:r>
        <w:rPr>
          <w:rFonts w:hint="eastAsia" w:ascii="宋体" w:hAnsi="宋体" w:cs="宋体"/>
          <w:sz w:val="28"/>
          <w:szCs w:val="28"/>
          <w:highlight w:val="none"/>
          <w:lang w:eastAsia="zh-CN"/>
        </w:rPr>
        <w:t>长</w:t>
      </w:r>
      <w:r>
        <w:rPr>
          <w:rFonts w:hint="eastAsia" w:ascii="宋体" w:hAnsi="宋体" w:eastAsia="宋体" w:cs="宋体"/>
          <w:sz w:val="28"/>
          <w:szCs w:val="28"/>
          <w:highlight w:val="none"/>
        </w:rPr>
        <w:t>38.08%</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主要原因为人员增加、社区干部薪资上调。2021</w:t>
      </w:r>
      <w:r>
        <w:rPr>
          <w:rFonts w:hint="eastAsia" w:ascii="宋体" w:hAnsi="宋体" w:eastAsia="宋体" w:cs="宋体"/>
          <w:sz w:val="28"/>
          <w:szCs w:val="28"/>
          <w:highlight w:val="none"/>
        </w:rPr>
        <w:t>年度</w:t>
      </w:r>
      <w:r>
        <w:rPr>
          <w:rFonts w:hint="eastAsia" w:ascii="宋体" w:hAnsi="宋体" w:cs="宋体"/>
          <w:sz w:val="28"/>
          <w:szCs w:val="28"/>
          <w:highlight w:val="none"/>
          <w:lang w:eastAsia="zh-CN"/>
        </w:rPr>
        <w:t>财政拨款</w:t>
      </w:r>
      <w:r>
        <w:rPr>
          <w:rFonts w:hint="eastAsia" w:ascii="宋体" w:hAnsi="宋体" w:eastAsia="宋体" w:cs="宋体"/>
          <w:sz w:val="28"/>
          <w:szCs w:val="28"/>
          <w:highlight w:val="none"/>
        </w:rPr>
        <w:t>支出为2051.78万元，</w:t>
      </w:r>
      <w:r>
        <w:rPr>
          <w:rFonts w:hint="eastAsia" w:ascii="宋体" w:hAnsi="宋体" w:cs="宋体"/>
          <w:sz w:val="28"/>
          <w:szCs w:val="28"/>
          <w:highlight w:val="none"/>
          <w:lang w:eastAsia="zh-CN"/>
        </w:rPr>
        <w:t>与</w:t>
      </w:r>
      <w:r>
        <w:rPr>
          <w:rFonts w:hint="eastAsia" w:ascii="宋体" w:hAnsi="宋体" w:eastAsia="宋体" w:cs="宋体"/>
          <w:sz w:val="28"/>
          <w:szCs w:val="28"/>
          <w:highlight w:val="none"/>
        </w:rPr>
        <w:t>2020年</w:t>
      </w:r>
      <w:r>
        <w:rPr>
          <w:rFonts w:hint="eastAsia" w:ascii="宋体" w:hAnsi="宋体" w:cs="宋体"/>
          <w:sz w:val="28"/>
          <w:szCs w:val="28"/>
          <w:highlight w:val="none"/>
          <w:lang w:eastAsia="zh-CN"/>
        </w:rPr>
        <w:t>度相比，财政拨款支出增加</w:t>
      </w:r>
      <w:r>
        <w:rPr>
          <w:rFonts w:hint="eastAsia" w:ascii="宋体" w:hAnsi="宋体" w:cs="宋体"/>
          <w:sz w:val="28"/>
          <w:szCs w:val="28"/>
          <w:highlight w:val="none"/>
          <w:lang w:val="en-US" w:eastAsia="zh-CN"/>
        </w:rPr>
        <w:t>565.84万元，</w:t>
      </w:r>
      <w:r>
        <w:rPr>
          <w:rFonts w:hint="eastAsia" w:ascii="宋体" w:hAnsi="宋体" w:eastAsia="宋体" w:cs="宋体"/>
          <w:sz w:val="28"/>
          <w:szCs w:val="28"/>
          <w:highlight w:val="none"/>
        </w:rPr>
        <w:t>增</w:t>
      </w:r>
      <w:r>
        <w:rPr>
          <w:rFonts w:hint="eastAsia" w:ascii="宋体" w:hAnsi="宋体" w:cs="宋体"/>
          <w:sz w:val="28"/>
          <w:szCs w:val="28"/>
          <w:highlight w:val="none"/>
          <w:lang w:eastAsia="zh-CN"/>
        </w:rPr>
        <w:t>长</w:t>
      </w:r>
      <w:r>
        <w:rPr>
          <w:rFonts w:hint="eastAsia" w:ascii="宋体" w:hAnsi="宋体" w:eastAsia="宋体" w:cs="宋体"/>
          <w:sz w:val="28"/>
          <w:szCs w:val="28"/>
          <w:highlight w:val="none"/>
        </w:rPr>
        <w:t>38.08%</w:t>
      </w:r>
      <w:r>
        <w:rPr>
          <w:rFonts w:hint="eastAsia" w:ascii="宋体" w:hAnsi="宋体" w:cs="宋体"/>
          <w:sz w:val="28"/>
          <w:szCs w:val="28"/>
          <w:highlight w:val="none"/>
          <w:lang w:eastAsia="zh-CN"/>
        </w:rPr>
        <w:t>。其中，</w:t>
      </w:r>
      <w:r>
        <w:rPr>
          <w:rFonts w:hint="eastAsia" w:ascii="宋体" w:hAnsi="宋体" w:cs="宋体"/>
          <w:sz w:val="28"/>
          <w:szCs w:val="28"/>
          <w:highlight w:val="none"/>
          <w:lang w:val="en-US" w:eastAsia="zh-CN"/>
        </w:rPr>
        <w:t>2021年</w:t>
      </w:r>
      <w:r>
        <w:rPr>
          <w:rFonts w:hint="eastAsia" w:ascii="宋体" w:hAnsi="宋体" w:eastAsia="宋体" w:cs="宋体"/>
          <w:sz w:val="28"/>
          <w:szCs w:val="28"/>
          <w:highlight w:val="none"/>
        </w:rPr>
        <w:t>人员经费</w:t>
      </w:r>
      <w:r>
        <w:rPr>
          <w:rFonts w:hint="eastAsia" w:ascii="宋体" w:hAnsi="宋体" w:cs="宋体"/>
          <w:sz w:val="28"/>
          <w:szCs w:val="28"/>
          <w:highlight w:val="none"/>
          <w:lang w:eastAsia="zh-CN"/>
        </w:rPr>
        <w:t>支出</w:t>
      </w:r>
      <w:r>
        <w:rPr>
          <w:rFonts w:hint="eastAsia" w:ascii="宋体" w:hAnsi="宋体" w:eastAsia="宋体" w:cs="宋体"/>
          <w:sz w:val="28"/>
          <w:szCs w:val="28"/>
          <w:highlight w:val="none"/>
        </w:rPr>
        <w:t>1151.1万元，</w:t>
      </w:r>
      <w:r>
        <w:rPr>
          <w:rFonts w:hint="eastAsia" w:ascii="宋体" w:hAnsi="宋体" w:cs="宋体"/>
          <w:sz w:val="28"/>
          <w:szCs w:val="28"/>
          <w:highlight w:val="none"/>
          <w:lang w:eastAsia="zh-CN"/>
        </w:rPr>
        <w:t>同比上年增长</w:t>
      </w:r>
      <w:r>
        <w:rPr>
          <w:rFonts w:hint="eastAsia" w:ascii="宋体" w:hAnsi="宋体" w:cs="宋体"/>
          <w:sz w:val="28"/>
          <w:szCs w:val="28"/>
          <w:highlight w:val="none"/>
          <w:lang w:val="en-US" w:eastAsia="zh-CN"/>
        </w:rPr>
        <w:t>590.85万元，公用经费支出900.68万元，同比上年减少25.01万元，主要原因为人员增加、社区干部薪资上调</w:t>
      </w:r>
      <w:r>
        <w:rPr>
          <w:rFonts w:hint="eastAsia" w:ascii="宋体" w:hAnsi="宋体" w:eastAsia="宋体" w:cs="宋体"/>
          <w:sz w:val="28"/>
          <w:szCs w:val="28"/>
          <w:highlight w:val="none"/>
        </w:rPr>
        <w:t>。</w:t>
      </w:r>
    </w:p>
    <w:p w14:paraId="7D0F34FB">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rPr>
      </w:pPr>
      <w:r>
        <w:rPr>
          <w:rFonts w:hint="eastAsia" w:ascii="宋体" w:hAnsi="宋体"/>
          <w:color w:val="000000"/>
          <w:spacing w:val="2"/>
          <w:sz w:val="28"/>
          <w:szCs w:val="28"/>
          <w:highlight w:val="none"/>
          <w:lang w:eastAsia="zh-CN"/>
        </w:rPr>
        <w:t>202</w:t>
      </w:r>
      <w:r>
        <w:rPr>
          <w:rFonts w:hint="eastAsia" w:ascii="宋体" w:hAnsi="宋体"/>
          <w:color w:val="000000"/>
          <w:spacing w:val="2"/>
          <w:sz w:val="28"/>
          <w:szCs w:val="28"/>
          <w:highlight w:val="none"/>
          <w:lang w:val="en-US" w:eastAsia="zh-CN"/>
        </w:rPr>
        <w:t>1</w:t>
      </w:r>
      <w:r>
        <w:rPr>
          <w:rFonts w:hint="eastAsia" w:ascii="宋体" w:hAnsi="宋体"/>
          <w:color w:val="000000"/>
          <w:spacing w:val="2"/>
          <w:sz w:val="28"/>
          <w:szCs w:val="28"/>
          <w:highlight w:val="none"/>
        </w:rPr>
        <w:t>年</w:t>
      </w:r>
      <w:r>
        <w:rPr>
          <w:rFonts w:hint="eastAsia" w:ascii="宋体" w:hAnsi="宋体"/>
          <w:color w:val="000000"/>
          <w:spacing w:val="2"/>
          <w:sz w:val="28"/>
          <w:szCs w:val="28"/>
          <w:highlight w:val="none"/>
          <w:lang w:eastAsia="zh-CN"/>
        </w:rPr>
        <w:t>度</w:t>
      </w:r>
      <w:r>
        <w:rPr>
          <w:rFonts w:hint="eastAsia" w:ascii="宋体" w:hAnsi="宋体"/>
          <w:color w:val="000000"/>
          <w:spacing w:val="2"/>
          <w:sz w:val="28"/>
          <w:szCs w:val="28"/>
          <w:highlight w:val="none"/>
        </w:rPr>
        <w:t>一般公共预算财政拨款支出年</w:t>
      </w:r>
      <w:r>
        <w:rPr>
          <w:rFonts w:hint="eastAsia" w:ascii="宋体" w:hAnsi="宋体"/>
          <w:color w:val="000000"/>
          <w:spacing w:val="2"/>
          <w:sz w:val="28"/>
          <w:szCs w:val="28"/>
          <w:highlight w:val="none"/>
          <w:lang w:eastAsia="zh-CN"/>
        </w:rPr>
        <w:t>初</w:t>
      </w:r>
      <w:r>
        <w:rPr>
          <w:rFonts w:hint="eastAsia" w:ascii="宋体" w:hAnsi="宋体"/>
          <w:color w:val="000000"/>
          <w:spacing w:val="2"/>
          <w:sz w:val="28"/>
          <w:szCs w:val="28"/>
          <w:highlight w:val="none"/>
        </w:rPr>
        <w:t>预算为</w:t>
      </w:r>
      <w:r>
        <w:rPr>
          <w:rFonts w:hint="eastAsia" w:ascii="宋体" w:hAnsi="宋体" w:eastAsia="宋体" w:cs="宋体"/>
          <w:sz w:val="28"/>
          <w:szCs w:val="28"/>
          <w:highlight w:val="none"/>
        </w:rPr>
        <w:t>1077.36万元</w:t>
      </w:r>
      <w:r>
        <w:rPr>
          <w:rFonts w:hint="eastAsia" w:ascii="宋体" w:hAnsi="宋体" w:cs="宋体"/>
          <w:sz w:val="28"/>
          <w:szCs w:val="28"/>
          <w:highlight w:val="none"/>
          <w:lang w:eastAsia="zh-CN"/>
        </w:rPr>
        <w:t>，支出决算</w:t>
      </w:r>
      <w:r>
        <w:rPr>
          <w:rFonts w:hint="eastAsia" w:ascii="宋体" w:hAnsi="宋体" w:cs="宋体"/>
          <w:sz w:val="28"/>
          <w:szCs w:val="28"/>
          <w:highlight w:val="none"/>
          <w:lang w:val="en-US" w:eastAsia="zh-CN"/>
        </w:rPr>
        <w:t>2051.78万元，</w:t>
      </w:r>
      <w:r>
        <w:rPr>
          <w:rFonts w:hint="eastAsia" w:ascii="宋体" w:hAnsi="宋体"/>
          <w:color w:val="000000"/>
          <w:spacing w:val="2"/>
          <w:sz w:val="28"/>
          <w:szCs w:val="28"/>
          <w:highlight w:val="none"/>
          <w:lang w:val="en-US" w:eastAsia="zh-CN"/>
        </w:rPr>
        <w:t>超出</w:t>
      </w:r>
      <w:r>
        <w:rPr>
          <w:rFonts w:hint="eastAsia" w:ascii="宋体" w:hAnsi="宋体"/>
          <w:color w:val="000000"/>
          <w:spacing w:val="2"/>
          <w:sz w:val="28"/>
          <w:szCs w:val="28"/>
          <w:highlight w:val="none"/>
        </w:rPr>
        <w:t>年</w:t>
      </w:r>
      <w:r>
        <w:rPr>
          <w:rFonts w:hint="eastAsia" w:ascii="宋体" w:hAnsi="宋体"/>
          <w:color w:val="000000"/>
          <w:spacing w:val="2"/>
          <w:sz w:val="28"/>
          <w:szCs w:val="28"/>
          <w:highlight w:val="none"/>
          <w:lang w:eastAsia="zh-CN"/>
        </w:rPr>
        <w:t>初</w:t>
      </w:r>
      <w:r>
        <w:rPr>
          <w:rFonts w:hint="eastAsia" w:ascii="宋体" w:hAnsi="宋体"/>
          <w:color w:val="000000"/>
          <w:spacing w:val="2"/>
          <w:sz w:val="28"/>
          <w:szCs w:val="28"/>
          <w:highlight w:val="none"/>
        </w:rPr>
        <w:t>预算的</w:t>
      </w:r>
      <w:r>
        <w:rPr>
          <w:rFonts w:hint="eastAsia" w:ascii="宋体" w:hAnsi="宋体"/>
          <w:color w:val="000000"/>
          <w:spacing w:val="2"/>
          <w:sz w:val="28"/>
          <w:szCs w:val="28"/>
          <w:highlight w:val="none"/>
          <w:lang w:val="en-US" w:eastAsia="zh-CN"/>
        </w:rPr>
        <w:t>904.45</w:t>
      </w:r>
      <w:r>
        <w:rPr>
          <w:rFonts w:hint="eastAsia" w:ascii="宋体" w:hAnsi="宋体"/>
          <w:color w:val="000000"/>
          <w:spacing w:val="2"/>
          <w:sz w:val="28"/>
          <w:szCs w:val="28"/>
          <w:highlight w:val="none"/>
        </w:rPr>
        <w:t>%</w:t>
      </w:r>
      <w:r>
        <w:rPr>
          <w:rFonts w:hint="eastAsia" w:ascii="宋体" w:hAnsi="宋体"/>
          <w:color w:val="000000"/>
          <w:spacing w:val="2"/>
          <w:sz w:val="28"/>
          <w:szCs w:val="28"/>
          <w:highlight w:val="none"/>
          <w:lang w:eastAsia="zh-CN"/>
        </w:rPr>
        <w:t>，</w:t>
      </w:r>
      <w:r>
        <w:rPr>
          <w:rFonts w:hint="eastAsia" w:ascii="宋体" w:hAnsi="宋体"/>
          <w:color w:val="000000"/>
          <w:spacing w:val="2"/>
          <w:sz w:val="28"/>
          <w:szCs w:val="28"/>
          <w:highlight w:val="none"/>
          <w:lang w:val="en-US" w:eastAsia="zh-CN"/>
        </w:rPr>
        <w:t>主要是人员经费和公用经费均有所增加。</w:t>
      </w:r>
      <w:r>
        <w:rPr>
          <w:rFonts w:hint="eastAsia" w:ascii="宋体" w:hAnsi="宋体"/>
          <w:color w:val="000000"/>
          <w:spacing w:val="2"/>
          <w:sz w:val="28"/>
          <w:szCs w:val="28"/>
          <w:highlight w:val="none"/>
        </w:rPr>
        <w:t>支出决算数</w:t>
      </w:r>
      <w:r>
        <w:rPr>
          <w:rFonts w:hint="eastAsia" w:ascii="宋体" w:hAnsi="宋体"/>
          <w:color w:val="000000"/>
          <w:spacing w:val="2"/>
          <w:sz w:val="28"/>
          <w:szCs w:val="28"/>
          <w:highlight w:val="none"/>
          <w:lang w:eastAsia="zh-CN"/>
        </w:rPr>
        <w:t>大</w:t>
      </w:r>
      <w:r>
        <w:rPr>
          <w:rFonts w:hint="eastAsia" w:ascii="宋体" w:hAnsi="宋体"/>
          <w:color w:val="000000"/>
          <w:spacing w:val="2"/>
          <w:sz w:val="28"/>
          <w:szCs w:val="28"/>
          <w:highlight w:val="none"/>
        </w:rPr>
        <w:t>于年</w:t>
      </w:r>
      <w:r>
        <w:rPr>
          <w:rFonts w:hint="eastAsia" w:ascii="宋体" w:hAnsi="宋体"/>
          <w:color w:val="000000"/>
          <w:spacing w:val="2"/>
          <w:sz w:val="28"/>
          <w:szCs w:val="28"/>
          <w:highlight w:val="none"/>
          <w:lang w:eastAsia="zh-CN"/>
        </w:rPr>
        <w:t>初</w:t>
      </w:r>
      <w:r>
        <w:rPr>
          <w:rFonts w:hint="eastAsia" w:ascii="宋体" w:hAnsi="宋体"/>
          <w:color w:val="000000"/>
          <w:spacing w:val="2"/>
          <w:sz w:val="28"/>
          <w:szCs w:val="28"/>
          <w:highlight w:val="none"/>
        </w:rPr>
        <w:t>预算数的主要原因</w:t>
      </w:r>
      <w:r>
        <w:rPr>
          <w:rFonts w:hint="eastAsia" w:ascii="宋体" w:hAnsi="宋体"/>
          <w:color w:val="000000"/>
          <w:spacing w:val="2"/>
          <w:sz w:val="28"/>
          <w:szCs w:val="28"/>
          <w:highlight w:val="none"/>
          <w:lang w:eastAsia="zh-CN"/>
        </w:rPr>
        <w:t>：</w:t>
      </w:r>
      <w:r>
        <w:rPr>
          <w:rFonts w:hint="eastAsia" w:ascii="宋体" w:hAnsi="宋体" w:eastAsia="宋体" w:cs="宋体"/>
          <w:sz w:val="28"/>
          <w:szCs w:val="28"/>
          <w:highlight w:val="none"/>
        </w:rPr>
        <w:t>2021年机构改革后，由财政资金保障的区城管及工商局人员调入8人(其中2人退休)，新招入职事业编制人员7人</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2020年8月社区干部工资薪金上调，87名人均涨幅1000元/月，2021年支出数含2020年度8-12月份增资额。同时存在社区各类专项资金年初也并未纳入预算，年中发生时申请拨入。</w:t>
      </w:r>
    </w:p>
    <w:p w14:paraId="15378DD2">
      <w:pPr>
        <w:keepNext w:val="0"/>
        <w:keepLines w:val="0"/>
        <w:pageBreakBefore w:val="0"/>
        <w:widowControl/>
        <w:shd w:val="clear" w:color="auto" w:fill="FFFFFF"/>
        <w:kinsoku/>
        <w:overflowPunct/>
        <w:topLinePunct w:val="0"/>
        <w:autoSpaceDE/>
        <w:autoSpaceDN/>
        <w:bidi w:val="0"/>
        <w:adjustRightInd/>
        <w:spacing w:before="40"/>
        <w:ind w:firstLine="281" w:firstLineChars="100"/>
        <w:jc w:val="left"/>
        <w:textAlignment w:val="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（二）关于“三公”经费支出说明</w:t>
      </w:r>
    </w:p>
    <w:p w14:paraId="398043FF">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2021年“三公”经费</w:t>
      </w:r>
      <w:r>
        <w:rPr>
          <w:rFonts w:hint="eastAsia" w:asciiTheme="minorEastAsia" w:hAnsiTheme="minorEastAsia" w:cstheme="minorEastAsia"/>
          <w:sz w:val="28"/>
          <w:szCs w:val="28"/>
          <w:lang w:val="en-US" w:eastAsia="zh-CN"/>
        </w:rPr>
        <w:t>年初预算0元，</w:t>
      </w:r>
      <w:r>
        <w:rPr>
          <w:rFonts w:hint="eastAsia" w:asciiTheme="minorEastAsia" w:hAnsiTheme="minorEastAsia" w:eastAsiaTheme="minorEastAsia" w:cstheme="minorEastAsia"/>
          <w:sz w:val="28"/>
          <w:szCs w:val="28"/>
        </w:rPr>
        <w:t>决算总支出0元，与2020年度持平</w:t>
      </w:r>
      <w:r>
        <w:rPr>
          <w:rFonts w:hint="eastAsia" w:asciiTheme="minorEastAsia" w:hAnsiTheme="minorEastAsia" w:cstheme="minorEastAsia"/>
          <w:sz w:val="28"/>
          <w:szCs w:val="28"/>
          <w:lang w:eastAsia="zh-CN"/>
        </w:rPr>
        <w:t>，</w:t>
      </w:r>
      <w:r>
        <w:rPr>
          <w:rFonts w:hint="eastAsia" w:asciiTheme="minorEastAsia" w:hAnsiTheme="minorEastAsia" w:eastAsiaTheme="minorEastAsia" w:cstheme="minorEastAsia"/>
          <w:sz w:val="28"/>
          <w:szCs w:val="28"/>
        </w:rPr>
        <w:t>其中：</w:t>
      </w:r>
    </w:p>
    <w:p w14:paraId="2F1AFE0E">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eastAsiaTheme="minorEastAsia" w:cstheme="minorEastAsia"/>
          <w:sz w:val="28"/>
          <w:szCs w:val="28"/>
        </w:rPr>
        <w:t>因公出国（境）费0元，预算数0元，决算数比预算数增加0元，增长幅度为0%</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我部门因</w:t>
      </w:r>
      <w:r>
        <w:rPr>
          <w:rFonts w:hint="eastAsia" w:asciiTheme="minorEastAsia" w:hAnsiTheme="minorEastAsia" w:eastAsiaTheme="minorEastAsia" w:cstheme="minorEastAsia"/>
          <w:sz w:val="28"/>
          <w:szCs w:val="28"/>
        </w:rPr>
        <w:t>公出国（境）团组数0、人数0，与2020年度持平</w:t>
      </w:r>
    </w:p>
    <w:p w14:paraId="6CBF5445">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仿宋_GB2312" w:eastAsia="仿宋_GB2312"/>
          <w:color w:val="000000"/>
          <w:sz w:val="32"/>
          <w:szCs w:val="32"/>
          <w:highlight w:val="none"/>
          <w:u w:val="none"/>
        </w:rPr>
      </w:pPr>
      <w:r>
        <w:rPr>
          <w:rFonts w:hint="eastAsia" w:asciiTheme="minorEastAsia" w:hAnsiTheme="minorEastAsia" w:cstheme="minorEastAsia"/>
          <w:sz w:val="28"/>
          <w:szCs w:val="28"/>
          <w:lang w:val="en-US" w:eastAsia="zh-CN"/>
        </w:rPr>
        <w:t>2.</w:t>
      </w:r>
      <w:r>
        <w:rPr>
          <w:rFonts w:hint="eastAsia" w:asciiTheme="minorEastAsia" w:hAnsiTheme="minorEastAsia" w:eastAsiaTheme="minorEastAsia" w:cstheme="minorEastAsia"/>
          <w:sz w:val="28"/>
          <w:szCs w:val="28"/>
        </w:rPr>
        <w:t>公务用车购置及运行费支出决算为</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万元，</w:t>
      </w:r>
      <w:r>
        <w:rPr>
          <w:rFonts w:hint="eastAsia" w:asciiTheme="minorEastAsia" w:hAnsiTheme="minorEastAsia" w:eastAsiaTheme="minorEastAsia" w:cstheme="minorEastAsia"/>
          <w:sz w:val="28"/>
          <w:szCs w:val="28"/>
          <w:lang w:eastAsia="zh-CN"/>
        </w:rPr>
        <w:t>年初</w:t>
      </w:r>
      <w:r>
        <w:rPr>
          <w:rFonts w:hint="eastAsia" w:asciiTheme="minorEastAsia" w:hAnsiTheme="minorEastAsia" w:eastAsiaTheme="minorEastAsia" w:cstheme="minorEastAsia"/>
          <w:sz w:val="28"/>
          <w:szCs w:val="28"/>
        </w:rPr>
        <w:t>预算</w:t>
      </w:r>
      <w:r>
        <w:rPr>
          <w:rFonts w:hint="eastAsia" w:asciiTheme="minorEastAsia" w:hAnsiTheme="minorEastAsia" w:cstheme="minorEastAsia"/>
          <w:sz w:val="28"/>
          <w:szCs w:val="28"/>
          <w:lang w:val="en-US" w:eastAsia="zh-CN"/>
        </w:rPr>
        <w:t>0元</w:t>
      </w:r>
      <w:r>
        <w:rPr>
          <w:rFonts w:hint="eastAsia" w:asciiTheme="minorEastAsia" w:hAnsiTheme="minorEastAsia" w:eastAsiaTheme="minorEastAsia" w:cstheme="minorEastAsia"/>
          <w:sz w:val="28"/>
          <w:szCs w:val="28"/>
        </w:rPr>
        <w:t>；其中：</w:t>
      </w:r>
    </w:p>
    <w:p w14:paraId="3C507FE2">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eastAsiaTheme="minorEastAsia" w:cstheme="minorEastAsia"/>
          <w:sz w:val="28"/>
          <w:szCs w:val="28"/>
        </w:rPr>
        <w:t>公务车运行维护费0元，年初预算数0元，决算数比预算数增加0元，增加幅度为0%；</w:t>
      </w:r>
      <w:r>
        <w:rPr>
          <w:rFonts w:hint="eastAsia" w:asciiTheme="minorEastAsia" w:hAnsiTheme="minorEastAsia" w:cstheme="minorEastAsia"/>
          <w:sz w:val="28"/>
          <w:szCs w:val="28"/>
          <w:lang w:val="en-US" w:eastAsia="zh-CN"/>
        </w:rPr>
        <w:t>公务车实物量0，保有量0，与2020年度持平；</w:t>
      </w:r>
    </w:p>
    <w:p w14:paraId="5794D24F">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公务用车购置费0元，年初预算</w:t>
      </w:r>
      <w:r>
        <w:rPr>
          <w:rFonts w:hint="eastAsia" w:asciiTheme="minorEastAsia" w:hAnsiTheme="minorEastAsia" w:eastAsiaTheme="minorEastAsia" w:cstheme="minorEastAsia"/>
          <w:sz w:val="28"/>
          <w:szCs w:val="28"/>
        </w:rPr>
        <w:t>年初预算数0元，决算数比预算数增加0元</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与2020年度持平；</w:t>
      </w:r>
    </w:p>
    <w:p w14:paraId="0B54E494">
      <w:pPr>
        <w:pStyle w:val="18"/>
        <w:keepNext w:val="0"/>
        <w:keepLines w:val="0"/>
        <w:pageBreakBefore w:val="0"/>
        <w:kinsoku/>
        <w:wordWrap/>
        <w:overflowPunct/>
        <w:topLinePunct w:val="0"/>
        <w:autoSpaceDE/>
        <w:autoSpaceDN/>
        <w:bidi w:val="0"/>
        <w:adjustRightInd/>
        <w:snapToGrid/>
        <w:ind w:left="0" w:leftChars="0" w:firstLine="560" w:firstLineChars="200"/>
        <w:textAlignment w:val="auto"/>
        <w:rPr>
          <w:rFonts w:hint="eastAsia" w:ascii="宋体" w:hAnsi="宋体" w:eastAsia="宋体" w:cs="宋体"/>
          <w:sz w:val="28"/>
          <w:szCs w:val="28"/>
          <w:highlight w:val="none"/>
          <w:lang w:val="en-US" w:eastAsia="zh-CN"/>
        </w:rPr>
      </w:pPr>
      <w:r>
        <w:rPr>
          <w:rFonts w:hint="eastAsia" w:asciiTheme="minorEastAsia" w:hAnsiTheme="minorEastAsia" w:cstheme="minorEastAsia"/>
          <w:sz w:val="28"/>
          <w:szCs w:val="28"/>
          <w:lang w:val="en-US" w:eastAsia="zh-CN"/>
        </w:rPr>
        <w:t>3.</w:t>
      </w:r>
      <w:r>
        <w:rPr>
          <w:rFonts w:hint="eastAsia" w:asciiTheme="minorEastAsia" w:hAnsiTheme="minorEastAsia" w:eastAsiaTheme="minorEastAsia" w:cstheme="minorEastAsia"/>
          <w:sz w:val="28"/>
          <w:szCs w:val="28"/>
        </w:rPr>
        <w:t>公务接待费0元，年初预算数0元，决算数比预算数增加0元，增长幅度为0%；</w:t>
      </w:r>
      <w:r>
        <w:rPr>
          <w:rFonts w:hint="eastAsia" w:asciiTheme="minorEastAsia" w:hAnsiTheme="minorEastAsia" w:cstheme="minorEastAsia"/>
          <w:sz w:val="28"/>
          <w:szCs w:val="28"/>
          <w:lang w:val="en-US" w:eastAsia="zh-CN"/>
        </w:rPr>
        <w:t>我部门公务接待批次0，公务接待人数0，与2020年度持平；</w:t>
      </w:r>
    </w:p>
    <w:p w14:paraId="22A4CBDB">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yellow"/>
          <w:lang w:val="en-US" w:eastAsia="zh-CN"/>
        </w:rPr>
      </w:pPr>
      <w:r>
        <w:rPr>
          <w:rFonts w:hint="eastAsia" w:ascii="宋体" w:hAnsi="宋体" w:eastAsia="宋体" w:cs="宋体"/>
          <w:b/>
          <w:bCs/>
          <w:sz w:val="28"/>
          <w:szCs w:val="28"/>
          <w:highlight w:val="none"/>
        </w:rPr>
        <w:t>（三）关于机关运行经费支出说明</w:t>
      </w:r>
    </w:p>
    <w:p w14:paraId="3546D582">
      <w:pPr>
        <w:keepNext w:val="0"/>
        <w:keepLines w:val="0"/>
        <w:pageBreakBefore w:val="0"/>
        <w:widowControl/>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sz w:val="28"/>
          <w:szCs w:val="28"/>
          <w:highlight w:val="none"/>
          <w:lang w:val="en-US" w:eastAsia="zh-CN"/>
        </w:rPr>
      </w:pPr>
      <w:r>
        <w:rPr>
          <w:rFonts w:hint="eastAsia" w:asciiTheme="minorEastAsia" w:hAnsiTheme="minorEastAsia" w:eastAsiaTheme="minorEastAsia" w:cstheme="minorEastAsia"/>
          <w:sz w:val="28"/>
          <w:szCs w:val="28"/>
          <w:highlight w:val="none"/>
        </w:rPr>
        <w:t>本部门</w:t>
      </w:r>
      <w:r>
        <w:rPr>
          <w:rFonts w:hint="eastAsia" w:asciiTheme="minorEastAsia" w:hAnsiTheme="minorEastAsia" w:cstheme="minorEastAsia"/>
          <w:sz w:val="28"/>
          <w:szCs w:val="28"/>
          <w:highlight w:val="none"/>
          <w:lang w:val="en-US" w:eastAsia="zh-CN"/>
        </w:rPr>
        <w:t>2021</w:t>
      </w:r>
      <w:r>
        <w:rPr>
          <w:rFonts w:hint="eastAsia" w:asciiTheme="minorEastAsia" w:hAnsiTheme="minorEastAsia" w:eastAsiaTheme="minorEastAsia" w:cstheme="minorEastAsia"/>
          <w:sz w:val="28"/>
          <w:szCs w:val="28"/>
          <w:highlight w:val="none"/>
        </w:rPr>
        <w:t>年度机关运行经费支出</w:t>
      </w:r>
      <w:r>
        <w:rPr>
          <w:rFonts w:hint="eastAsia" w:ascii="宋体" w:hAnsi="宋体" w:eastAsia="宋体" w:cs="宋体"/>
          <w:sz w:val="28"/>
          <w:szCs w:val="28"/>
          <w:highlight w:val="none"/>
          <w:lang w:val="en-US" w:eastAsia="zh-CN"/>
        </w:rPr>
        <w:t>900.6</w:t>
      </w:r>
      <w:r>
        <w:rPr>
          <w:rFonts w:hint="eastAsia" w:ascii="宋体" w:hAnsi="宋体" w:cs="宋体"/>
          <w:sz w:val="28"/>
          <w:szCs w:val="28"/>
          <w:highlight w:val="none"/>
          <w:lang w:val="en-US" w:eastAsia="zh-CN"/>
        </w:rPr>
        <w:t>8</w:t>
      </w:r>
      <w:r>
        <w:rPr>
          <w:rFonts w:hint="eastAsia" w:ascii="宋体" w:hAnsi="宋体" w:eastAsia="宋体" w:cs="宋体"/>
          <w:sz w:val="28"/>
          <w:szCs w:val="28"/>
          <w:highlight w:val="none"/>
        </w:rPr>
        <w:t>万元</w:t>
      </w:r>
      <w:r>
        <w:rPr>
          <w:rFonts w:hint="eastAsia" w:asciiTheme="minorEastAsia" w:hAnsiTheme="minorEastAsia" w:eastAsiaTheme="minorEastAsia" w:cstheme="minorEastAsia"/>
          <w:sz w:val="28"/>
          <w:szCs w:val="28"/>
          <w:highlight w:val="none"/>
        </w:rPr>
        <w:t>，与2020年决算数</w:t>
      </w:r>
      <w:r>
        <w:rPr>
          <w:rFonts w:hint="eastAsia" w:ascii="宋体" w:hAnsi="宋体" w:cs="宋体"/>
          <w:sz w:val="28"/>
          <w:szCs w:val="28"/>
          <w:highlight w:val="none"/>
          <w:lang w:val="en-US" w:eastAsia="zh-CN"/>
        </w:rPr>
        <w:t>925.7</w:t>
      </w:r>
      <w:r>
        <w:rPr>
          <w:rFonts w:hint="eastAsia" w:asciiTheme="minorEastAsia" w:hAnsiTheme="minorEastAsia" w:eastAsiaTheme="minorEastAsia" w:cstheme="minorEastAsia"/>
          <w:sz w:val="28"/>
          <w:szCs w:val="28"/>
          <w:highlight w:val="none"/>
        </w:rPr>
        <w:t>万元</w:t>
      </w:r>
      <w:r>
        <w:rPr>
          <w:rFonts w:hint="eastAsia" w:asciiTheme="minorEastAsia" w:hAnsiTheme="minorEastAsia" w:eastAsiaTheme="minorEastAsia" w:cstheme="minorEastAsia"/>
          <w:sz w:val="28"/>
          <w:szCs w:val="28"/>
          <w:highlight w:val="none"/>
          <w:lang w:eastAsia="zh-CN"/>
        </w:rPr>
        <w:t>减少</w:t>
      </w:r>
      <w:r>
        <w:rPr>
          <w:rFonts w:hint="eastAsia" w:asciiTheme="minorEastAsia" w:hAnsiTheme="minorEastAsia" w:eastAsiaTheme="minorEastAsia" w:cstheme="minorEastAsia"/>
          <w:sz w:val="28"/>
          <w:szCs w:val="28"/>
          <w:highlight w:val="none"/>
        </w:rPr>
        <w:t>了</w:t>
      </w:r>
      <w:r>
        <w:rPr>
          <w:rFonts w:hint="eastAsia" w:asciiTheme="minorEastAsia" w:hAnsiTheme="minorEastAsia" w:cstheme="minorEastAsia"/>
          <w:sz w:val="28"/>
          <w:szCs w:val="28"/>
          <w:highlight w:val="none"/>
          <w:lang w:val="en-US" w:eastAsia="zh-CN"/>
        </w:rPr>
        <w:t>25.02</w:t>
      </w:r>
      <w:r>
        <w:rPr>
          <w:rFonts w:hint="eastAsia" w:asciiTheme="minorEastAsia" w:hAnsiTheme="minorEastAsia" w:eastAsiaTheme="minorEastAsia" w:cstheme="minorEastAsia"/>
          <w:sz w:val="28"/>
          <w:szCs w:val="28"/>
          <w:highlight w:val="none"/>
        </w:rPr>
        <w:t>万元，较2021年预算数</w:t>
      </w:r>
      <w:r>
        <w:rPr>
          <w:rFonts w:hint="eastAsia" w:asciiTheme="minorEastAsia" w:hAnsiTheme="minorEastAsia" w:cstheme="minorEastAsia"/>
          <w:sz w:val="28"/>
          <w:szCs w:val="28"/>
          <w:highlight w:val="none"/>
          <w:lang w:val="en-US" w:eastAsia="zh-CN"/>
        </w:rPr>
        <w:t>599.14</w:t>
      </w:r>
      <w:r>
        <w:rPr>
          <w:rFonts w:hint="eastAsia" w:asciiTheme="minorEastAsia" w:hAnsiTheme="minorEastAsia" w:eastAsiaTheme="minorEastAsia" w:cstheme="minorEastAsia"/>
          <w:sz w:val="28"/>
          <w:szCs w:val="28"/>
          <w:highlight w:val="none"/>
        </w:rPr>
        <w:t>万元增加了</w:t>
      </w:r>
      <w:r>
        <w:rPr>
          <w:rFonts w:hint="eastAsia" w:asciiTheme="minorEastAsia" w:hAnsiTheme="minorEastAsia" w:cstheme="minorEastAsia"/>
          <w:sz w:val="28"/>
          <w:szCs w:val="28"/>
          <w:highlight w:val="none"/>
          <w:lang w:val="en-US" w:eastAsia="zh-CN"/>
        </w:rPr>
        <w:t>301.54</w:t>
      </w:r>
      <w:r>
        <w:rPr>
          <w:rFonts w:hint="eastAsia" w:asciiTheme="minorEastAsia" w:hAnsiTheme="minorEastAsia" w:eastAsiaTheme="minorEastAsia" w:cstheme="minorEastAsia"/>
          <w:sz w:val="28"/>
          <w:szCs w:val="28"/>
          <w:highlight w:val="none"/>
        </w:rPr>
        <w:t>万元。主</w:t>
      </w:r>
      <w:r>
        <w:rPr>
          <w:rFonts w:hint="eastAsia" w:ascii="宋体" w:hAnsi="宋体"/>
          <w:color w:val="000000"/>
          <w:spacing w:val="2"/>
          <w:sz w:val="28"/>
          <w:szCs w:val="28"/>
          <w:highlight w:val="none"/>
          <w:lang w:val="en-US" w:eastAsia="zh-CN"/>
        </w:rPr>
        <w:t>要用于办公及印刷费、邮电费、差旅费、培训费、日常维修费、办公设备购置费、办公用房水电费、劳务费、委托业务费、工会经费、福利费以及其他费用，比2020年预算数408.66万增加了190.48万元，增长46.61%。主要原因是劳务费增加。</w:t>
      </w:r>
    </w:p>
    <w:p w14:paraId="60CF587C">
      <w:pPr>
        <w:keepNext w:val="0"/>
        <w:keepLines w:val="0"/>
        <w:pageBreakBefore w:val="0"/>
        <w:widowControl/>
        <w:numPr>
          <w:ilvl w:val="0"/>
          <w:numId w:val="4"/>
        </w:numPr>
        <w:shd w:val="clear" w:color="auto" w:fill="FFFFFF"/>
        <w:kinsoku/>
        <w:overflowPunct/>
        <w:topLinePunct w:val="0"/>
        <w:autoSpaceDE/>
        <w:autoSpaceDN/>
        <w:bidi w:val="0"/>
        <w:adjustRightInd/>
        <w:spacing w:before="40"/>
        <w:ind w:firstLine="480"/>
        <w:jc w:val="left"/>
        <w:textAlignment w:val="auto"/>
        <w:rPr>
          <w:rFonts w:hint="eastAsia" w:ascii="宋体" w:hAnsi="宋体" w:eastAsia="宋体" w:cs="宋体"/>
          <w:b/>
          <w:bCs/>
          <w:sz w:val="28"/>
          <w:szCs w:val="28"/>
        </w:rPr>
      </w:pPr>
      <w:r>
        <w:rPr>
          <w:rFonts w:hint="eastAsia" w:ascii="宋体" w:hAnsi="宋体" w:eastAsia="宋体" w:cs="宋体"/>
          <w:b/>
          <w:bCs/>
          <w:sz w:val="28"/>
          <w:szCs w:val="28"/>
        </w:rPr>
        <w:t>关于政府采购支出说明</w:t>
      </w:r>
    </w:p>
    <w:p w14:paraId="5B989E88">
      <w:pPr>
        <w:keepNext w:val="0"/>
        <w:keepLines w:val="0"/>
        <w:pageBreakBefore w:val="0"/>
        <w:widowControl/>
        <w:numPr>
          <w:ilvl w:val="0"/>
          <w:numId w:val="0"/>
        </w:numPr>
        <w:shd w:val="clear" w:color="auto" w:fill="FFFFFF"/>
        <w:kinsoku/>
        <w:overflowPunct/>
        <w:topLinePunct w:val="0"/>
        <w:autoSpaceDE/>
        <w:autoSpaceDN/>
        <w:bidi w:val="0"/>
        <w:adjustRightInd/>
        <w:spacing w:before="40"/>
        <w:ind w:left="480" w:leftChars="0"/>
        <w:jc w:val="left"/>
        <w:textAlignment w:val="auto"/>
        <w:rPr>
          <w:rFonts w:hint="eastAsia" w:ascii="宋体" w:hAnsi="宋体" w:eastAsia="宋体" w:cs="宋体"/>
          <w:b/>
          <w:bCs/>
          <w:sz w:val="28"/>
          <w:szCs w:val="28"/>
        </w:rPr>
      </w:pPr>
      <w:r>
        <w:rPr>
          <w:rFonts w:hint="eastAsia" w:ascii="宋体" w:hAnsi="宋体" w:eastAsia="宋体" w:cs="宋体"/>
          <w:sz w:val="28"/>
          <w:szCs w:val="28"/>
          <w:highlight w:val="none"/>
        </w:rPr>
        <w:t>2021年度政府采购支出总额</w:t>
      </w:r>
      <w:r>
        <w:rPr>
          <w:rFonts w:hint="eastAsia" w:ascii="宋体" w:hAnsi="宋体" w:cs="宋体"/>
          <w:sz w:val="28"/>
          <w:szCs w:val="28"/>
          <w:highlight w:val="none"/>
          <w:lang w:val="en-US" w:eastAsia="zh-CN"/>
        </w:rPr>
        <w:t>5.08</w:t>
      </w:r>
      <w:r>
        <w:rPr>
          <w:rFonts w:hint="eastAsia" w:ascii="宋体" w:hAnsi="宋体" w:eastAsia="宋体" w:cs="宋体"/>
          <w:sz w:val="28"/>
          <w:szCs w:val="28"/>
          <w:highlight w:val="none"/>
        </w:rPr>
        <w:t>万元，其中：政府采购货物支出</w:t>
      </w:r>
      <w:r>
        <w:rPr>
          <w:rFonts w:hint="eastAsia" w:ascii="宋体" w:hAnsi="宋体" w:cs="宋体"/>
          <w:sz w:val="28"/>
          <w:szCs w:val="28"/>
          <w:highlight w:val="none"/>
          <w:lang w:val="en-US" w:eastAsia="zh-CN"/>
        </w:rPr>
        <w:t>5.08</w:t>
      </w:r>
      <w:r>
        <w:rPr>
          <w:rFonts w:hint="eastAsia" w:ascii="宋体" w:hAnsi="宋体" w:eastAsia="宋体" w:cs="宋体"/>
          <w:sz w:val="28"/>
          <w:szCs w:val="28"/>
          <w:highlight w:val="none"/>
        </w:rPr>
        <w:t>万元、政府采购工程支出0万元、政府采购服务支出0万元。授予中小企业合同金额</w:t>
      </w:r>
      <w:r>
        <w:rPr>
          <w:rFonts w:hint="eastAsia" w:ascii="宋体" w:hAnsi="宋体" w:cs="宋体"/>
          <w:sz w:val="28"/>
          <w:szCs w:val="28"/>
          <w:highlight w:val="none"/>
          <w:lang w:val="en-US" w:eastAsia="zh-CN"/>
        </w:rPr>
        <w:t>5.08</w:t>
      </w:r>
      <w:r>
        <w:rPr>
          <w:rFonts w:hint="eastAsia" w:ascii="宋体" w:hAnsi="宋体" w:eastAsia="宋体" w:cs="宋体"/>
          <w:sz w:val="28"/>
          <w:szCs w:val="28"/>
          <w:highlight w:val="none"/>
        </w:rPr>
        <w:t>万元，占政府采购支出总额的</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0%，其中：授予小微企业合同金额</w:t>
      </w:r>
      <w:r>
        <w:rPr>
          <w:rFonts w:hint="eastAsia" w:ascii="宋体" w:hAnsi="宋体" w:cs="宋体"/>
          <w:sz w:val="28"/>
          <w:szCs w:val="28"/>
          <w:highlight w:val="none"/>
          <w:lang w:val="en-US" w:eastAsia="zh-CN"/>
        </w:rPr>
        <w:t>5.08</w:t>
      </w:r>
      <w:r>
        <w:rPr>
          <w:rFonts w:hint="eastAsia" w:ascii="宋体" w:hAnsi="宋体" w:eastAsia="宋体" w:cs="宋体"/>
          <w:sz w:val="28"/>
          <w:szCs w:val="28"/>
          <w:highlight w:val="none"/>
        </w:rPr>
        <w:t>万元，占政府采购支出总额的</w:t>
      </w:r>
      <w:r>
        <w:rPr>
          <w:rFonts w:hint="eastAsia" w:ascii="宋体" w:hAnsi="宋体" w:cs="宋体"/>
          <w:sz w:val="28"/>
          <w:szCs w:val="28"/>
          <w:highlight w:val="none"/>
          <w:lang w:val="en-US" w:eastAsia="zh-CN"/>
        </w:rPr>
        <w:t>10</w:t>
      </w:r>
      <w:r>
        <w:rPr>
          <w:rFonts w:hint="eastAsia" w:ascii="宋体" w:hAnsi="宋体" w:eastAsia="宋体" w:cs="宋体"/>
          <w:sz w:val="28"/>
          <w:szCs w:val="28"/>
          <w:highlight w:val="none"/>
        </w:rPr>
        <w:t>0%。</w:t>
      </w:r>
    </w:p>
    <w:p w14:paraId="4F3EE669">
      <w:pPr>
        <w:keepNext w:val="0"/>
        <w:keepLines w:val="0"/>
        <w:pageBreakBefore w:val="0"/>
        <w:widowControl/>
        <w:numPr>
          <w:ilvl w:val="0"/>
          <w:numId w:val="4"/>
        </w:numPr>
        <w:shd w:val="clear" w:color="auto" w:fill="FFFFFF"/>
        <w:kinsoku/>
        <w:overflowPunct/>
        <w:topLinePunct w:val="0"/>
        <w:autoSpaceDE/>
        <w:autoSpaceDN/>
        <w:bidi w:val="0"/>
        <w:adjustRightInd/>
        <w:spacing w:before="40"/>
        <w:ind w:left="0" w:leftChars="0" w:firstLine="480" w:firstLineChars="0"/>
        <w:jc w:val="left"/>
        <w:textAlignment w:val="auto"/>
        <w:rPr>
          <w:rFonts w:hint="eastAsia" w:asciiTheme="minorEastAsia" w:hAnsiTheme="minorEastAsia" w:eastAsiaTheme="minorEastAsia" w:cstheme="minorEastAsia"/>
          <w:sz w:val="28"/>
          <w:szCs w:val="28"/>
          <w:highlight w:val="none"/>
        </w:rPr>
      </w:pPr>
      <w:r>
        <w:rPr>
          <w:rFonts w:hint="eastAsia" w:ascii="宋体" w:hAnsi="宋体" w:eastAsia="宋体" w:cs="宋体"/>
          <w:b/>
          <w:bCs/>
          <w:sz w:val="28"/>
          <w:szCs w:val="28"/>
        </w:rPr>
        <w:t>国有资产占用情况说明</w:t>
      </w:r>
    </w:p>
    <w:p w14:paraId="51385D18">
      <w:pPr>
        <w:keepNext w:val="0"/>
        <w:keepLines w:val="0"/>
        <w:pageBreakBefore w:val="0"/>
        <w:widowControl/>
        <w:numPr>
          <w:ilvl w:val="0"/>
          <w:numId w:val="0"/>
        </w:numPr>
        <w:shd w:val="clear" w:color="auto" w:fill="FFFFFF"/>
        <w:kinsoku/>
        <w:overflowPunct/>
        <w:topLinePunct w:val="0"/>
        <w:autoSpaceDE/>
        <w:autoSpaceDN/>
        <w:bidi w:val="0"/>
        <w:adjustRightInd/>
        <w:spacing w:before="40"/>
        <w:ind w:left="480" w:leftChars="0"/>
        <w:jc w:val="left"/>
        <w:textAlignment w:val="auto"/>
        <w:rPr>
          <w:rFonts w:hint="eastAsia"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kern w:val="2"/>
          <w:sz w:val="28"/>
          <w:szCs w:val="28"/>
          <w:highlight w:val="none"/>
          <w:lang w:val="en-US" w:eastAsia="zh-CN" w:bidi="ar-SA"/>
        </w:rPr>
        <w:t xml:space="preserve">截至2021年12月31日，本部门（单位）共有车辆0辆，其中，主要领导干部用车0辆、机要通信用车0辆、应急保障用车0 辆、执法执勤用车0 辆、特种专业技术用车0 辆、离退休干部用车0辆、其他用车0辆；单位价值50万元以上通用设备0台（套）；单位价值100万元以上专用设备0台（套）。 </w:t>
      </w:r>
      <w:r>
        <w:rPr>
          <w:rFonts w:hint="eastAsia" w:asciiTheme="minorEastAsia" w:hAnsiTheme="minorEastAsia" w:eastAsiaTheme="minorEastAsia" w:cstheme="minorEastAsia"/>
          <w:sz w:val="28"/>
          <w:szCs w:val="28"/>
          <w:highlight w:val="none"/>
        </w:rPr>
        <w:t xml:space="preserve"> </w:t>
      </w:r>
    </w:p>
    <w:p w14:paraId="0ABCBCEF">
      <w:pPr>
        <w:pStyle w:val="6"/>
        <w:keepNext w:val="0"/>
        <w:keepLines w:val="0"/>
        <w:pageBreakBefore w:val="0"/>
        <w:widowControl/>
        <w:numPr>
          <w:ilvl w:val="0"/>
          <w:numId w:val="0"/>
        </w:numPr>
        <w:kinsoku/>
        <w:overflowPunct/>
        <w:topLinePunct w:val="0"/>
        <w:autoSpaceDE/>
        <w:autoSpaceDN/>
        <w:bidi w:val="0"/>
        <w:adjustRightInd/>
        <w:spacing w:before="40" w:beforeAutospacing="0" w:after="0" w:afterAutospacing="0" w:line="585" w:lineRule="atLeast"/>
        <w:ind w:firstLine="281" w:firstLineChars="100"/>
        <w:textAlignment w:val="auto"/>
        <w:rPr>
          <w:rFonts w:hint="eastAsia" w:ascii="宋体" w:hAnsi="宋体" w:eastAsia="宋体" w:cs="宋体"/>
          <w:b/>
          <w:sz w:val="28"/>
          <w:szCs w:val="28"/>
          <w:highlight w:val="none"/>
        </w:rPr>
      </w:pPr>
      <w:r>
        <w:rPr>
          <w:rFonts w:hint="eastAsia" w:ascii="宋体" w:hAnsi="宋体" w:eastAsia="宋体" w:cs="宋体"/>
          <w:b/>
          <w:sz w:val="28"/>
          <w:szCs w:val="28"/>
          <w:highlight w:val="none"/>
          <w:lang w:eastAsia="zh-CN"/>
        </w:rPr>
        <w:t>（六）</w:t>
      </w:r>
      <w:r>
        <w:rPr>
          <w:rFonts w:hint="eastAsia" w:ascii="宋体" w:hAnsi="宋体" w:eastAsia="宋体" w:cs="宋体"/>
          <w:b/>
          <w:sz w:val="28"/>
          <w:szCs w:val="28"/>
          <w:highlight w:val="none"/>
        </w:rPr>
        <w:t>重点项目</w:t>
      </w:r>
      <w:r>
        <w:rPr>
          <w:rFonts w:hint="eastAsia" w:ascii="宋体" w:hAnsi="宋体" w:eastAsia="宋体" w:cs="宋体"/>
          <w:b/>
          <w:sz w:val="28"/>
          <w:szCs w:val="28"/>
          <w:highlight w:val="none"/>
          <w:lang w:eastAsia="zh-CN"/>
        </w:rPr>
        <w:t>决算</w:t>
      </w:r>
      <w:r>
        <w:rPr>
          <w:rFonts w:hint="eastAsia" w:ascii="宋体" w:hAnsi="宋体" w:eastAsia="宋体" w:cs="宋体"/>
          <w:b/>
          <w:sz w:val="28"/>
          <w:szCs w:val="28"/>
          <w:highlight w:val="none"/>
        </w:rPr>
        <w:t>绩效目标等</w:t>
      </w:r>
      <w:r>
        <w:rPr>
          <w:rFonts w:hint="eastAsia" w:ascii="宋体" w:hAnsi="宋体" w:eastAsia="宋体" w:cs="宋体"/>
          <w:b/>
          <w:sz w:val="28"/>
          <w:szCs w:val="28"/>
          <w:highlight w:val="none"/>
          <w:lang w:eastAsia="zh-CN"/>
        </w:rPr>
        <w:t>决算</w:t>
      </w:r>
      <w:r>
        <w:rPr>
          <w:rFonts w:hint="eastAsia" w:ascii="宋体" w:hAnsi="宋体" w:eastAsia="宋体" w:cs="宋体"/>
          <w:b/>
          <w:sz w:val="28"/>
          <w:szCs w:val="28"/>
          <w:highlight w:val="none"/>
        </w:rPr>
        <w:t>绩效情况说明</w:t>
      </w:r>
    </w:p>
    <w:p w14:paraId="59425C80">
      <w:pPr>
        <w:pStyle w:val="6"/>
        <w:keepNext w:val="0"/>
        <w:keepLines w:val="0"/>
        <w:pageBreakBefore w:val="0"/>
        <w:widowControl/>
        <w:numPr>
          <w:ilvl w:val="0"/>
          <w:numId w:val="0"/>
        </w:numPr>
        <w:kinsoku/>
        <w:overflowPunct/>
        <w:topLinePunct w:val="0"/>
        <w:autoSpaceDE/>
        <w:autoSpaceDN/>
        <w:bidi w:val="0"/>
        <w:adjustRightInd/>
        <w:spacing w:before="40" w:beforeAutospacing="0" w:after="0" w:afterAutospacing="0" w:line="240" w:lineRule="auto"/>
        <w:ind w:firstLine="560" w:firstLineChars="200"/>
        <w:textAlignment w:val="auto"/>
        <w:rPr>
          <w:rFonts w:hint="eastAsia" w:ascii="宋体" w:hAnsi="宋体" w:eastAsia="宋体" w:cs="宋体"/>
          <w:sz w:val="28"/>
          <w:szCs w:val="28"/>
          <w:highlight w:val="none"/>
          <w:lang w:eastAsia="zh-CN"/>
        </w:rPr>
      </w:pPr>
      <w:r>
        <w:rPr>
          <w:rFonts w:hint="eastAsia" w:ascii="宋体" w:hAnsi="宋体" w:eastAsia="宋体" w:cs="宋体"/>
          <w:b w:val="0"/>
          <w:bCs/>
          <w:sz w:val="28"/>
          <w:szCs w:val="28"/>
          <w:highlight w:val="none"/>
          <w:lang w:val="en-US" w:eastAsia="zh-CN"/>
        </w:rPr>
        <w:t>1、</w:t>
      </w:r>
      <w:r>
        <w:rPr>
          <w:rFonts w:hint="eastAsia" w:ascii="宋体" w:hAnsi="宋体" w:eastAsia="宋体" w:cs="宋体"/>
          <w:b w:val="0"/>
          <w:bCs/>
          <w:sz w:val="28"/>
          <w:szCs w:val="28"/>
          <w:highlight w:val="none"/>
          <w:lang w:eastAsia="zh-CN"/>
        </w:rPr>
        <w:t>创文经费</w:t>
      </w:r>
      <w:r>
        <w:rPr>
          <w:rFonts w:hint="eastAsia" w:ascii="宋体" w:hAnsi="宋体" w:eastAsia="宋体" w:cs="宋体"/>
          <w:b w:val="0"/>
          <w:bCs/>
          <w:sz w:val="28"/>
          <w:szCs w:val="28"/>
          <w:highlight w:val="none"/>
          <w:lang w:val="en-US" w:eastAsia="zh-CN"/>
        </w:rPr>
        <w:t>都是按先用后拨付的原则</w:t>
      </w:r>
      <w:r>
        <w:rPr>
          <w:rFonts w:hint="eastAsia" w:ascii="宋体" w:hAnsi="宋体" w:eastAsia="宋体" w:cs="宋体"/>
          <w:sz w:val="28"/>
          <w:szCs w:val="28"/>
          <w:highlight w:val="none"/>
        </w:rPr>
        <w:t>以老旧小区改造为重点，推进辖区从形象、以老旧小区改造为重点，</w:t>
      </w:r>
      <w:r>
        <w:rPr>
          <w:rFonts w:hint="eastAsia" w:ascii="宋体" w:hAnsi="宋体" w:eastAsia="宋体" w:cs="宋体"/>
          <w:sz w:val="28"/>
          <w:szCs w:val="28"/>
          <w:highlight w:val="none"/>
          <w:lang w:eastAsia="zh-CN"/>
        </w:rPr>
        <w:t>保持创文工作常化，</w:t>
      </w:r>
      <w:r>
        <w:rPr>
          <w:rFonts w:hint="eastAsia" w:ascii="宋体" w:hAnsi="宋体" w:eastAsia="宋体" w:cs="宋体"/>
          <w:sz w:val="28"/>
          <w:szCs w:val="28"/>
          <w:highlight w:val="none"/>
        </w:rPr>
        <w:t>推进辖区从形象、品质到城市功能全方位提升</w:t>
      </w:r>
      <w:r>
        <w:rPr>
          <w:rFonts w:hint="eastAsia" w:ascii="宋体" w:hAnsi="宋体" w:eastAsia="宋体" w:cs="宋体"/>
          <w:b w:val="0"/>
          <w:bCs/>
          <w:sz w:val="28"/>
          <w:szCs w:val="28"/>
          <w:highlight w:val="none"/>
          <w:lang w:val="en-US" w:eastAsia="zh-CN"/>
        </w:rPr>
        <w:t>进行，用款共计188000其中：（1）</w:t>
      </w:r>
      <w:r>
        <w:rPr>
          <w:rFonts w:hint="eastAsia" w:ascii="宋体" w:hAnsi="宋体" w:eastAsia="宋体" w:cs="宋体"/>
          <w:sz w:val="28"/>
          <w:szCs w:val="28"/>
          <w:highlight w:val="none"/>
          <w:lang w:eastAsia="zh-CN"/>
        </w:rPr>
        <w:t>区城管局拨胜阳港街道创文迎国检增补人员经费78000元；按实际人数和天数，每人</w:t>
      </w:r>
      <w:r>
        <w:rPr>
          <w:rFonts w:hint="eastAsia" w:ascii="宋体" w:hAnsi="宋体" w:eastAsia="宋体" w:cs="宋体"/>
          <w:sz w:val="28"/>
          <w:szCs w:val="28"/>
          <w:highlight w:val="none"/>
          <w:lang w:val="en-US" w:eastAsia="zh-CN"/>
        </w:rPr>
        <w:t>100元/人</w:t>
      </w:r>
      <w:r>
        <w:rPr>
          <w:rFonts w:hint="eastAsia" w:ascii="宋体" w:hAnsi="宋体" w:eastAsia="宋体" w:cs="宋体"/>
          <w:sz w:val="28"/>
          <w:szCs w:val="28"/>
          <w:highlight w:val="none"/>
          <w:lang w:eastAsia="zh-CN"/>
        </w:rPr>
        <w:t xml:space="preserve">拨付 。               </w:t>
      </w:r>
      <w:r>
        <w:rPr>
          <w:rFonts w:hint="eastAsia" w:ascii="宋体" w:hAnsi="宋体" w:eastAsia="宋体" w:cs="宋体"/>
          <w:sz w:val="28"/>
          <w:szCs w:val="28"/>
          <w:highlight w:val="none"/>
          <w:lang w:val="en-US" w:eastAsia="zh-CN"/>
        </w:rPr>
        <w:t xml:space="preserve">                     （</w:t>
      </w:r>
      <w:r>
        <w:rPr>
          <w:rFonts w:hint="eastAsia" w:ascii="宋体" w:hAnsi="宋体" w:eastAsia="宋体" w:cs="宋体"/>
          <w:b w:val="0"/>
          <w:bCs/>
          <w:sz w:val="28"/>
          <w:szCs w:val="28"/>
          <w:highlight w:val="none"/>
          <w:lang w:val="en-US" w:eastAsia="zh-CN"/>
        </w:rPr>
        <w:t>2）</w:t>
      </w:r>
      <w:r>
        <w:rPr>
          <w:rFonts w:hint="eastAsia" w:ascii="宋体" w:hAnsi="宋体" w:eastAsia="宋体" w:cs="宋体"/>
          <w:sz w:val="28"/>
          <w:szCs w:val="28"/>
          <w:highlight w:val="none"/>
          <w:lang w:eastAsia="zh-CN"/>
        </w:rPr>
        <w:t>、区城管局拨文化宫社区创文工作经费1万元；</w:t>
      </w:r>
    </w:p>
    <w:p w14:paraId="0D4B8F3D">
      <w:pPr>
        <w:pStyle w:val="6"/>
        <w:keepNext w:val="0"/>
        <w:keepLines w:val="0"/>
        <w:pageBreakBefore w:val="0"/>
        <w:widowControl/>
        <w:numPr>
          <w:ilvl w:val="0"/>
          <w:numId w:val="0"/>
        </w:numPr>
        <w:kinsoku/>
        <w:overflowPunct/>
        <w:topLinePunct w:val="0"/>
        <w:autoSpaceDE/>
        <w:autoSpaceDN/>
        <w:bidi w:val="0"/>
        <w:adjustRightInd/>
        <w:spacing w:before="40" w:beforeAutospacing="0" w:after="0" w:afterAutospacing="0" w:line="585" w:lineRule="atLeast"/>
        <w:textAlignment w:val="auto"/>
        <w:rPr>
          <w:rStyle w:val="9"/>
          <w:rFonts w:hint="eastAsia" w:ascii="宋体" w:hAnsi="宋体" w:eastAsia="宋体" w:cs="宋体"/>
          <w:color w:val="333333"/>
          <w:kern w:val="0"/>
          <w:sz w:val="24"/>
          <w:highlight w:val="none"/>
          <w:shd w:val="clear" w:color="auto" w:fill="FFFFFF"/>
        </w:rPr>
      </w:pPr>
      <w:r>
        <w:rPr>
          <w:rFonts w:hint="eastAsia" w:ascii="宋体" w:hAnsi="宋体" w:eastAsia="宋体" w:cs="宋体"/>
          <w:sz w:val="28"/>
          <w:szCs w:val="28"/>
          <w:highlight w:val="none"/>
          <w:lang w:eastAsia="zh-CN"/>
        </w:rPr>
        <w:t>（3）、区城管局拨钟楼社区支持钟楼社区创文工10万元；全部用于该社区老旧社区改造</w:t>
      </w:r>
    </w:p>
    <w:p w14:paraId="3CC2312C">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Style w:val="9"/>
          <w:rFonts w:hint="eastAsia" w:ascii="宋体" w:hAnsi="宋体" w:eastAsia="宋体" w:cs="宋体"/>
          <w:b w:val="0"/>
          <w:bCs/>
          <w:color w:val="333333"/>
          <w:kern w:val="0"/>
          <w:sz w:val="24"/>
          <w:highlight w:val="none"/>
          <w:shd w:val="clear" w:color="auto" w:fill="FFFFFF"/>
          <w:lang w:val="en-US" w:eastAsia="zh-CN"/>
        </w:rPr>
      </w:pPr>
      <w:r>
        <w:rPr>
          <w:rFonts w:hint="eastAsia" w:ascii="宋体" w:hAnsi="宋体" w:eastAsia="宋体" w:cs="宋体"/>
          <w:kern w:val="0"/>
          <w:sz w:val="28"/>
          <w:szCs w:val="28"/>
          <w:highlight w:val="none"/>
          <w:lang w:val="en-US" w:eastAsia="zh-CN" w:bidi="ar-SA"/>
        </w:rPr>
        <w:t>2、防疫资金共计12万元，用于疫情期间购置防疫物资，组织开展社区全域核酸检测，落实外防输入，加强排查管控，确保国内重点地区回黄和境外回黄人员隔离管控到位、核酸筛查到位、医疗救治到位、环境消杀到位，疫苗接种宣传到位做到“应种尽种”。保</w:t>
      </w:r>
      <w:r>
        <w:rPr>
          <w:rStyle w:val="9"/>
          <w:rFonts w:hint="eastAsia" w:ascii="宋体" w:hAnsi="宋体" w:eastAsia="宋体" w:cs="宋体"/>
          <w:b w:val="0"/>
          <w:bCs/>
          <w:color w:val="333333"/>
          <w:kern w:val="0"/>
          <w:sz w:val="24"/>
          <w:highlight w:val="none"/>
          <w:shd w:val="clear" w:color="auto" w:fill="FFFFFF"/>
          <w:lang w:val="en-US" w:eastAsia="zh-CN"/>
        </w:rPr>
        <w:t>障防疫工作正常运转</w:t>
      </w:r>
    </w:p>
    <w:p w14:paraId="71B8B652">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（1)、黄石港慈善会捐赠防疫资金100000元</w:t>
      </w:r>
    </w:p>
    <w:p w14:paraId="5F507E43">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（2)、黄石港慈善总会拨防疫资金20000元</w:t>
      </w:r>
    </w:p>
    <w:tbl>
      <w:tblPr>
        <w:tblStyle w:val="7"/>
        <w:tblW w:w="124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5"/>
        <w:gridCol w:w="913"/>
        <w:gridCol w:w="864"/>
        <w:gridCol w:w="739"/>
        <w:gridCol w:w="3962"/>
        <w:gridCol w:w="1673"/>
        <w:gridCol w:w="1520"/>
        <w:gridCol w:w="1520"/>
        <w:gridCol w:w="756"/>
      </w:tblGrid>
      <w:tr w14:paraId="75C39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2495"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0685F">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2021年黄石港区区部门整体支出绩效自评表</w:t>
            </w:r>
          </w:p>
        </w:tc>
      </w:tr>
      <w:tr w14:paraId="1338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347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C85DE8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填报单位</w:t>
            </w:r>
          </w:p>
          <w:p w14:paraId="733B7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（盖章）：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D946D">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黄石市黄石港区</w:t>
            </w:r>
            <w:r>
              <w:rPr>
                <w:rFonts w:hint="eastAsia" w:ascii="宋体" w:hAnsi="宋体" w:cs="宋体"/>
                <w:i w:val="0"/>
                <w:iCs w:val="0"/>
                <w:color w:val="000000"/>
                <w:kern w:val="0"/>
                <w:sz w:val="22"/>
                <w:szCs w:val="22"/>
                <w:u w:val="none"/>
                <w:lang w:val="en-US" w:eastAsia="zh-CN" w:bidi="ar"/>
              </w:rPr>
              <w:t>胜阳港街道办事处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8B3B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填报日期：</w:t>
            </w:r>
          </w:p>
        </w:tc>
        <w:tc>
          <w:tcPr>
            <w:tcW w:w="3796"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F905D">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2022.01.31</w:t>
            </w:r>
          </w:p>
        </w:tc>
      </w:tr>
      <w:tr w14:paraId="2F957D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0" w:type="auto"/>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6B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单位名称：</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C6C7F">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黄石市黄石港区</w:t>
            </w:r>
            <w:r>
              <w:rPr>
                <w:rFonts w:hint="eastAsia" w:ascii="宋体" w:hAnsi="宋体" w:cs="宋体"/>
                <w:i w:val="0"/>
                <w:iCs w:val="0"/>
                <w:color w:val="000000"/>
                <w:kern w:val="0"/>
                <w:sz w:val="22"/>
                <w:szCs w:val="22"/>
                <w:u w:val="none"/>
                <w:lang w:val="en-US" w:eastAsia="zh-CN" w:bidi="ar"/>
              </w:rPr>
              <w:t>胜阳港街道办事处</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01C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评价年度：</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55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2021</w:t>
            </w:r>
          </w:p>
        </w:tc>
      </w:tr>
      <w:tr w14:paraId="1FAEF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471"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0DA99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部门整体支出总额预算</w:t>
            </w:r>
          </w:p>
          <w:p w14:paraId="4F32BD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执行情况（万元）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7DE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执行数（A）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349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预算数（B）</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DE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执行率（A/B）</w:t>
            </w:r>
          </w:p>
        </w:tc>
      </w:tr>
      <w:tr w14:paraId="0E389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3471"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1417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A058">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2051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09299">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1077</w:t>
            </w: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B56D">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1.9</w:t>
            </w:r>
          </w:p>
        </w:tc>
      </w:tr>
      <w:tr w14:paraId="0D0C93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7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99C5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一级</w:t>
            </w:r>
          </w:p>
          <w:p w14:paraId="74E070B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w:t>
            </w:r>
          </w:p>
        </w:tc>
        <w:tc>
          <w:tcPr>
            <w:tcW w:w="10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41E3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二级</w:t>
            </w:r>
          </w:p>
          <w:p w14:paraId="7D209AD4">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850A2">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三级</w:t>
            </w:r>
          </w:p>
          <w:p w14:paraId="4A24F48B">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B02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分值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85E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指标说明</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A8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评分标准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88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年初目标值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CF8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实际完成值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097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得分</w:t>
            </w:r>
          </w:p>
        </w:tc>
      </w:tr>
      <w:tr w14:paraId="09ECA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62E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投入</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DC9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预算执行（35分）</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79820">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w:t>
            </w:r>
          </w:p>
          <w:p w14:paraId="01CB5820">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率（10分）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E0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7EC7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预算完成率=（预算完成数/预算数）×100%，用以反映和考核部门（单位）预算完成程度。</w:t>
            </w:r>
          </w:p>
          <w:p w14:paraId="10BC33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预算完成数：部门（单位）本年度实际完成的预算数。</w:t>
            </w:r>
          </w:p>
          <w:p w14:paraId="54CC53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预算数：财政部分批复的本年度部门（单位）预算数。</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153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预算完成率=100%的，得10分</w:t>
            </w:r>
          </w:p>
          <w:p w14:paraId="1DC07D39">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预算完成率≥95%的，得9分</w:t>
            </w:r>
          </w:p>
          <w:p w14:paraId="41649D83">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预算完成率在90%（含）和95%之间，得8分</w:t>
            </w:r>
          </w:p>
          <w:p w14:paraId="64F16775">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预算完成率在85%（含）和90%之间，得7分</w:t>
            </w:r>
          </w:p>
          <w:p w14:paraId="642D91E7">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预算完成率在80%（含）和85%之间，得6分。</w:t>
            </w:r>
          </w:p>
          <w:p w14:paraId="2D5E51BA">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预算完成率在70%(含）和80%之间，得4分。</w:t>
            </w:r>
          </w:p>
          <w:p w14:paraId="526F88DE">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预算完成率＜70%的，得0分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B52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8C6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7E1C">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w:t>
            </w:r>
          </w:p>
        </w:tc>
      </w:tr>
      <w:tr w14:paraId="31DCF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F5C14">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52360">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9BB6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预算调整率（10分）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D4A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1E9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预算调整率=（预算调整数/预算率）×100%，用以反映和考核部门（单位）预算的调整过程</w:t>
            </w:r>
          </w:p>
          <w:p w14:paraId="48C1ECE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预算调整数：部门（单位）在本年度内涉及预算的追加、追减或结构调整的资金综合（因落实国家政策、发生不可抗力、上级部门或本级党委政府临时交办而产生的调整除外）。</w:t>
            </w:r>
          </w:p>
          <w:p w14:paraId="240F0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预算包括一般公共预算与政府性基金预算。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88AD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预算调整率绝对值≤5%，得10分。</w:t>
            </w:r>
          </w:p>
          <w:p w14:paraId="44795A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预算调整率绝对值＞5%的，每增加0.1个百分点扣0.1分，扣完为止。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17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9F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C1338">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w:t>
            </w:r>
          </w:p>
        </w:tc>
      </w:tr>
      <w:tr w14:paraId="4CF57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5"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57E4D">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BB777A">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2A8B1">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支出进度率</w:t>
            </w:r>
          </w:p>
          <w:p w14:paraId="1CB8E93C">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F3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18FA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支出进度率=（实际支出/支出预算）×100%，用以反映和考核部门（单位）预算执行的及时性和均衡性程度。</w:t>
            </w:r>
          </w:p>
          <w:p w14:paraId="5584CDF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半年支出进度＝部门上半年实际支出/（上年结余结转+本年部门预算安排+上半年执行中追加追减）*100%。</w:t>
            </w:r>
          </w:p>
          <w:p w14:paraId="2D1CF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前三季度支出进度＝部门前三季度实际支出/（上年结余结转+本年部门预算安排+前三季度执行中追加追减）*100%。</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86A5C">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半年进度：进度率≥45%，得4分；进度率在40%（含）和45%之间，得2分；进度率＜40%，得0分。</w:t>
            </w:r>
          </w:p>
          <w:p w14:paraId="7A9BAD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前三季度进度：进度率≥75%，得6分；进度率在60%（含）和75%之间，得4分；进度率＜60%，得0分。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EC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82EC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C7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0FCD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198F6">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66C45">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E2B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预算编制准确率（5分）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379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30C99">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部门预算中除财政拨款外的其他收入预算与决算差异率。</w:t>
            </w:r>
          </w:p>
          <w:p w14:paraId="2D9C78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预算编制准确率＝其他收入决算数/其他收入预算数×100%-100%。</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911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预算编制准确率≤20%，得5分。</w:t>
            </w:r>
          </w:p>
          <w:p w14:paraId="0FB8FD15">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预算编制准确率在20%和40%（含）之间，得3分。</w:t>
            </w:r>
          </w:p>
          <w:p w14:paraId="53B41B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预算编制准确率＞40%，得0分。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E56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FFF5">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D35C5">
            <w:pPr>
              <w:jc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5</w:t>
            </w:r>
          </w:p>
        </w:tc>
      </w:tr>
      <w:tr w14:paraId="4C0EE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49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过程</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7929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预算管理（20分）</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3D64B">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“三公”经费</w:t>
            </w:r>
            <w:r>
              <w:rPr>
                <w:rFonts w:hint="eastAsia" w:ascii="宋体" w:hAnsi="宋体" w:eastAsia="宋体" w:cs="宋体"/>
                <w:i w:val="0"/>
                <w:iCs w:val="0"/>
                <w:color w:val="000000"/>
                <w:kern w:val="0"/>
                <w:sz w:val="22"/>
                <w:szCs w:val="22"/>
                <w:u w:val="none"/>
                <w:lang w:val="en-US" w:eastAsia="zh-CN" w:bidi="ar"/>
              </w:rPr>
              <w:t>控制率</w:t>
            </w:r>
          </w:p>
          <w:p w14:paraId="469A2B46">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68B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5B2A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cs="宋体"/>
                <w:i w:val="0"/>
                <w:iCs w:val="0"/>
                <w:color w:val="000000"/>
                <w:kern w:val="0"/>
                <w:sz w:val="22"/>
                <w:szCs w:val="22"/>
                <w:u w:val="none"/>
                <w:lang w:val="en-US" w:eastAsia="zh-CN" w:bidi="ar"/>
              </w:rPr>
              <w:t>“三公”经费</w:t>
            </w:r>
            <w:r>
              <w:rPr>
                <w:rFonts w:hint="eastAsia" w:ascii="宋体" w:hAnsi="宋体" w:eastAsia="宋体" w:cs="宋体"/>
                <w:i w:val="0"/>
                <w:iCs w:val="0"/>
                <w:color w:val="000000"/>
                <w:kern w:val="0"/>
                <w:sz w:val="22"/>
                <w:szCs w:val="22"/>
                <w:u w:val="none"/>
                <w:lang w:val="en-US" w:eastAsia="zh-CN" w:bidi="ar"/>
              </w:rPr>
              <w:t>控制率=（</w:t>
            </w:r>
            <w:r>
              <w:rPr>
                <w:rFonts w:hint="eastAsia" w:ascii="宋体" w:hAnsi="宋体" w:cs="宋体"/>
                <w:i w:val="0"/>
                <w:iCs w:val="0"/>
                <w:color w:val="000000"/>
                <w:kern w:val="0"/>
                <w:sz w:val="22"/>
                <w:szCs w:val="22"/>
                <w:u w:val="none"/>
                <w:lang w:val="en-US" w:eastAsia="zh-CN" w:bidi="ar"/>
              </w:rPr>
              <w:t>“三公”经费</w:t>
            </w:r>
            <w:r>
              <w:rPr>
                <w:rFonts w:hint="eastAsia" w:ascii="宋体" w:hAnsi="宋体" w:eastAsia="宋体" w:cs="宋体"/>
                <w:i w:val="0"/>
                <w:iCs w:val="0"/>
                <w:color w:val="000000"/>
                <w:kern w:val="0"/>
                <w:sz w:val="22"/>
                <w:szCs w:val="22"/>
                <w:u w:val="none"/>
                <w:lang w:val="en-US" w:eastAsia="zh-CN" w:bidi="ar"/>
              </w:rPr>
              <w:t>实际支出数/</w:t>
            </w:r>
            <w:r>
              <w:rPr>
                <w:rFonts w:hint="eastAsia" w:ascii="宋体" w:hAnsi="宋体" w:cs="宋体"/>
                <w:i w:val="0"/>
                <w:iCs w:val="0"/>
                <w:color w:val="000000"/>
                <w:kern w:val="0"/>
                <w:sz w:val="22"/>
                <w:szCs w:val="22"/>
                <w:u w:val="none"/>
                <w:lang w:val="en-US" w:eastAsia="zh-CN" w:bidi="ar"/>
              </w:rPr>
              <w:t>“三公”经费</w:t>
            </w:r>
            <w:r>
              <w:rPr>
                <w:rFonts w:hint="eastAsia" w:ascii="宋体" w:hAnsi="宋体" w:eastAsia="宋体" w:cs="宋体"/>
                <w:i w:val="0"/>
                <w:iCs w:val="0"/>
                <w:color w:val="000000"/>
                <w:kern w:val="0"/>
                <w:sz w:val="22"/>
                <w:szCs w:val="22"/>
                <w:u w:val="none"/>
                <w:lang w:val="en-US" w:eastAsia="zh-CN" w:bidi="ar"/>
              </w:rPr>
              <w:t>预算安排数）×100%，用以反映和考核部门（单位）对</w:t>
            </w:r>
            <w:r>
              <w:rPr>
                <w:rFonts w:hint="eastAsia" w:ascii="宋体" w:hAnsi="宋体" w:cs="宋体"/>
                <w:i w:val="0"/>
                <w:iCs w:val="0"/>
                <w:color w:val="000000"/>
                <w:kern w:val="0"/>
                <w:sz w:val="22"/>
                <w:szCs w:val="22"/>
                <w:u w:val="none"/>
                <w:lang w:val="en-US" w:eastAsia="zh-CN" w:bidi="ar"/>
              </w:rPr>
              <w:t>“三公”经费</w:t>
            </w:r>
            <w:r>
              <w:rPr>
                <w:rFonts w:hint="eastAsia" w:ascii="宋体" w:hAnsi="宋体" w:eastAsia="宋体" w:cs="宋体"/>
                <w:i w:val="0"/>
                <w:iCs w:val="0"/>
                <w:color w:val="000000"/>
                <w:kern w:val="0"/>
                <w:sz w:val="22"/>
                <w:szCs w:val="22"/>
                <w:u w:val="none"/>
                <w:lang w:val="en-US" w:eastAsia="zh-CN" w:bidi="ar"/>
              </w:rPr>
              <w:t>的实际控制程度。</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C77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三公经费控制率 ≤100%，得5分，每增加0.1个百分点扣0.5分，扣完为止。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C42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C3A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F16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D822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0127">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4AA03">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C45CD">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资产管理规范性</w:t>
            </w:r>
          </w:p>
          <w:p w14:paraId="63B8E6CD">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（5分）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4C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3A9BE">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部门（单位）资产管理是否规范，用以反映和考核部门（单位）资产管理情况。</w:t>
            </w:r>
          </w:p>
          <w:p w14:paraId="4865A6A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1.新增资产配置按预算执行。</w:t>
            </w:r>
          </w:p>
          <w:p w14:paraId="522AB2F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2.资产有偿使用、处置按规定程序审批。</w:t>
            </w:r>
          </w:p>
          <w:p w14:paraId="3CF3E8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3.资产收益及时、足额上缴财政。</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C16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全部符合5分，有1项不符扣2分,扣完为止。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1D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5B9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9FB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E6A4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EA37F">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A99C66">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F4258">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资金使用合规性</w:t>
            </w:r>
          </w:p>
          <w:p w14:paraId="61F58CFA">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67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C5A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部门（单位）使用预算资金是否符合相关的预算财务管理制度的规定，用以反映和考核部门（单位）预算资金的规范运行情况。</w:t>
            </w:r>
          </w:p>
          <w:p w14:paraId="5865C26B">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1.符合国家财经法规和财务管理制度规定以及有关专项资金管理办法的规定；</w:t>
            </w:r>
          </w:p>
          <w:p w14:paraId="70801BF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2.资金的拨付有完整的审批程序和手续；</w:t>
            </w:r>
          </w:p>
          <w:p w14:paraId="67B0E0FA">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3.重大项目开支经过评估论证；</w:t>
            </w:r>
          </w:p>
          <w:p w14:paraId="63A8A65D">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4.符合部门预算批复的用途；</w:t>
            </w:r>
          </w:p>
          <w:p w14:paraId="519B3E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5.不存在截留、挤占、挪用、虚列支出等情况。</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BB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全部符合10分,有1项不符扣2分，扣完为止。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37A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5A7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5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6632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7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60A3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效果</w:t>
            </w:r>
          </w:p>
        </w:tc>
        <w:tc>
          <w:tcPr>
            <w:tcW w:w="102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3B1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运行效益（45分）</w:t>
            </w: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A62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行政运行经济性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77C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050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现行行政运行经费支出预算编制方法的行政运行成本。</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4A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可使行政运行成本最经济为5分，可使行政运行成本较合理为3分，一般为2分，不合理为0分。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738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B52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89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46AD2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69D8B">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F6CDB">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0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行政运行有效性</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35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1D8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行政运行经费支出能否保障部门正常运行。</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84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正常运行的得5分，基本正常得3分，不能正常运行的不得分。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FD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E6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D20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A8B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C5C5EE">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0A01D6">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F4EA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专项运行经济效益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488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5C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项目资金运行产生的经济效益</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7C3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经济效益显著得10分；一般得5分，下降不得分。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D3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4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EA14">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w:t>
            </w:r>
          </w:p>
        </w:tc>
      </w:tr>
      <w:tr w14:paraId="4B0B4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0" w:hRule="atLeast"/>
        </w:trPr>
        <w:tc>
          <w:tcPr>
            <w:tcW w:w="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F7E5D2">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86663">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B8778">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专项运行社会效益</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7BE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E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项目资金运行产生的社会效益</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CA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社会效益显著得10分；一般得5分；否则不得分。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69D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71D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17219">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10</w:t>
            </w:r>
          </w:p>
        </w:tc>
      </w:tr>
      <w:tr w14:paraId="0B414F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0" w:hRule="atLeast"/>
        </w:trPr>
        <w:tc>
          <w:tcPr>
            <w:tcW w:w="7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2578F">
            <w:pPr>
              <w:jc w:val="center"/>
              <w:rPr>
                <w:rFonts w:hint="eastAsia" w:ascii="宋体" w:hAnsi="宋体" w:eastAsia="宋体" w:cs="宋体"/>
                <w:i w:val="0"/>
                <w:iCs w:val="0"/>
                <w:color w:val="000000"/>
                <w:sz w:val="22"/>
                <w:szCs w:val="22"/>
                <w:u w:val="none"/>
              </w:rPr>
            </w:pPr>
          </w:p>
        </w:tc>
        <w:tc>
          <w:tcPr>
            <w:tcW w:w="102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236962">
            <w:pPr>
              <w:jc w:val="center"/>
              <w:rPr>
                <w:rFonts w:hint="eastAsia" w:ascii="宋体" w:hAnsi="宋体" w:eastAsia="宋体" w:cs="宋体"/>
                <w:i w:val="0"/>
                <w:iCs w:val="0"/>
                <w:color w:val="000000"/>
                <w:sz w:val="22"/>
                <w:szCs w:val="22"/>
                <w:u w:val="none"/>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CC4E2">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专项运行可持续影响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04A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38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2F4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1.项目完成后有经费安排能满足项目持续运行需要；</w:t>
            </w:r>
          </w:p>
          <w:p w14:paraId="4CFC875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2.项目完成后有制度保障项目持续运行需要；</w:t>
            </w:r>
          </w:p>
          <w:p w14:paraId="172F4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3.项目完成后有明确的项目管理机构、负责人对项目后继管理负责，满足持续运行需要。</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8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全部符合15分,有1项不符扣5分，扣完为止。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46A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FAC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8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r>
      <w:tr w14:paraId="4776A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5E45">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评价结果（优、良、中、差）：优</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94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总  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BC393">
            <w:pPr>
              <w:jc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95</w:t>
            </w:r>
          </w:p>
        </w:tc>
      </w:tr>
    </w:tbl>
    <w:p w14:paraId="57F79C94">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p>
    <w:p w14:paraId="377ACE74">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p>
    <w:p w14:paraId="3FDA0D44">
      <w:pPr>
        <w:pStyle w:val="6"/>
        <w:keepNext w:val="0"/>
        <w:keepLines w:val="0"/>
        <w:pageBreakBefore w:val="0"/>
        <w:widowControl/>
        <w:numPr>
          <w:ilvl w:val="0"/>
          <w:numId w:val="5"/>
        </w:numPr>
        <w:kinsoku/>
        <w:overflowPunct/>
        <w:topLinePunct w:val="0"/>
        <w:autoSpaceDE/>
        <w:autoSpaceDN/>
        <w:bidi w:val="0"/>
        <w:adjustRightInd/>
        <w:spacing w:before="40" w:beforeAutospacing="0" w:after="76" w:afterAutospacing="0" w:line="450" w:lineRule="atLeast"/>
        <w:ind w:left="0" w:leftChars="0" w:firstLineChars="0"/>
        <w:textAlignment w:val="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、决算收支增减变化情况</w:t>
      </w:r>
    </w:p>
    <w:p w14:paraId="7D64D075">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截</w:t>
      </w:r>
      <w:r>
        <w:rPr>
          <w:rFonts w:hint="eastAsia" w:ascii="宋体" w:hAnsi="宋体" w:cs="宋体"/>
          <w:kern w:val="0"/>
          <w:sz w:val="28"/>
          <w:szCs w:val="28"/>
          <w:highlight w:val="none"/>
          <w:lang w:val="en-US" w:eastAsia="zh-CN" w:bidi="ar-SA"/>
        </w:rPr>
        <w:t>至</w:t>
      </w:r>
      <w:bookmarkStart w:id="0" w:name="_GoBack"/>
      <w:bookmarkEnd w:id="0"/>
      <w:r>
        <w:rPr>
          <w:rFonts w:hint="eastAsia" w:ascii="宋体" w:hAnsi="宋体" w:eastAsia="宋体" w:cs="宋体"/>
          <w:kern w:val="0"/>
          <w:sz w:val="28"/>
          <w:szCs w:val="28"/>
          <w:highlight w:val="none"/>
          <w:lang w:val="en-US" w:eastAsia="zh-CN" w:bidi="ar-SA"/>
        </w:rPr>
        <w:t>2021年12月31日，费用支出总额为2,051.78万元。相比2020年，费用支出增长了565.84万元,增长了38.08%，2021年机构改革后，由财政资金保障的区城管及工商局人员调入8人(其中2人退休)，新招入职事业编制人员7人．2020年8月社区干部工资薪金上调，87名人均涨幅1000元/月，2021年支出数含2020年度8-12月份增资额</w:t>
      </w:r>
    </w:p>
    <w:p w14:paraId="3A0906A4">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工资福利费用增长了590.85万元，比年初增长了105.46%，主要原因:（机构改革，人员增加，工资调整）</w:t>
      </w:r>
    </w:p>
    <w:p w14:paraId="4A8B0BF7">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商品和服务费用减少了24.15万元，比年初减少了2.63%，主要原因:（账务处理进行了调整，社区人员经费2020年度部份计入劳务费支出，由于该支出属于财政预算支出2021年调整至其他工资福利支出）</w:t>
      </w:r>
    </w:p>
    <w:p w14:paraId="4BA51A4C">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固定资产折旧费用减少了0.87万元，比年初减少了15.00%，主要原因:（2020年度报表中的通用调备折旧多计，本次</w:t>
      </w:r>
      <w:r>
        <w:rPr>
          <w:rFonts w:hint="eastAsia" w:ascii="宋体" w:hAnsi="宋体" w:cs="宋体"/>
          <w:kern w:val="0"/>
          <w:sz w:val="28"/>
          <w:szCs w:val="28"/>
          <w:highlight w:val="none"/>
          <w:lang w:val="en-US" w:eastAsia="zh-CN" w:bidi="ar-SA"/>
        </w:rPr>
        <w:t>根据</w:t>
      </w:r>
      <w:r>
        <w:rPr>
          <w:rFonts w:hint="eastAsia" w:ascii="宋体" w:hAnsi="宋体" w:eastAsia="宋体" w:cs="宋体"/>
          <w:kern w:val="0"/>
          <w:sz w:val="28"/>
          <w:szCs w:val="28"/>
          <w:highlight w:val="none"/>
          <w:lang w:val="en-US" w:eastAsia="zh-CN" w:bidi="ar-SA"/>
        </w:rPr>
        <w:t>实际情况进行调整）</w:t>
      </w:r>
    </w:p>
    <w:p w14:paraId="4142FBE6">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从各项费用构成情况看，其中：</w:t>
      </w:r>
    </w:p>
    <w:p w14:paraId="781923FC">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工资福利费用1,151.10万元，占总费用比重56.10%。</w:t>
      </w:r>
    </w:p>
    <w:p w14:paraId="2CD14FA8">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商品和服务费用895.58万元，占总费用比重43.65%。</w:t>
      </w:r>
    </w:p>
    <w:p w14:paraId="5EFA6C65">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固定资产折旧费用5.10万元，占总费用比重0.25%。</w:t>
      </w:r>
    </w:p>
    <w:p w14:paraId="2925CEC6">
      <w:pPr>
        <w:keepNext w:val="0"/>
        <w:keepLines w:val="0"/>
        <w:pageBreakBefore w:val="0"/>
        <w:kinsoku/>
        <w:overflowPunct/>
        <w:topLinePunct w:val="0"/>
        <w:autoSpaceDE/>
        <w:autoSpaceDN/>
        <w:bidi w:val="0"/>
        <w:adjustRightInd/>
        <w:snapToGrid w:val="0"/>
        <w:spacing w:before="40" w:line="520" w:lineRule="exact"/>
        <w:ind w:firstLine="560" w:firstLineChars="200"/>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政府部门费用构成和2020年相比发生重大变化的原因：（机构改革，人员增加，工资调整）</w:t>
      </w:r>
    </w:p>
    <w:p w14:paraId="11C6B2E7">
      <w:pPr>
        <w:keepNext w:val="0"/>
        <w:keepLines w:val="0"/>
        <w:pageBreakBefore w:val="0"/>
        <w:widowControl/>
        <w:shd w:val="clear" w:color="auto" w:fill="FFFFFF"/>
        <w:kinsoku/>
        <w:overflowPunct/>
        <w:topLinePunct w:val="0"/>
        <w:autoSpaceDE/>
        <w:autoSpaceDN/>
        <w:bidi w:val="0"/>
        <w:adjustRightInd/>
        <w:spacing w:before="40" w:line="560" w:lineRule="exact"/>
        <w:ind w:firstLine="241" w:firstLineChars="100"/>
        <w:jc w:val="left"/>
        <w:textAlignment w:val="auto"/>
        <w:rPr>
          <w:rStyle w:val="9"/>
          <w:rFonts w:hint="eastAsia" w:ascii="宋体" w:hAnsi="宋体" w:eastAsia="宋体" w:cs="宋体"/>
          <w:color w:val="333333"/>
          <w:kern w:val="0"/>
          <w:sz w:val="24"/>
          <w:shd w:val="clear" w:color="auto" w:fill="FFFFFF"/>
        </w:rPr>
      </w:pPr>
    </w:p>
    <w:p w14:paraId="313E0D3F">
      <w:pPr>
        <w:keepNext w:val="0"/>
        <w:keepLines w:val="0"/>
        <w:pageBreakBefore w:val="0"/>
        <w:widowControl/>
        <w:shd w:val="clear" w:color="auto" w:fill="FFFFFF"/>
        <w:kinsoku/>
        <w:overflowPunct/>
        <w:topLinePunct w:val="0"/>
        <w:autoSpaceDE/>
        <w:autoSpaceDN/>
        <w:bidi w:val="0"/>
        <w:adjustRightInd/>
        <w:spacing w:before="40" w:line="560" w:lineRule="exact"/>
        <w:ind w:firstLine="241" w:firstLineChars="100"/>
        <w:jc w:val="left"/>
        <w:textAlignment w:val="auto"/>
        <w:rPr>
          <w:rStyle w:val="9"/>
          <w:rFonts w:hint="eastAsia" w:ascii="宋体" w:hAnsi="宋体" w:eastAsia="宋体" w:cs="宋体"/>
          <w:color w:val="333333"/>
          <w:kern w:val="0"/>
          <w:sz w:val="24"/>
          <w:shd w:val="clear" w:color="auto" w:fill="FFFFFF"/>
        </w:rPr>
      </w:pPr>
    </w:p>
    <w:p w14:paraId="0F45196C">
      <w:pPr>
        <w:keepNext w:val="0"/>
        <w:keepLines w:val="0"/>
        <w:pageBreakBefore w:val="0"/>
        <w:widowControl/>
        <w:shd w:val="clear" w:color="auto" w:fill="FFFFFF"/>
        <w:kinsoku/>
        <w:overflowPunct/>
        <w:topLinePunct w:val="0"/>
        <w:autoSpaceDE/>
        <w:autoSpaceDN/>
        <w:bidi w:val="0"/>
        <w:adjustRightInd/>
        <w:spacing w:before="40" w:line="560" w:lineRule="exact"/>
        <w:ind w:firstLine="241" w:firstLineChars="100"/>
        <w:jc w:val="left"/>
        <w:textAlignment w:val="auto"/>
        <w:rPr>
          <w:rStyle w:val="9"/>
          <w:rFonts w:hint="eastAsia" w:ascii="宋体" w:hAnsi="宋体" w:eastAsia="宋体" w:cs="宋体"/>
          <w:color w:val="333333"/>
          <w:kern w:val="0"/>
          <w:sz w:val="24"/>
          <w:shd w:val="clear" w:color="auto" w:fill="FFFFFF"/>
        </w:rPr>
      </w:pPr>
    </w:p>
    <w:p w14:paraId="79EA9AA2">
      <w:pPr>
        <w:keepNext w:val="0"/>
        <w:keepLines w:val="0"/>
        <w:pageBreakBefore w:val="0"/>
        <w:widowControl/>
        <w:shd w:val="clear" w:color="auto" w:fill="FFFFFF"/>
        <w:kinsoku/>
        <w:overflowPunct/>
        <w:topLinePunct w:val="0"/>
        <w:autoSpaceDE/>
        <w:autoSpaceDN/>
        <w:bidi w:val="0"/>
        <w:adjustRightInd/>
        <w:spacing w:before="40" w:line="560" w:lineRule="exact"/>
        <w:ind w:firstLine="241" w:firstLineChars="100"/>
        <w:jc w:val="left"/>
        <w:textAlignment w:val="auto"/>
        <w:rPr>
          <w:rFonts w:hint="eastAsia" w:ascii="宋体" w:hAnsi="宋体" w:eastAsia="宋体" w:cs="宋体"/>
          <w:color w:val="333333"/>
          <w:kern w:val="0"/>
          <w:sz w:val="24"/>
          <w:shd w:val="clear" w:color="auto" w:fill="FFFFFF"/>
        </w:rPr>
      </w:pPr>
      <w:r>
        <w:rPr>
          <w:rStyle w:val="9"/>
          <w:rFonts w:hint="eastAsia" w:ascii="宋体" w:hAnsi="宋体" w:eastAsia="宋体" w:cs="宋体"/>
          <w:color w:val="333333"/>
          <w:kern w:val="0"/>
          <w:sz w:val="24"/>
          <w:shd w:val="clear" w:color="auto" w:fill="FFFFFF"/>
        </w:rPr>
        <w:t>第四部分：名词解释</w:t>
      </w:r>
      <w:r>
        <w:rPr>
          <w:rFonts w:hint="eastAsia" w:ascii="宋体" w:hAnsi="宋体" w:eastAsia="宋体" w:cs="宋体"/>
          <w:color w:val="333333"/>
          <w:kern w:val="0"/>
          <w:sz w:val="24"/>
          <w:shd w:val="clear" w:color="auto" w:fill="FFFFFF"/>
        </w:rPr>
        <w:t> </w:t>
      </w:r>
    </w:p>
    <w:p w14:paraId="3C3E02DA">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（一）财政拨款（补助）：指区级财政当年拨付的资金。</w:t>
      </w:r>
    </w:p>
    <w:p w14:paraId="31FB417B">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（二）事业收入：指事业单位开展专业业务活动及其辅助活动取得的收入。 </w:t>
      </w:r>
    </w:p>
    <w:p w14:paraId="01F9638C">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    （三）其他收入：指</w:t>
      </w:r>
      <w:r>
        <w:rPr>
          <w:rFonts w:hint="eastAsia" w:ascii="宋体" w:hAnsi="宋体" w:eastAsia="宋体" w:cs="宋体"/>
          <w:sz w:val="28"/>
          <w:szCs w:val="28"/>
          <w:lang w:eastAsia="zh-CN"/>
        </w:rPr>
        <w:t>决算</w:t>
      </w:r>
      <w:r>
        <w:rPr>
          <w:rFonts w:hint="eastAsia" w:ascii="宋体" w:hAnsi="宋体" w:eastAsia="宋体" w:cs="宋体"/>
          <w:sz w:val="28"/>
          <w:szCs w:val="28"/>
        </w:rPr>
        <w:t xml:space="preserve">单位在“财政拨款补助收入”、“事业收入”、“经营收入”以外取得的收入。 </w:t>
      </w:r>
    </w:p>
    <w:p w14:paraId="0559061F">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    （四）上年结转：指以前年度尚未完成、结转到本年仍按原规定用途继续使用的资金。 </w:t>
      </w:r>
    </w:p>
    <w:p w14:paraId="57C9BF21">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 xml:space="preserve">    （五）基本支出：指为保障机构正常运转、完成日常工作任务而发生的人员支出和公用支出。 </w:t>
      </w:r>
    </w:p>
    <w:p w14:paraId="3D1D85F2">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 xml:space="preserve">    （六）项目支出：指为完成特定的行政工作任务或事业发展目标，在基本支出之外发生的各项支出。</w:t>
      </w:r>
    </w:p>
    <w:p w14:paraId="2706E0BD">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七）“三公”经费：指用财政拨款安排的因公出国（境）费、公务接待费和公务用车购置及运行费。其中，因公出国（境）费，指单位工作人员公务出国（境）的住宿费、旅费、伙食补助费、杂费、培训费等支出；公务接待费，指单位按规定开支的各类公务接待（含外宾接待）支出。公务用车购置及运行费，指单位公务用车购置及租用费、燃料费、维修费、过路过桥费、保险费、安全奖励费用等支出。</w:t>
      </w:r>
    </w:p>
    <w:p w14:paraId="1466C2FE">
      <w:pPr>
        <w:keepNext w:val="0"/>
        <w:keepLines w:val="0"/>
        <w:pageBreakBefore w:val="0"/>
        <w:widowControl/>
        <w:shd w:val="clear" w:color="auto" w:fill="FFFFFF"/>
        <w:kinsoku/>
        <w:overflowPunct/>
        <w:topLinePunct w:val="0"/>
        <w:autoSpaceDE/>
        <w:autoSpaceDN/>
        <w:bidi w:val="0"/>
        <w:adjustRightInd/>
        <w:spacing w:before="40" w:line="56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（八）行政运行（项）：指机关和实行公务员法管理事业单位用于保障机构正常运转的基本支出。</w:t>
      </w:r>
    </w:p>
    <w:p w14:paraId="7D66E75B">
      <w:pPr>
        <w:pStyle w:val="6"/>
        <w:keepNext w:val="0"/>
        <w:keepLines w:val="0"/>
        <w:pageBreakBefore w:val="0"/>
        <w:widowControl/>
        <w:kinsoku/>
        <w:overflowPunct/>
        <w:topLinePunct w:val="0"/>
        <w:autoSpaceDE/>
        <w:autoSpaceDN/>
        <w:bidi w:val="0"/>
        <w:adjustRightInd/>
        <w:spacing w:before="40" w:beforeAutospacing="0" w:after="0" w:afterAutospacing="0" w:line="585" w:lineRule="atLeast"/>
        <w:ind w:firstLine="480" w:firstLineChars="200"/>
        <w:textAlignment w:val="auto"/>
        <w:rPr>
          <w:rFonts w:hint="eastAsia" w:ascii="宋体" w:hAnsi="宋体" w:eastAsia="宋体" w:cs="宋体"/>
        </w:rPr>
      </w:pPr>
    </w:p>
    <w:sectPr>
      <w:footerReference r:id="rId3" w:type="default"/>
      <w:pgSz w:w="16838" w:h="11906" w:orient="landscape"/>
      <w:pgMar w:top="1800" w:right="1440" w:bottom="1800" w:left="144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6ED5DF">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C624F">
                          <w:pPr>
                            <w:pStyle w:val="4"/>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58C624F">
                    <w:pPr>
                      <w:pStyle w:val="4"/>
                    </w:pP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EE0ABC"/>
    <w:multiLevelType w:val="singleLevel"/>
    <w:tmpl w:val="D3EE0ABC"/>
    <w:lvl w:ilvl="0" w:tentative="0">
      <w:start w:val="4"/>
      <w:numFmt w:val="chineseCounting"/>
      <w:suff w:val="nothing"/>
      <w:lvlText w:val="（%1）"/>
      <w:lvlJc w:val="left"/>
      <w:rPr>
        <w:rFonts w:hint="eastAsia"/>
      </w:rPr>
    </w:lvl>
  </w:abstractNum>
  <w:abstractNum w:abstractNumId="1">
    <w:nsid w:val="3F828D1D"/>
    <w:multiLevelType w:val="singleLevel"/>
    <w:tmpl w:val="3F828D1D"/>
    <w:lvl w:ilvl="0" w:tentative="0">
      <w:start w:val="1"/>
      <w:numFmt w:val="chineseCounting"/>
      <w:suff w:val="nothing"/>
      <w:lvlText w:val="%1、"/>
      <w:lvlJc w:val="left"/>
      <w:rPr>
        <w:rFonts w:hint="eastAsia"/>
      </w:rPr>
    </w:lvl>
  </w:abstractNum>
  <w:abstractNum w:abstractNumId="2">
    <w:nsid w:val="421776CD"/>
    <w:multiLevelType w:val="singleLevel"/>
    <w:tmpl w:val="421776CD"/>
    <w:lvl w:ilvl="0" w:tentative="0">
      <w:start w:val="7"/>
      <w:numFmt w:val="chineseCounting"/>
      <w:suff w:val="nothing"/>
      <w:lvlText w:val="（%1）"/>
      <w:lvlJc w:val="left"/>
      <w:pPr>
        <w:ind w:left="-420"/>
      </w:pPr>
      <w:rPr>
        <w:rFonts w:hint="eastAsia"/>
      </w:rPr>
    </w:lvl>
  </w:abstractNum>
  <w:abstractNum w:abstractNumId="3">
    <w:nsid w:val="47A3FF70"/>
    <w:multiLevelType w:val="singleLevel"/>
    <w:tmpl w:val="47A3FF70"/>
    <w:lvl w:ilvl="0" w:tentative="0">
      <w:start w:val="1"/>
      <w:numFmt w:val="chineseCounting"/>
      <w:suff w:val="nothing"/>
      <w:lvlText w:val="%1、"/>
      <w:lvlJc w:val="left"/>
      <w:rPr>
        <w:rFonts w:hint="eastAsia"/>
      </w:rPr>
    </w:lvl>
  </w:abstractNum>
  <w:abstractNum w:abstractNumId="4">
    <w:nsid w:val="5070B3F9"/>
    <w:multiLevelType w:val="singleLevel"/>
    <w:tmpl w:val="5070B3F9"/>
    <w:lvl w:ilvl="0" w:tentative="0">
      <w:start w:val="3"/>
      <w:numFmt w:val="decimal"/>
      <w:suff w:val="nothing"/>
      <w:lvlText w:val="（%1）"/>
      <w:lvlJc w:val="left"/>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0MjZhZWQxZDJkN2Q1OTIxZTI5MTJlYjM0YzA0NjQifQ=="/>
  </w:docVars>
  <w:rsids>
    <w:rsidRoot w:val="55403DF7"/>
    <w:rsid w:val="0001348C"/>
    <w:rsid w:val="000174D0"/>
    <w:rsid w:val="00036F66"/>
    <w:rsid w:val="00040F87"/>
    <w:rsid w:val="00045B5B"/>
    <w:rsid w:val="0005426C"/>
    <w:rsid w:val="000642D8"/>
    <w:rsid w:val="00083031"/>
    <w:rsid w:val="000C5BAF"/>
    <w:rsid w:val="000F5C47"/>
    <w:rsid w:val="00111F12"/>
    <w:rsid w:val="00142BAF"/>
    <w:rsid w:val="00144D41"/>
    <w:rsid w:val="00160079"/>
    <w:rsid w:val="00161F75"/>
    <w:rsid w:val="00177A50"/>
    <w:rsid w:val="00183B02"/>
    <w:rsid w:val="001903D2"/>
    <w:rsid w:val="00195C90"/>
    <w:rsid w:val="001B3819"/>
    <w:rsid w:val="001C2B32"/>
    <w:rsid w:val="001D7AA5"/>
    <w:rsid w:val="0022746B"/>
    <w:rsid w:val="0024107E"/>
    <w:rsid w:val="002548C4"/>
    <w:rsid w:val="002577A1"/>
    <w:rsid w:val="00271324"/>
    <w:rsid w:val="002865A3"/>
    <w:rsid w:val="00293F0E"/>
    <w:rsid w:val="002A0349"/>
    <w:rsid w:val="002A64C5"/>
    <w:rsid w:val="002A6854"/>
    <w:rsid w:val="002B0615"/>
    <w:rsid w:val="002B35A9"/>
    <w:rsid w:val="002B6DCF"/>
    <w:rsid w:val="002E4195"/>
    <w:rsid w:val="002E769A"/>
    <w:rsid w:val="002F2D80"/>
    <w:rsid w:val="00300C86"/>
    <w:rsid w:val="00321081"/>
    <w:rsid w:val="00324BDD"/>
    <w:rsid w:val="00342611"/>
    <w:rsid w:val="00362247"/>
    <w:rsid w:val="0037390F"/>
    <w:rsid w:val="00374E82"/>
    <w:rsid w:val="003C5494"/>
    <w:rsid w:val="003C62AB"/>
    <w:rsid w:val="003C675A"/>
    <w:rsid w:val="003E0016"/>
    <w:rsid w:val="003F7CAA"/>
    <w:rsid w:val="004072E2"/>
    <w:rsid w:val="004126C4"/>
    <w:rsid w:val="004255FA"/>
    <w:rsid w:val="0044409E"/>
    <w:rsid w:val="004603AF"/>
    <w:rsid w:val="00475940"/>
    <w:rsid w:val="004919C9"/>
    <w:rsid w:val="00495756"/>
    <w:rsid w:val="004B394C"/>
    <w:rsid w:val="004C58CF"/>
    <w:rsid w:val="004D7DB5"/>
    <w:rsid w:val="004E60C4"/>
    <w:rsid w:val="004F3EBC"/>
    <w:rsid w:val="00505352"/>
    <w:rsid w:val="00522225"/>
    <w:rsid w:val="00523282"/>
    <w:rsid w:val="0054487B"/>
    <w:rsid w:val="005A282C"/>
    <w:rsid w:val="005A7369"/>
    <w:rsid w:val="005B5C34"/>
    <w:rsid w:val="00621778"/>
    <w:rsid w:val="006413CA"/>
    <w:rsid w:val="006759D3"/>
    <w:rsid w:val="006A3FBE"/>
    <w:rsid w:val="006D383D"/>
    <w:rsid w:val="006F13E4"/>
    <w:rsid w:val="00710241"/>
    <w:rsid w:val="0071120F"/>
    <w:rsid w:val="007277F3"/>
    <w:rsid w:val="007319F2"/>
    <w:rsid w:val="007474FB"/>
    <w:rsid w:val="00760E50"/>
    <w:rsid w:val="0076521F"/>
    <w:rsid w:val="007715A3"/>
    <w:rsid w:val="007B3C24"/>
    <w:rsid w:val="007B4BAE"/>
    <w:rsid w:val="007D2B0A"/>
    <w:rsid w:val="007D4739"/>
    <w:rsid w:val="007D5555"/>
    <w:rsid w:val="007D71D1"/>
    <w:rsid w:val="007F6801"/>
    <w:rsid w:val="00835DDB"/>
    <w:rsid w:val="0085298B"/>
    <w:rsid w:val="008549D6"/>
    <w:rsid w:val="008659EC"/>
    <w:rsid w:val="00872B7A"/>
    <w:rsid w:val="008858E2"/>
    <w:rsid w:val="00886357"/>
    <w:rsid w:val="008A260F"/>
    <w:rsid w:val="008B110D"/>
    <w:rsid w:val="008C65D5"/>
    <w:rsid w:val="008D5649"/>
    <w:rsid w:val="008D7FC9"/>
    <w:rsid w:val="00926A8F"/>
    <w:rsid w:val="00933189"/>
    <w:rsid w:val="00933436"/>
    <w:rsid w:val="009363EE"/>
    <w:rsid w:val="00996000"/>
    <w:rsid w:val="009B4255"/>
    <w:rsid w:val="009C1767"/>
    <w:rsid w:val="009C2041"/>
    <w:rsid w:val="009E431F"/>
    <w:rsid w:val="00A138D5"/>
    <w:rsid w:val="00A53C33"/>
    <w:rsid w:val="00A57822"/>
    <w:rsid w:val="00AA6B7D"/>
    <w:rsid w:val="00AB6928"/>
    <w:rsid w:val="00AC46E0"/>
    <w:rsid w:val="00B35E06"/>
    <w:rsid w:val="00B44C01"/>
    <w:rsid w:val="00B54B62"/>
    <w:rsid w:val="00B611F2"/>
    <w:rsid w:val="00B91E1C"/>
    <w:rsid w:val="00B931B2"/>
    <w:rsid w:val="00B94DFE"/>
    <w:rsid w:val="00B9780B"/>
    <w:rsid w:val="00BA58BC"/>
    <w:rsid w:val="00BA6024"/>
    <w:rsid w:val="00BA7485"/>
    <w:rsid w:val="00BC77F3"/>
    <w:rsid w:val="00BD12D4"/>
    <w:rsid w:val="00BE7A20"/>
    <w:rsid w:val="00BF697C"/>
    <w:rsid w:val="00C05975"/>
    <w:rsid w:val="00C136F5"/>
    <w:rsid w:val="00C1680C"/>
    <w:rsid w:val="00C17661"/>
    <w:rsid w:val="00C33AF8"/>
    <w:rsid w:val="00C3422E"/>
    <w:rsid w:val="00C47445"/>
    <w:rsid w:val="00C5046C"/>
    <w:rsid w:val="00C55A7D"/>
    <w:rsid w:val="00C56B12"/>
    <w:rsid w:val="00C57395"/>
    <w:rsid w:val="00C76EBA"/>
    <w:rsid w:val="00CA07CE"/>
    <w:rsid w:val="00CA26EA"/>
    <w:rsid w:val="00CA67A9"/>
    <w:rsid w:val="00CC3826"/>
    <w:rsid w:val="00CC70FC"/>
    <w:rsid w:val="00CD0FFA"/>
    <w:rsid w:val="00CD1D80"/>
    <w:rsid w:val="00CF525C"/>
    <w:rsid w:val="00D01A5E"/>
    <w:rsid w:val="00D04567"/>
    <w:rsid w:val="00D0704E"/>
    <w:rsid w:val="00D1107C"/>
    <w:rsid w:val="00D12FAD"/>
    <w:rsid w:val="00D148E8"/>
    <w:rsid w:val="00D157F7"/>
    <w:rsid w:val="00D226FC"/>
    <w:rsid w:val="00D44255"/>
    <w:rsid w:val="00D46058"/>
    <w:rsid w:val="00D71AAA"/>
    <w:rsid w:val="00D80C5F"/>
    <w:rsid w:val="00DC6896"/>
    <w:rsid w:val="00DE4741"/>
    <w:rsid w:val="00E14DA4"/>
    <w:rsid w:val="00E30992"/>
    <w:rsid w:val="00E34F36"/>
    <w:rsid w:val="00E564DB"/>
    <w:rsid w:val="00E62E0E"/>
    <w:rsid w:val="00E67D59"/>
    <w:rsid w:val="00E7676E"/>
    <w:rsid w:val="00E97481"/>
    <w:rsid w:val="00EC0F9A"/>
    <w:rsid w:val="00ED6AFD"/>
    <w:rsid w:val="00EE74D1"/>
    <w:rsid w:val="00EF18EB"/>
    <w:rsid w:val="00EF4BD6"/>
    <w:rsid w:val="00EF6499"/>
    <w:rsid w:val="00EF715C"/>
    <w:rsid w:val="00EF76CA"/>
    <w:rsid w:val="00F25ECC"/>
    <w:rsid w:val="00F6296B"/>
    <w:rsid w:val="00F95681"/>
    <w:rsid w:val="00FB0164"/>
    <w:rsid w:val="00FB36B7"/>
    <w:rsid w:val="00FB3C99"/>
    <w:rsid w:val="00FE2E3E"/>
    <w:rsid w:val="01611507"/>
    <w:rsid w:val="02380E83"/>
    <w:rsid w:val="02415858"/>
    <w:rsid w:val="04C9495C"/>
    <w:rsid w:val="05121E5F"/>
    <w:rsid w:val="073360BD"/>
    <w:rsid w:val="07397B77"/>
    <w:rsid w:val="07FD2EB8"/>
    <w:rsid w:val="08D86F1C"/>
    <w:rsid w:val="09436A8B"/>
    <w:rsid w:val="0A1C5C55"/>
    <w:rsid w:val="0ABE3629"/>
    <w:rsid w:val="0DA67AEE"/>
    <w:rsid w:val="0E43752E"/>
    <w:rsid w:val="0F184516"/>
    <w:rsid w:val="0F597644"/>
    <w:rsid w:val="0F62002F"/>
    <w:rsid w:val="103F5AD3"/>
    <w:rsid w:val="1124008F"/>
    <w:rsid w:val="14C75907"/>
    <w:rsid w:val="153C6003"/>
    <w:rsid w:val="15E37A96"/>
    <w:rsid w:val="15FF01DE"/>
    <w:rsid w:val="182B52BA"/>
    <w:rsid w:val="190F03A8"/>
    <w:rsid w:val="19453626"/>
    <w:rsid w:val="1AB234B2"/>
    <w:rsid w:val="1AB71087"/>
    <w:rsid w:val="1AC437A4"/>
    <w:rsid w:val="1AFC74FE"/>
    <w:rsid w:val="1B366101"/>
    <w:rsid w:val="1CCC39F4"/>
    <w:rsid w:val="1D930E8E"/>
    <w:rsid w:val="204A3687"/>
    <w:rsid w:val="20BB0DFC"/>
    <w:rsid w:val="2432177F"/>
    <w:rsid w:val="266B0F78"/>
    <w:rsid w:val="26812549"/>
    <w:rsid w:val="2702368A"/>
    <w:rsid w:val="27E57B74"/>
    <w:rsid w:val="291458F7"/>
    <w:rsid w:val="2C1F4CDE"/>
    <w:rsid w:val="2D085772"/>
    <w:rsid w:val="2DE4602A"/>
    <w:rsid w:val="2FDF6C60"/>
    <w:rsid w:val="30D168C0"/>
    <w:rsid w:val="316F2E7D"/>
    <w:rsid w:val="31C03BD4"/>
    <w:rsid w:val="331D35FA"/>
    <w:rsid w:val="368816D2"/>
    <w:rsid w:val="38AA0644"/>
    <w:rsid w:val="38B02FB8"/>
    <w:rsid w:val="396106E4"/>
    <w:rsid w:val="3A0252D6"/>
    <w:rsid w:val="3A2E6C9B"/>
    <w:rsid w:val="3D7A6218"/>
    <w:rsid w:val="3E400EDA"/>
    <w:rsid w:val="3F5D5AA8"/>
    <w:rsid w:val="40D21EC7"/>
    <w:rsid w:val="41B13517"/>
    <w:rsid w:val="430622FC"/>
    <w:rsid w:val="447E2A20"/>
    <w:rsid w:val="44DB0BB3"/>
    <w:rsid w:val="47A9240E"/>
    <w:rsid w:val="47E373A8"/>
    <w:rsid w:val="4A8477C1"/>
    <w:rsid w:val="4ACA51DC"/>
    <w:rsid w:val="4B795E87"/>
    <w:rsid w:val="4E845DBB"/>
    <w:rsid w:val="50B213CE"/>
    <w:rsid w:val="51EF31CC"/>
    <w:rsid w:val="51F25639"/>
    <w:rsid w:val="52CB56EE"/>
    <w:rsid w:val="530234D9"/>
    <w:rsid w:val="541843A7"/>
    <w:rsid w:val="55403DF7"/>
    <w:rsid w:val="56AD45B2"/>
    <w:rsid w:val="577C44E3"/>
    <w:rsid w:val="5A5C0979"/>
    <w:rsid w:val="5B637E94"/>
    <w:rsid w:val="5BAA0FE7"/>
    <w:rsid w:val="5BC30CDE"/>
    <w:rsid w:val="5CA93FCD"/>
    <w:rsid w:val="5E5252BB"/>
    <w:rsid w:val="5E5C3995"/>
    <w:rsid w:val="5FAA5B11"/>
    <w:rsid w:val="652C579B"/>
    <w:rsid w:val="658355C3"/>
    <w:rsid w:val="66527405"/>
    <w:rsid w:val="67371D0C"/>
    <w:rsid w:val="69C732FC"/>
    <w:rsid w:val="6D807C9F"/>
    <w:rsid w:val="6D9E2FAE"/>
    <w:rsid w:val="6E2F16D5"/>
    <w:rsid w:val="6E5F273D"/>
    <w:rsid w:val="708744AC"/>
    <w:rsid w:val="70E959A9"/>
    <w:rsid w:val="72A11576"/>
    <w:rsid w:val="734D4DE5"/>
    <w:rsid w:val="73A25B4E"/>
    <w:rsid w:val="76E61C4D"/>
    <w:rsid w:val="78E04934"/>
    <w:rsid w:val="7A4F0AB2"/>
    <w:rsid w:val="7E0021A0"/>
    <w:rsid w:val="7E3C6317"/>
    <w:rsid w:val="7FED0FDE"/>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nhideWhenUsed="0" w:uiPriority="99" w:semiHidden="0" w:name="heading 5"/>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5"/>
    <w:basedOn w:val="1"/>
    <w:next w:val="1"/>
    <w:link w:val="10"/>
    <w:qFormat/>
    <w:uiPriority w:val="99"/>
    <w:pPr>
      <w:spacing w:beforeAutospacing="1" w:afterAutospacing="1"/>
      <w:jc w:val="left"/>
      <w:outlineLvl w:val="4"/>
    </w:pPr>
    <w:rPr>
      <w:rFonts w:ascii="宋体" w:hAnsi="宋体"/>
      <w:b/>
      <w:kern w:val="0"/>
      <w:sz w:val="20"/>
      <w:szCs w:val="20"/>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spacing w:before="100" w:beforeAutospacing="1" w:after="100" w:afterAutospacing="1"/>
      <w:jc w:val="left"/>
    </w:pPr>
    <w:rPr>
      <w:kern w:val="0"/>
      <w:sz w:val="24"/>
    </w:rPr>
  </w:style>
  <w:style w:type="character" w:styleId="9">
    <w:name w:val="Strong"/>
    <w:basedOn w:val="8"/>
    <w:qFormat/>
    <w:uiPriority w:val="99"/>
    <w:rPr>
      <w:rFonts w:cs="Times New Roman"/>
      <w:b/>
    </w:rPr>
  </w:style>
  <w:style w:type="character" w:customStyle="1" w:styleId="10">
    <w:name w:val="标题 5 Char"/>
    <w:basedOn w:val="8"/>
    <w:link w:val="2"/>
    <w:semiHidden/>
    <w:qFormat/>
    <w:uiPriority w:val="9"/>
    <w:rPr>
      <w:rFonts w:ascii="Calibri" w:hAnsi="Calibri"/>
      <w:b/>
      <w:bCs/>
      <w:sz w:val="28"/>
      <w:szCs w:val="28"/>
    </w:rPr>
  </w:style>
  <w:style w:type="character" w:customStyle="1" w:styleId="11">
    <w:name w:val="页眉 Char"/>
    <w:basedOn w:val="8"/>
    <w:link w:val="5"/>
    <w:semiHidden/>
    <w:qFormat/>
    <w:uiPriority w:val="99"/>
    <w:rPr>
      <w:rFonts w:ascii="Calibri" w:hAnsi="Calibri"/>
      <w:sz w:val="18"/>
      <w:szCs w:val="18"/>
    </w:rPr>
  </w:style>
  <w:style w:type="character" w:customStyle="1" w:styleId="12">
    <w:name w:val="页脚 Char"/>
    <w:basedOn w:val="8"/>
    <w:link w:val="4"/>
    <w:qFormat/>
    <w:locked/>
    <w:uiPriority w:val="99"/>
    <w:rPr>
      <w:rFonts w:ascii="Calibri" w:hAnsi="Calibri" w:eastAsia="宋体" w:cs="Times New Roman"/>
      <w:kern w:val="2"/>
      <w:sz w:val="18"/>
      <w:szCs w:val="18"/>
    </w:rPr>
  </w:style>
  <w:style w:type="character" w:customStyle="1" w:styleId="13">
    <w:name w:val="ca-2"/>
    <w:basedOn w:val="8"/>
    <w:qFormat/>
    <w:uiPriority w:val="99"/>
    <w:rPr>
      <w:rFonts w:cs="Times New Roman"/>
    </w:rPr>
  </w:style>
  <w:style w:type="character" w:customStyle="1" w:styleId="14">
    <w:name w:val="ca-3"/>
    <w:basedOn w:val="8"/>
    <w:qFormat/>
    <w:uiPriority w:val="99"/>
    <w:rPr>
      <w:rFonts w:cs="Times New Roman"/>
    </w:rPr>
  </w:style>
  <w:style w:type="paragraph" w:styleId="15">
    <w:name w:val="List Paragraph"/>
    <w:basedOn w:val="1"/>
    <w:qFormat/>
    <w:uiPriority w:val="99"/>
    <w:pPr>
      <w:ind w:firstLine="420" w:firstLineChars="200"/>
    </w:pPr>
  </w:style>
  <w:style w:type="character" w:customStyle="1" w:styleId="16">
    <w:name w:val="font51"/>
    <w:basedOn w:val="8"/>
    <w:qFormat/>
    <w:uiPriority w:val="0"/>
    <w:rPr>
      <w:rFonts w:ascii="微软雅黑" w:hAnsi="微软雅黑" w:eastAsia="微软雅黑" w:cs="微软雅黑"/>
      <w:b/>
      <w:color w:val="333333"/>
      <w:sz w:val="32"/>
      <w:szCs w:val="32"/>
      <w:u w:val="none"/>
    </w:rPr>
  </w:style>
  <w:style w:type="paragraph" w:customStyle="1" w:styleId="17">
    <w:name w:val="Normal (Web)"/>
    <w:basedOn w:val="1"/>
    <w:qFormat/>
    <w:uiPriority w:val="0"/>
    <w:pPr>
      <w:widowControl/>
      <w:spacing w:before="100" w:beforeAutospacing="1" w:after="100" w:afterAutospacing="1"/>
      <w:jc w:val="left"/>
    </w:pPr>
    <w:rPr>
      <w:rFonts w:ascii="宋体" w:hAnsi="宋体" w:cs="宋体"/>
      <w:kern w:val="0"/>
      <w:sz w:val="24"/>
    </w:rPr>
  </w:style>
  <w:style w:type="paragraph" w:customStyle="1" w:styleId="18">
    <w:name w:val="正文缩进 + 首行缩进:  2 字符"/>
    <w:basedOn w:val="1"/>
    <w:qFormat/>
    <w:uiPriority w:val="0"/>
    <w:pPr>
      <w:spacing w:line="560" w:lineRule="exact"/>
      <w:ind w:firstLine="640"/>
    </w:pPr>
    <w:rPr>
      <w:rFonts w:ascii="仿宋" w:hAnsi="仿宋" w:cs="宋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25</Pages>
  <Words>1158</Words>
  <Characters>1208</Characters>
  <Lines>46</Lines>
  <Paragraphs>13</Paragraphs>
  <TotalTime>3</TotalTime>
  <ScaleCrop>false</ScaleCrop>
  <LinksUpToDate>false</LinksUpToDate>
  <CharactersWithSpaces>1213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2019-10-28T07:45:00Z</dcterms:created>
  <dc:creator>侒靜啲喧嘩</dc:creator>
  <cp:lastModifiedBy>.</cp:lastModifiedBy>
  <cp:lastPrinted>2019-10-24T08:46:00Z</cp:lastPrinted>
  <dcterms:modified xsi:type="dcterms:W3CDTF">2026-08-13T06:58:00Z</dcterms:modified>
  <cp:revision>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502BC8D91EED4BB8896908599C438C09_13</vt:lpwstr>
  </property>
  <property fmtid="{D5CDD505-2E9C-101B-9397-08002B2CF9AE}" pid="4" name="KSOTemplateDocerSaveRecord">
    <vt:lpwstr>eyJoZGlkIjoiZjIyMGRlNjkwMTc4Y2VkZjQxNGJmY2E1MjgyZDNhYTIiLCJ1c2VySWQiOiIxODk5MDg5MjMifQ==</vt:lpwstr>
  </property>
</Properties>
</file>