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黄石港区统计局</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5"/>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lang w:val="en-US" w:eastAsia="zh-CN"/>
        </w:rPr>
        <w:t>黄石港区统计局</w:t>
      </w:r>
      <w:r>
        <w:rPr>
          <w:rStyle w:val="8"/>
          <w:rFonts w:hint="eastAsia" w:ascii="微软雅黑" w:hAnsi="微软雅黑" w:eastAsia="微软雅黑" w:cs="微软雅黑"/>
          <w:color w:val="333333"/>
          <w:shd w:val="clear" w:color="auto" w:fill="FFFFFF"/>
        </w:rPr>
        <w:t>202</w:t>
      </w:r>
      <w:r>
        <w:rPr>
          <w:rStyle w:val="8"/>
          <w:rFonts w:hint="eastAsia" w:ascii="微软雅黑" w:hAnsi="微软雅黑" w:eastAsia="微软雅黑" w:cs="微软雅黑"/>
          <w:color w:val="333333"/>
          <w:shd w:val="clear" w:color="auto" w:fill="FFFFFF"/>
          <w:lang w:val="en-US" w:eastAsia="zh-CN"/>
        </w:rPr>
        <w:t>2</w:t>
      </w:r>
      <w:r>
        <w:rPr>
          <w:rStyle w:val="8"/>
          <w:rFonts w:hint="eastAsia" w:ascii="微软雅黑" w:hAnsi="微软雅黑" w:eastAsia="微软雅黑" w:cs="微软雅黑"/>
          <w:color w:val="333333"/>
          <w:shd w:val="clear" w:color="auto" w:fill="FFFFFF"/>
        </w:rPr>
        <w:t>年</w:t>
      </w:r>
      <w:r>
        <w:rPr>
          <w:rStyle w:val="8"/>
          <w:rFonts w:hint="eastAsia" w:ascii="微软雅黑" w:hAnsi="微软雅黑" w:eastAsia="微软雅黑" w:cs="微软雅黑"/>
          <w:color w:val="333333"/>
          <w:shd w:val="clear" w:color="auto" w:fill="FFFFFF"/>
          <w:lang w:val="en-US" w:eastAsia="zh-CN"/>
        </w:rPr>
        <w:t>部门</w:t>
      </w:r>
      <w:r>
        <w:rPr>
          <w:rStyle w:val="8"/>
          <w:rFonts w:hint="eastAsia" w:ascii="微软雅黑" w:hAnsi="微软雅黑" w:eastAsia="微软雅黑" w:cs="微软雅黑"/>
          <w:color w:val="333333"/>
          <w:shd w:val="clear" w:color="auto" w:fill="FFFFFF"/>
        </w:rPr>
        <w:t>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5"/>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黄石港区统计局单位概况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黄石港区统计局单位</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第一部分  部门概况</w:t>
      </w:r>
    </w:p>
    <w:p>
      <w:pPr>
        <w:pStyle w:val="9"/>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cs="宋体"/>
          <w:b w:val="0"/>
          <w:i w:val="0"/>
          <w:snapToGrid/>
          <w:color w:val="000000"/>
          <w:sz w:val="28"/>
          <w:szCs w:val="28"/>
          <w:shd w:val="clear" w:color="auto" w:fill="FFFFFF"/>
          <w:lang w:val="en-US" w:eastAsia="zh-CN"/>
        </w:rPr>
        <w:t>1</w:t>
      </w:r>
      <w:r>
        <w:rPr>
          <w:rFonts w:hint="eastAsia" w:ascii="宋体" w:hAnsi="宋体" w:eastAsia="宋体" w:cs="宋体"/>
          <w:b w:val="0"/>
          <w:i w:val="0"/>
          <w:snapToGrid/>
          <w:color w:val="000000"/>
          <w:sz w:val="28"/>
          <w:szCs w:val="28"/>
          <w:shd w:val="clear" w:color="auto" w:fill="FFFFFF"/>
          <w:lang w:eastAsia="zh-CN"/>
        </w:rPr>
        <w:t>）承担组织领导和协调全区统计工作,确保统计数据真实、准确、及时的责任。按照国家法律、法规和规章,执行全国统计规划、基本统计制度统计标准,参与起草全区有关统计工作的地方性法规草案、政府规章草案,指导全区统计工作。</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2</w:t>
      </w:r>
      <w:r>
        <w:rPr>
          <w:rFonts w:hint="eastAsia" w:ascii="宋体" w:hAnsi="宋体" w:eastAsia="宋体" w:cs="宋体"/>
          <w:b w:val="0"/>
          <w:i w:val="0"/>
          <w:snapToGrid/>
          <w:color w:val="000000"/>
          <w:sz w:val="28"/>
          <w:szCs w:val="28"/>
          <w:shd w:val="clear" w:color="auto" w:fill="FFFFFF"/>
          <w:lang w:eastAsia="zh-CN"/>
        </w:rPr>
        <w:t>）按照国家和省建立的国民经济核算体系和核算制度要求,组织实施全区国民经济核算和投入产出调查;搜集、整理和发布国民经济核算有关信息。</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3</w:t>
      </w:r>
      <w:r>
        <w:rPr>
          <w:rFonts w:hint="eastAsia" w:ascii="宋体" w:hAnsi="宋体" w:eastAsia="宋体" w:cs="宋体"/>
          <w:b w:val="0"/>
          <w:i w:val="0"/>
          <w:snapToGrid/>
          <w:color w:val="000000"/>
          <w:sz w:val="28"/>
          <w:szCs w:val="28"/>
          <w:shd w:val="clear" w:color="auto" w:fill="FFFFFF"/>
          <w:lang w:eastAsia="zh-CN"/>
        </w:rPr>
        <w:t>）会同有关部门组织实施全区人口、经济、农业等重大国情国力普查,汇总、整理和生成全区有关国情国力方面的统计数据。</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4</w:t>
      </w:r>
      <w:r>
        <w:rPr>
          <w:rFonts w:hint="eastAsia" w:ascii="宋体" w:hAnsi="宋体" w:eastAsia="宋体" w:cs="宋体"/>
          <w:b w:val="0"/>
          <w:i w:val="0"/>
          <w:snapToGrid/>
          <w:color w:val="000000"/>
          <w:sz w:val="28"/>
          <w:szCs w:val="28"/>
          <w:shd w:val="clear" w:color="auto" w:fill="FFFFFF"/>
          <w:lang w:eastAsia="zh-CN"/>
        </w:rPr>
        <w:t>）组织实施全区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生成有关调查的统计数据。</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5</w:t>
      </w:r>
      <w:r>
        <w:rPr>
          <w:rFonts w:hint="eastAsia" w:ascii="宋体" w:hAnsi="宋体" w:eastAsia="宋体" w:cs="宋体"/>
          <w:b w:val="0"/>
          <w:i w:val="0"/>
          <w:snapToGrid/>
          <w:color w:val="000000"/>
          <w:sz w:val="28"/>
          <w:szCs w:val="28"/>
          <w:shd w:val="clear" w:color="auto" w:fill="FFFFFF"/>
          <w:lang w:eastAsia="zh-CN"/>
        </w:rPr>
        <w:t>）组织实施全区能源、投资、消费、价格、居民收入科技、人口、劳动力、社会发展基本情况、资源和环境基本状况等统计调查,收集、汇总、整理和提供有关调查的统计数据,综合整理和提供资源、房屋、对外贸易、对外经济等全区性基本统计数据。</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6</w:t>
      </w:r>
      <w:r>
        <w:rPr>
          <w:rFonts w:hint="eastAsia" w:ascii="宋体" w:hAnsi="宋体" w:eastAsia="宋体" w:cs="宋体"/>
          <w:b w:val="0"/>
          <w:i w:val="0"/>
          <w:snapToGrid/>
          <w:color w:val="000000"/>
          <w:sz w:val="28"/>
          <w:szCs w:val="28"/>
          <w:shd w:val="clear" w:color="auto" w:fill="FFFFFF"/>
          <w:lang w:eastAsia="zh-CN"/>
        </w:rPr>
        <w:t>）对全区国民经济、社会发展、科技进步和资源环境等情况进行统计分析、统计预测和统计监督,向区委、区政府及有关部门提供统计信息和咨询建议。</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7</w:t>
      </w:r>
      <w:r>
        <w:rPr>
          <w:rFonts w:hint="eastAsia" w:ascii="宋体" w:hAnsi="宋体" w:eastAsia="宋体" w:cs="宋体"/>
          <w:b w:val="0"/>
          <w:i w:val="0"/>
          <w:snapToGrid/>
          <w:color w:val="000000"/>
          <w:sz w:val="28"/>
          <w:szCs w:val="28"/>
          <w:shd w:val="clear" w:color="auto" w:fill="FFFFFF"/>
          <w:lang w:eastAsia="zh-CN"/>
        </w:rPr>
        <w:t>）管理区直部门统计标准,依法审批或者备案各部门统计调查项目、地方统计调查项目,指导管理各街道、各部门的统计调查计划、调查方案,指导专业统计基础工作,统计基层业务。</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8</w:t>
      </w:r>
      <w:r>
        <w:rPr>
          <w:rFonts w:hint="eastAsia" w:ascii="宋体" w:hAnsi="宋体" w:eastAsia="宋体" w:cs="宋体"/>
          <w:b w:val="0"/>
          <w:i w:val="0"/>
          <w:snapToGrid/>
          <w:color w:val="000000"/>
          <w:sz w:val="28"/>
          <w:szCs w:val="28"/>
          <w:shd w:val="clear" w:color="auto" w:fill="FFFFFF"/>
          <w:lang w:eastAsia="zh-CN"/>
        </w:rPr>
        <w:t>）基础建设,建立健全全区统计数据质量审核、监控和评估制度,开展对重要统计数据的审核、监控和评估,依法监督管理全区涉外调查活动。</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9</w:t>
      </w:r>
      <w:r>
        <w:rPr>
          <w:rFonts w:hint="eastAsia" w:ascii="宋体" w:hAnsi="宋体" w:eastAsia="宋体" w:cs="宋体"/>
          <w:b w:val="0"/>
          <w:i w:val="0"/>
          <w:snapToGrid/>
          <w:color w:val="000000"/>
          <w:sz w:val="28"/>
          <w:szCs w:val="28"/>
          <w:shd w:val="clear" w:color="auto" w:fill="FFFFFF"/>
          <w:lang w:eastAsia="zh-CN"/>
        </w:rPr>
        <w:t>）建立和管理全区统计信息化系统和统计数据库系统,建立和维护全区基本单位名录库,贯彻执行国家、省制定的统计数据库和网络的基本标准和运行规则,做好全区统计信息化建设。</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10</w:t>
      </w:r>
      <w:r>
        <w:rPr>
          <w:rFonts w:hint="eastAsia" w:ascii="宋体" w:hAnsi="宋体" w:eastAsia="宋体" w:cs="宋体"/>
          <w:b w:val="0"/>
          <w:i w:val="0"/>
          <w:snapToGrid/>
          <w:color w:val="000000"/>
          <w:sz w:val="28"/>
          <w:szCs w:val="28"/>
          <w:shd w:val="clear" w:color="auto" w:fill="FFFFFF"/>
          <w:lang w:eastAsia="zh-CN"/>
        </w:rPr>
        <w:t>）领导和管理区统计局直属事业单位;做好上级垂直管理的调查监测机构工作。</w:t>
      </w:r>
    </w:p>
    <w:p>
      <w:pPr>
        <w:shd w:val="solid" w:color="FFFFFF" w:fill="auto"/>
        <w:kinsoku/>
        <w:autoSpaceDE/>
        <w:autoSpaceDN w:val="0"/>
        <w:spacing w:line="420" w:lineRule="atLeast"/>
        <w:ind w:firstLine="0"/>
        <w:rPr>
          <w:rFonts w:hint="eastAsia" w:ascii="宋体" w:hAnsi="宋体" w:eastAsia="宋体" w:cs="宋体"/>
          <w:b w:val="0"/>
          <w:i w:val="0"/>
          <w:snapToGrid/>
          <w:color w:val="000000"/>
          <w:sz w:val="28"/>
          <w:szCs w:val="28"/>
          <w:shd w:val="clear" w:color="auto" w:fill="FFFFFF"/>
          <w:lang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11</w:t>
      </w:r>
      <w:r>
        <w:rPr>
          <w:rFonts w:hint="eastAsia" w:ascii="宋体" w:hAnsi="宋体" w:eastAsia="宋体" w:cs="宋体"/>
          <w:b w:val="0"/>
          <w:i w:val="0"/>
          <w:snapToGrid/>
          <w:color w:val="000000"/>
          <w:sz w:val="28"/>
          <w:szCs w:val="28"/>
          <w:shd w:val="clear" w:color="auto" w:fill="FFFFFF"/>
          <w:lang w:eastAsia="zh-CN"/>
        </w:rPr>
        <w:t>）指导全区统计专业技术队伍建设,会同有关部门组织管理全区统计专业资格考试、职称评聘和从业资格培训工作,组织指导全区统计科学研究和统计工作合作交流;组织管理和指导社情民意调查及统计学会工作；</w:t>
      </w:r>
    </w:p>
    <w:p>
      <w:pPr>
        <w:shd w:val="solid" w:color="FFFFFF" w:fill="auto"/>
        <w:kinsoku/>
        <w:autoSpaceDE/>
        <w:autoSpaceDN w:val="0"/>
        <w:spacing w:line="420" w:lineRule="atLeast"/>
        <w:ind w:firstLine="0"/>
        <w:rPr>
          <w:rFonts w:hint="eastAsia" w:ascii="楷体" w:hAnsi="楷体" w:eastAsia="楷体" w:cs="楷体"/>
          <w:bCs/>
          <w:sz w:val="32"/>
          <w:szCs w:val="32"/>
          <w:highlight w:val="none"/>
          <w:u w:val="none"/>
          <w:lang w:val="en-US" w:eastAsia="zh-CN"/>
        </w:rPr>
      </w:pPr>
      <w:r>
        <w:rPr>
          <w:rFonts w:hint="eastAsia" w:ascii="宋体" w:hAnsi="宋体" w:eastAsia="宋体" w:cs="宋体"/>
          <w:b w:val="0"/>
          <w:i w:val="0"/>
          <w:snapToGrid/>
          <w:color w:val="000000"/>
          <w:sz w:val="28"/>
          <w:szCs w:val="28"/>
          <w:shd w:val="clear" w:color="auto" w:fill="FFFFFF"/>
          <w:lang w:eastAsia="zh-CN"/>
        </w:rPr>
        <w:t>（</w:t>
      </w:r>
      <w:r>
        <w:rPr>
          <w:rFonts w:hint="eastAsia" w:ascii="宋体" w:hAnsi="宋体" w:cs="宋体"/>
          <w:b w:val="0"/>
          <w:i w:val="0"/>
          <w:snapToGrid/>
          <w:color w:val="000000"/>
          <w:sz w:val="28"/>
          <w:szCs w:val="28"/>
          <w:shd w:val="clear" w:color="auto" w:fill="FFFFFF"/>
          <w:lang w:val="en-US" w:eastAsia="zh-CN"/>
        </w:rPr>
        <w:t>12</w:t>
      </w:r>
      <w:r>
        <w:rPr>
          <w:rFonts w:hint="eastAsia" w:ascii="宋体" w:hAnsi="宋体" w:eastAsia="宋体" w:cs="宋体"/>
          <w:b w:val="0"/>
          <w:i w:val="0"/>
          <w:snapToGrid/>
          <w:color w:val="000000"/>
          <w:sz w:val="28"/>
          <w:szCs w:val="28"/>
          <w:shd w:val="clear" w:color="auto" w:fill="FFFFFF"/>
          <w:lang w:eastAsia="zh-CN"/>
        </w:rPr>
        <w:t>）完成上级交办的其他任务。</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从单位构成看，部门名称部门决算由实行独立核算的部门名称本级决算和1个下属单位决算组成。</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纳入部门名称2022年度部门决算编制范围的二级预算单位包括：</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1.部门名称（本级）</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（单户表和单位决算填写内部机构设置情况。）</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tbl>
      <w:tblPr>
        <w:tblStyle w:val="6"/>
        <w:tblW w:w="14070" w:type="dxa"/>
        <w:tblInd w:w="0" w:type="dxa"/>
        <w:tblLayout w:type="autofit"/>
        <w:tblCellMar>
          <w:top w:w="0" w:type="dxa"/>
          <w:left w:w="0" w:type="dxa"/>
          <w:bottom w:w="0" w:type="dxa"/>
          <w:right w:w="0" w:type="dxa"/>
        </w:tblCellMar>
      </w:tblPr>
      <w:tblGrid>
        <w:gridCol w:w="4909"/>
        <w:gridCol w:w="650"/>
        <w:gridCol w:w="1279"/>
        <w:gridCol w:w="4605"/>
        <w:gridCol w:w="650"/>
        <w:gridCol w:w="1977"/>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highlight w:val="yellow"/>
                <w:u w:val="none"/>
                <w:lang w:val="en-US" w:eastAsia="zh-CN"/>
              </w:rPr>
            </w:pPr>
            <w:r>
              <w:rPr>
                <w:rFonts w:hint="eastAsia" w:ascii="宋体" w:hAnsi="宋体" w:eastAsia="宋体" w:cs="宋体"/>
                <w:i w:val="0"/>
                <w:color w:val="000000"/>
                <w:sz w:val="22"/>
                <w:szCs w:val="22"/>
                <w:highlight w:val="yellow"/>
                <w:u w:val="none"/>
                <w:lang w:val="en-US" w:eastAsia="zh-CN"/>
              </w:rPr>
              <w:t>131.9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131.9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131.9</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val="en-US" w:eastAsia="zh-CN"/>
        </w:rPr>
        <w:t>二</w:t>
      </w:r>
      <w:r>
        <w:rPr>
          <w:rFonts w:hint="eastAsia" w:ascii="楷体" w:hAnsi="楷体" w:eastAsia="楷体" w:cs="楷体"/>
          <w:bCs/>
          <w:sz w:val="32"/>
          <w:szCs w:val="32"/>
          <w:highlight w:val="none"/>
          <w:u w:val="none"/>
        </w:rPr>
        <w:t>、收入决算表</w:t>
      </w: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tbl>
      <w:tblPr>
        <w:tblStyle w:val="6"/>
        <w:tblW w:w="139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39"/>
        <w:gridCol w:w="299"/>
        <w:gridCol w:w="300"/>
        <w:gridCol w:w="1773"/>
        <w:gridCol w:w="1131"/>
        <w:gridCol w:w="1720"/>
        <w:gridCol w:w="1021"/>
        <w:gridCol w:w="778"/>
        <w:gridCol w:w="778"/>
        <w:gridCol w:w="1486"/>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3039"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99"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00"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73"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20"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c>
          <w:tcPr>
            <w:tcW w:w="102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6"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63"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039"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99"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00"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73"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20"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21"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8"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6"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63"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03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部门：黄石市黄石港区统计局</w:t>
            </w:r>
          </w:p>
        </w:tc>
        <w:tc>
          <w:tcPr>
            <w:tcW w:w="2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7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2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02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7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6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11"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0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77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7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48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66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3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77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3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73"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3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73"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11"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11"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131.9</w:t>
            </w:r>
          </w:p>
        </w:tc>
        <w:tc>
          <w:tcPr>
            <w:tcW w:w="17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128.3</w:t>
            </w:r>
          </w:p>
        </w:tc>
        <w:tc>
          <w:tcPr>
            <w:tcW w:w="102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63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1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128.3</w:t>
            </w:r>
          </w:p>
        </w:tc>
        <w:tc>
          <w:tcPr>
            <w:tcW w:w="102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63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w:t>
            </w:r>
          </w:p>
        </w:tc>
        <w:tc>
          <w:tcPr>
            <w:tcW w:w="1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统计信息事务</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kern w:val="0"/>
                <w:sz w:val="20"/>
                <w:szCs w:val="20"/>
                <w:u w:val="none"/>
                <w:lang w:val="en-US" w:eastAsia="zh-CN" w:bidi="ar"/>
              </w:rPr>
              <w:t>131.9</w:t>
            </w:r>
          </w:p>
        </w:tc>
        <w:tc>
          <w:tcPr>
            <w:tcW w:w="1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128.3</w:t>
            </w:r>
          </w:p>
        </w:tc>
        <w:tc>
          <w:tcPr>
            <w:tcW w:w="102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63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2010501</w:t>
            </w:r>
          </w:p>
        </w:tc>
        <w:tc>
          <w:tcPr>
            <w:tcW w:w="1773"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131.9</w:t>
            </w:r>
          </w:p>
        </w:tc>
        <w:tc>
          <w:tcPr>
            <w:tcW w:w="17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128.3</w:t>
            </w:r>
          </w:p>
        </w:tc>
        <w:tc>
          <w:tcPr>
            <w:tcW w:w="102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3988" w:type="dxa"/>
            <w:gridSpan w:val="11"/>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88" w:type="dxa"/>
            <w:gridSpan w:val="11"/>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tbl>
      <w:tblPr>
        <w:tblStyle w:val="6"/>
        <w:tblW w:w="13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45"/>
        <w:gridCol w:w="329"/>
        <w:gridCol w:w="329"/>
        <w:gridCol w:w="1950"/>
        <w:gridCol w:w="1770"/>
        <w:gridCol w:w="885"/>
        <w:gridCol w:w="855"/>
        <w:gridCol w:w="1245"/>
        <w:gridCol w:w="85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70"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w:t>
            </w:r>
          </w:p>
        </w:tc>
        <w:tc>
          <w:tcPr>
            <w:tcW w:w="8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部门：黄石市黄石港区统计局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8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8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2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8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8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0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0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0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7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统计信息事务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6"/>
        <w:tblW w:w="15124" w:type="dxa"/>
        <w:jc w:val="center"/>
        <w:tblLayout w:type="fixed"/>
        <w:tblCellMar>
          <w:top w:w="0" w:type="dxa"/>
          <w:left w:w="0" w:type="dxa"/>
          <w:bottom w:w="0" w:type="dxa"/>
          <w:right w:w="0" w:type="dxa"/>
        </w:tblCellMar>
      </w:tblPr>
      <w:tblGrid>
        <w:gridCol w:w="3025"/>
        <w:gridCol w:w="984"/>
        <w:gridCol w:w="1245"/>
        <w:gridCol w:w="3510"/>
        <w:gridCol w:w="990"/>
        <w:gridCol w:w="1245"/>
        <w:gridCol w:w="1245"/>
        <w:gridCol w:w="1395"/>
        <w:gridCol w:w="1485"/>
      </w:tblGrid>
      <w:tr>
        <w:tblPrEx>
          <w:tblCellMar>
            <w:top w:w="0" w:type="dxa"/>
            <w:left w:w="0" w:type="dxa"/>
            <w:bottom w:w="0" w:type="dxa"/>
            <w:right w:w="0" w:type="dxa"/>
          </w:tblCellMar>
        </w:tblPrEx>
        <w:trPr>
          <w:trHeight w:val="390" w:hRule="atLeast"/>
          <w:jc w:val="center"/>
        </w:trPr>
        <w:tc>
          <w:tcPr>
            <w:tcW w:w="15124"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2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987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92" w:hRule="atLeast"/>
          <w:jc w:val="center"/>
        </w:trPr>
        <w:tc>
          <w:tcPr>
            <w:tcW w:w="30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jc w:val="center"/>
        </w:trPr>
        <w:tc>
          <w:tcPr>
            <w:tcW w:w="30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128.3</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128.3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128.3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128.3</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128.3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128.3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128.3</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128.3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128.3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6"/>
        <w:tblW w:w="13988" w:type="dxa"/>
        <w:tblInd w:w="0" w:type="dxa"/>
        <w:tblLayout w:type="autofit"/>
        <w:tblCellMar>
          <w:top w:w="0" w:type="dxa"/>
          <w:left w:w="0" w:type="dxa"/>
          <w:bottom w:w="0" w:type="dxa"/>
          <w:right w:w="0" w:type="dxa"/>
        </w:tblCellMar>
      </w:tblPr>
      <w:tblGrid>
        <w:gridCol w:w="2810"/>
        <w:gridCol w:w="325"/>
        <w:gridCol w:w="325"/>
        <w:gridCol w:w="3873"/>
        <w:gridCol w:w="2218"/>
        <w:gridCol w:w="2218"/>
        <w:gridCol w:w="2219"/>
      </w:tblGrid>
      <w:tr>
        <w:tblPrEx>
          <w:tblCellMar>
            <w:top w:w="0" w:type="dxa"/>
            <w:left w:w="0" w:type="dxa"/>
            <w:bottom w:w="0" w:type="dxa"/>
            <w:right w:w="0" w:type="dxa"/>
          </w:tblCellMar>
        </w:tblPrEx>
        <w:trPr>
          <w:trHeight w:val="375" w:hRule="atLeast"/>
        </w:trPr>
        <w:tc>
          <w:tcPr>
            <w:tcW w:w="28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9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c>
          <w:tcPr>
            <w:tcW w:w="22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8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7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300" w:hRule="atLeast"/>
        </w:trPr>
        <w:tc>
          <w:tcPr>
            <w:tcW w:w="281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部门：黄石市黄石港区统计局</w:t>
            </w:r>
          </w:p>
        </w:tc>
        <w:tc>
          <w:tcPr>
            <w:tcW w:w="3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7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221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1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1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733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655"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00" w:hRule="atLeast"/>
        </w:trPr>
        <w:tc>
          <w:tcPr>
            <w:tcW w:w="3460" w:type="dxa"/>
            <w:gridSpan w:val="3"/>
            <w:vMerge w:val="restart"/>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873"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218"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218"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219"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270"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9"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9"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3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00" w:hRule="atLeast"/>
        </w:trPr>
        <w:tc>
          <w:tcPr>
            <w:tcW w:w="733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sz w:val="22"/>
                <w:szCs w:val="22"/>
                <w:u w:val="none"/>
                <w:lang w:val="en-US" w:eastAsia="zh-CN"/>
              </w:rPr>
              <w:t>128.3</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sz w:val="22"/>
                <w:szCs w:val="22"/>
                <w:u w:val="none"/>
                <w:lang w:val="en-US" w:eastAsia="zh-CN"/>
              </w:rPr>
              <w:t>128.3</w:t>
            </w:r>
          </w:p>
        </w:tc>
        <w:tc>
          <w:tcPr>
            <w:tcW w:w="22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4" w:hRule="atLeast"/>
        </w:trPr>
        <w:tc>
          <w:tcPr>
            <w:tcW w:w="346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8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sz w:val="22"/>
                <w:szCs w:val="22"/>
                <w:u w:val="none"/>
                <w:lang w:val="en-US" w:eastAsia="zh-CN"/>
              </w:rPr>
              <w:t>128.3</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sz w:val="22"/>
                <w:szCs w:val="22"/>
                <w:u w:val="none"/>
                <w:lang w:val="en-US" w:eastAsia="zh-CN"/>
              </w:rPr>
              <w:t>128.3</w:t>
            </w:r>
          </w:p>
        </w:tc>
        <w:tc>
          <w:tcPr>
            <w:tcW w:w="22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46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20105</w:t>
            </w:r>
          </w:p>
        </w:tc>
        <w:tc>
          <w:tcPr>
            <w:tcW w:w="38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统计信息事务</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sz w:val="22"/>
                <w:szCs w:val="22"/>
                <w:u w:val="none"/>
                <w:lang w:val="en-US" w:eastAsia="zh-CN"/>
              </w:rPr>
              <w:t>128.3</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sz w:val="22"/>
                <w:szCs w:val="22"/>
                <w:u w:val="none"/>
                <w:lang w:val="en-US" w:eastAsia="zh-CN"/>
              </w:rPr>
              <w:t>128.3</w:t>
            </w:r>
          </w:p>
        </w:tc>
        <w:tc>
          <w:tcPr>
            <w:tcW w:w="22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2010501</w:t>
            </w:r>
          </w:p>
        </w:tc>
        <w:tc>
          <w:tcPr>
            <w:tcW w:w="3873"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2"/>
                <w:szCs w:val="22"/>
                <w:u w:val="none"/>
                <w:lang w:val="en-US" w:eastAsia="zh-CN"/>
              </w:rPr>
              <w:t>128.3</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2"/>
                <w:szCs w:val="22"/>
                <w:u w:val="none"/>
                <w:lang w:val="en-US" w:eastAsia="zh-CN"/>
              </w:rPr>
              <w:t>128.3</w:t>
            </w:r>
          </w:p>
        </w:tc>
        <w:tc>
          <w:tcPr>
            <w:tcW w:w="22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88"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6"/>
        <w:tblW w:w="15548" w:type="dxa"/>
        <w:jc w:val="center"/>
        <w:tblLayout w:type="fixed"/>
        <w:tblCellMar>
          <w:top w:w="0" w:type="dxa"/>
          <w:left w:w="0" w:type="dxa"/>
          <w:bottom w:w="0" w:type="dxa"/>
          <w:right w:w="0" w:type="dxa"/>
        </w:tblCellMar>
      </w:tblPr>
      <w:tblGrid>
        <w:gridCol w:w="735"/>
        <w:gridCol w:w="3525"/>
        <w:gridCol w:w="1242"/>
        <w:gridCol w:w="1293"/>
        <w:gridCol w:w="2277"/>
        <w:gridCol w:w="1350"/>
        <w:gridCol w:w="810"/>
        <w:gridCol w:w="3127"/>
        <w:gridCol w:w="1189"/>
      </w:tblGrid>
      <w:tr>
        <w:tblPrEx>
          <w:tblCellMar>
            <w:top w:w="0" w:type="dxa"/>
            <w:left w:w="0" w:type="dxa"/>
            <w:bottom w:w="0" w:type="dxa"/>
            <w:right w:w="0" w:type="dxa"/>
          </w:tblCellMar>
        </w:tblPrEx>
        <w:trPr>
          <w:trHeight w:val="390" w:hRule="atLeast"/>
          <w:jc w:val="center"/>
        </w:trPr>
        <w:tc>
          <w:tcPr>
            <w:tcW w:w="1554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ind w:left="-420" w:leftChars="-20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50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46"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9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2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56.73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69.2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14.87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5.90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10.73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8.40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7.32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8.82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5.31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25.10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1.37</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代缴社会保险费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426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人员经费合计</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yellow"/>
                <w:u w:val="none"/>
              </w:rPr>
            </w:pPr>
          </w:p>
        </w:tc>
        <w:tc>
          <w:tcPr>
            <w:tcW w:w="88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highlight w:val="yellow"/>
                <w:u w:val="none"/>
                <w:lang w:val="en-US" w:eastAsia="zh-CN" w:bidi="ar"/>
              </w:rPr>
              <w:t>公用经费合计</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yellow"/>
                <w:u w:val="none"/>
              </w:rPr>
            </w:pP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bookmarkStart w:id="0" w:name="_GoBack"/>
      <w:bookmarkEnd w:id="0"/>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6"/>
        <w:tblW w:w="15203" w:type="dxa"/>
        <w:jc w:val="center"/>
        <w:tblLayout w:type="fixed"/>
        <w:tblCellMar>
          <w:top w:w="0" w:type="dxa"/>
          <w:left w:w="0" w:type="dxa"/>
          <w:bottom w:w="0" w:type="dxa"/>
          <w:right w:w="0" w:type="dxa"/>
        </w:tblCellMar>
      </w:tblPr>
      <w:tblGrid>
        <w:gridCol w:w="882"/>
        <w:gridCol w:w="1185"/>
        <w:gridCol w:w="990"/>
        <w:gridCol w:w="1410"/>
        <w:gridCol w:w="1455"/>
        <w:gridCol w:w="1380"/>
        <w:gridCol w:w="1140"/>
        <w:gridCol w:w="1425"/>
        <w:gridCol w:w="1395"/>
        <w:gridCol w:w="1320"/>
        <w:gridCol w:w="1361"/>
        <w:gridCol w:w="1260"/>
      </w:tblGrid>
      <w:tr>
        <w:tblPrEx>
          <w:tblCellMar>
            <w:top w:w="0" w:type="dxa"/>
            <w:left w:w="0" w:type="dxa"/>
            <w:bottom w:w="0" w:type="dxa"/>
            <w:right w:w="0" w:type="dxa"/>
          </w:tblCellMar>
        </w:tblPrEx>
        <w:trPr>
          <w:trHeight w:val="390" w:hRule="atLeast"/>
          <w:jc w:val="center"/>
        </w:trPr>
        <w:tc>
          <w:tcPr>
            <w:tcW w:w="15203"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黄石市黄石港区统计局</w:t>
            </w: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41"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730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90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88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7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jc w:val="center"/>
        </w:trPr>
        <w:tc>
          <w:tcPr>
            <w:tcW w:w="8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bl>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6"/>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黄石市黄石港区统计局</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6"/>
        <w:tblW w:w="14860" w:type="dxa"/>
        <w:jc w:val="center"/>
        <w:tblLayout w:type="autofit"/>
        <w:tblCellMar>
          <w:top w:w="0" w:type="dxa"/>
          <w:left w:w="0" w:type="dxa"/>
          <w:bottom w:w="0" w:type="dxa"/>
          <w:right w:w="0" w:type="dxa"/>
        </w:tblCellMar>
      </w:tblPr>
      <w:tblGrid>
        <w:gridCol w:w="802"/>
        <w:gridCol w:w="46"/>
        <w:gridCol w:w="1027"/>
        <w:gridCol w:w="5920"/>
        <w:gridCol w:w="1740"/>
        <w:gridCol w:w="1016"/>
        <w:gridCol w:w="4309"/>
      </w:tblGrid>
      <w:tr>
        <w:tblPrEx>
          <w:tblCellMar>
            <w:top w:w="0" w:type="dxa"/>
            <w:left w:w="0" w:type="dxa"/>
            <w:bottom w:w="0" w:type="dxa"/>
            <w:right w:w="0" w:type="dxa"/>
          </w:tblCellMar>
        </w:tblPrEx>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0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黄石市黄石港区统计局</w:t>
            </w:r>
          </w:p>
        </w:tc>
        <w:tc>
          <w:tcPr>
            <w:tcW w:w="4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9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3" w:hRule="atLeast"/>
          <w:jc w:val="center"/>
        </w:trPr>
        <w:tc>
          <w:tcPr>
            <w:tcW w:w="1716"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5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4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3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3" w:hRule="atLeast"/>
          <w:jc w:val="center"/>
        </w:trPr>
        <w:tc>
          <w:tcPr>
            <w:tcW w:w="171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3" w:hRule="atLeast"/>
          <w:jc w:val="center"/>
        </w:trPr>
        <w:tc>
          <w:tcPr>
            <w:tcW w:w="171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171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jc w:val="center"/>
        </w:trPr>
        <w:tc>
          <w:tcPr>
            <w:tcW w:w="171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131.9</w:t>
      </w:r>
      <w:r>
        <w:rPr>
          <w:rFonts w:hint="eastAsia" w:ascii="仿宋_GB2312" w:hAnsi="仿宋_GB2312" w:eastAsia="仿宋_GB2312" w:cs="仿宋_GB2312"/>
          <w:bCs/>
          <w:sz w:val="32"/>
          <w:szCs w:val="32"/>
          <w:highlight w:val="none"/>
          <w:lang w:val="en-US" w:eastAsia="zh-CN"/>
        </w:rPr>
        <w:t>万元。与2021年度相比，收、支总计各减少</w:t>
      </w:r>
      <w:r>
        <w:rPr>
          <w:rFonts w:hint="eastAsia" w:ascii="仿宋_GB2312" w:hAnsi="仿宋_GB2312" w:eastAsia="仿宋_GB2312" w:cs="仿宋_GB2312"/>
          <w:bCs/>
          <w:sz w:val="32"/>
          <w:szCs w:val="32"/>
          <w:highlight w:val="none"/>
          <w:u w:val="single"/>
          <w:lang w:val="en-US" w:eastAsia="zh-CN"/>
        </w:rPr>
        <w:t xml:space="preserve"> 96.8 </w:t>
      </w:r>
      <w:r>
        <w:rPr>
          <w:rFonts w:hint="eastAsia" w:ascii="仿宋_GB2312" w:hAnsi="仿宋_GB2312" w:eastAsia="仿宋_GB2312" w:cs="仿宋_GB2312"/>
          <w:bCs/>
          <w:sz w:val="32"/>
          <w:szCs w:val="32"/>
          <w:highlight w:val="none"/>
          <w:lang w:val="en-US" w:eastAsia="zh-CN"/>
        </w:rPr>
        <w:t>万元，下降</w:t>
      </w:r>
      <w:r>
        <w:rPr>
          <w:rFonts w:hint="eastAsia" w:ascii="仿宋_GB2312" w:hAnsi="仿宋_GB2312" w:eastAsia="仿宋_GB2312" w:cs="仿宋_GB2312"/>
          <w:bCs/>
          <w:sz w:val="32"/>
          <w:szCs w:val="32"/>
          <w:highlight w:val="none"/>
          <w:u w:val="single"/>
          <w:lang w:val="en-US" w:eastAsia="zh-CN"/>
        </w:rPr>
        <w:t xml:space="preserve"> 57.6   </w:t>
      </w:r>
      <w:r>
        <w:rPr>
          <w:rFonts w:hint="eastAsia" w:ascii="仿宋_GB2312" w:hAnsi="仿宋_GB2312" w:eastAsia="仿宋_GB2312" w:cs="仿宋_GB2312"/>
          <w:bCs/>
          <w:sz w:val="32"/>
          <w:szCs w:val="32"/>
          <w:highlight w:val="none"/>
          <w:lang w:val="en-US" w:eastAsia="zh-CN"/>
        </w:rPr>
        <w:t xml:space="preserve"> %，主要原因是减少了七人普专项工作。</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r>
        <w:rPr>
          <w:rFonts w:hint="eastAsia" w:ascii="楷体" w:hAnsi="楷体" w:eastAsia="楷体" w:cs="楷体"/>
          <w:b w:val="0"/>
          <w:bCs w:val="0"/>
          <w:color w:val="FF0000"/>
          <w:sz w:val="32"/>
          <w:szCs w:val="32"/>
          <w:highlight w:val="none"/>
          <w:u w:val="none"/>
          <w:lang w:val="en-US" w:eastAsia="zh-CN"/>
        </w:rPr>
        <w:t>(数字来源于公开02表）</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2022年度收入合计131.9万元，与2021年度相比，收入合计减少96.8万元，下降57.6 %。其中：财政拨款收入128.3万元，占本年收入97.27%；上级补助收入   万元，占本年收入  %；事业收入   万元，占本年收入   %；经营收入   万元，占本年收入   %；附属单位上缴收入    万元，占本年收入   %；其他收入3.5万元，占本年收入2.65 %。</w:t>
      </w:r>
    </w:p>
    <w:p>
      <w:pPr>
        <w:bidi w:val="0"/>
        <w:ind w:firstLine="640" w:firstLineChars="200"/>
        <w:rPr>
          <w:rFonts w:hint="eastAsia" w:ascii="Times New Roman" w:hAnsi="Times New Roman" w:eastAsia="仿宋_GB2312" w:cs="Times New Roman"/>
          <w:color w:val="FF0000"/>
          <w:sz w:val="32"/>
          <w:szCs w:val="22"/>
          <w:u w:val="none"/>
          <w:lang w:val="en-US" w:eastAsia="zh-CN"/>
        </w:rPr>
      </w:pPr>
      <w:r>
        <w:rPr>
          <w:rFonts w:hint="eastAsia" w:ascii="Times New Roman" w:hAnsi="Times New Roman" w:eastAsia="仿宋_GB2312" w:cs="Times New Roman"/>
          <w:color w:val="FF0000"/>
          <w:sz w:val="32"/>
          <w:szCs w:val="22"/>
          <w:u w:val="none"/>
          <w:lang w:val="en-US" w:eastAsia="zh-CN"/>
        </w:rPr>
        <w:t>（简述本部门核算使用的预算收入类科目）</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r>
        <w:rPr>
          <w:rFonts w:hint="eastAsia" w:ascii="楷体" w:hAnsi="楷体" w:eastAsia="楷体" w:cs="楷体"/>
          <w:b w:val="0"/>
          <w:bCs w:val="0"/>
          <w:color w:val="FF0000"/>
          <w:sz w:val="32"/>
          <w:szCs w:val="32"/>
          <w:highlight w:val="none"/>
          <w:u w:val="none"/>
          <w:lang w:val="en-US" w:eastAsia="zh-CN"/>
        </w:rPr>
        <w:t>(数字来源于公开03表）</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2022年度支出合计131.9万元，与2021年度相比，支出合计减少96.8万元，下降57.6 %。其中：基本支出131.9万元，占本年支出100 %；项目支出   万元，占本年支出    %；上缴上级支出    万元，占本年支出    %；经营支出    万元，占本年支出   %；对附属单位补助支出    万元，占本年支出    %。</w:t>
      </w:r>
    </w:p>
    <w:p>
      <w:pPr>
        <w:bidi w:val="0"/>
        <w:ind w:firstLine="640" w:firstLineChars="200"/>
        <w:rPr>
          <w:rFonts w:hint="eastAsia" w:ascii="Times New Roman" w:hAnsi="Times New Roman" w:eastAsia="仿宋_GB2312" w:cs="Times New Roman"/>
          <w:color w:val="FF0000"/>
          <w:sz w:val="32"/>
          <w:szCs w:val="22"/>
          <w:u w:val="none"/>
          <w:lang w:val="en-US" w:eastAsia="zh-CN"/>
        </w:rPr>
      </w:pPr>
      <w:r>
        <w:rPr>
          <w:rFonts w:hint="eastAsia" w:ascii="Times New Roman" w:hAnsi="Times New Roman" w:eastAsia="仿宋_GB2312" w:cs="Times New Roman"/>
          <w:color w:val="FF0000"/>
          <w:sz w:val="32"/>
          <w:szCs w:val="22"/>
          <w:u w:val="none"/>
          <w:lang w:val="en-US" w:eastAsia="zh-CN"/>
        </w:rPr>
        <w:t>（简述本部门核算使用的预算支出类科目）</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r>
        <w:rPr>
          <w:rFonts w:hint="eastAsia" w:ascii="楷体" w:hAnsi="楷体" w:eastAsia="楷体" w:cs="楷体"/>
          <w:b w:val="0"/>
          <w:bCs w:val="0"/>
          <w:color w:val="FF0000"/>
          <w:sz w:val="32"/>
          <w:szCs w:val="32"/>
          <w:highlight w:val="none"/>
          <w:u w:val="none"/>
          <w:lang w:val="en-US" w:eastAsia="zh-CN"/>
        </w:rPr>
        <w:t>(数字来源于公开04表）</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2022年度财政拨款收、支总计均为131.9万元。与2021年度相比，财政拨款收、支总计各减少96.8 万元，下降57.6 %。主要原因是减少了七人普专项工作。</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2022年度财政拨款收入中，一般公共预算财政拨款收入131.9万元，比2021年度决算数减少96.8万元。减少主要原因是少了七人普专项工作。政府性基金预算财政拨款收入    万元，比2021年度决算数增加（减少）    万元。增加（减少）主要原因是……。国有资本经营预算财政拨款收入   万元，比2021年度决算数增加（减少）    万元。增加（减少）主要原因是……。</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r>
        <w:rPr>
          <w:rFonts w:hint="eastAsia" w:ascii="楷体" w:hAnsi="楷体" w:eastAsia="楷体" w:cs="楷体"/>
          <w:b w:val="0"/>
          <w:bCs w:val="0"/>
          <w:color w:val="FF0000"/>
          <w:sz w:val="32"/>
          <w:szCs w:val="32"/>
          <w:highlight w:val="none"/>
          <w:u w:val="none"/>
          <w:lang w:val="en-US" w:eastAsia="zh-CN"/>
        </w:rPr>
        <w:t>(数字来源于公开05表）</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lang w:val="en-US" w:eastAsia="zh-CN"/>
        </w:rPr>
        <w:t>131.9</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lang w:val="en-US" w:eastAsia="zh-CN"/>
        </w:rPr>
        <w:t>100</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财政拨款支出减少</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96.8</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w:t>
      </w:r>
      <w:r>
        <w:rPr>
          <w:rFonts w:hint="eastAsia" w:ascii="仿宋_GB2312" w:eastAsia="仿宋_GB2312"/>
          <w:bCs/>
          <w:kern w:val="44"/>
          <w:sz w:val="32"/>
          <w:szCs w:val="32"/>
          <w:highlight w:val="none"/>
          <w:lang w:eastAsia="zh-CN"/>
        </w:rPr>
        <w:t>下降</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57.6</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%。主要原因是</w:t>
      </w:r>
      <w:r>
        <w:rPr>
          <w:rFonts w:hint="eastAsia" w:ascii="仿宋_GB2312" w:hAnsi="仿宋_GB2312" w:eastAsia="仿宋_GB2312" w:cs="仿宋_GB2312"/>
          <w:bCs/>
          <w:sz w:val="32"/>
          <w:szCs w:val="32"/>
          <w:highlight w:val="none"/>
          <w:lang w:val="en-US" w:eastAsia="zh-CN"/>
        </w:rPr>
        <w:t>少了七人普专项工作</w:t>
      </w:r>
      <w:r>
        <w:rPr>
          <w:rFonts w:hint="eastAsia" w:ascii="仿宋_GB2312" w:eastAsia="仿宋_GB2312"/>
          <w:bCs/>
          <w:kern w:val="44"/>
          <w:sz w:val="32"/>
          <w:szCs w:val="32"/>
          <w:highlight w:val="none"/>
        </w:rPr>
        <w:t>。</w:t>
      </w:r>
    </w:p>
    <w:p>
      <w:pPr>
        <w:numPr>
          <w:ilvl w:val="0"/>
          <w:numId w:val="2"/>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财政拨款支出</w:t>
      </w:r>
      <w:r>
        <w:rPr>
          <w:rFonts w:hint="eastAsia" w:ascii="仿宋_GB2312" w:hAnsi="仿宋_GB2312" w:eastAsia="仿宋_GB2312" w:cs="仿宋_GB2312"/>
          <w:bCs/>
          <w:kern w:val="44"/>
          <w:sz w:val="32"/>
          <w:szCs w:val="32"/>
          <w:highlight w:val="none"/>
          <w:lang w:val="en-US" w:eastAsia="zh-CN"/>
        </w:rPr>
        <w:t>131.9</w:t>
      </w:r>
      <w:r>
        <w:rPr>
          <w:rFonts w:hint="eastAsia" w:ascii="仿宋_GB2312" w:hAnsi="仿宋_GB2312" w:eastAsia="仿宋_GB2312" w:cs="仿宋_GB2312"/>
          <w:bCs/>
          <w:kern w:val="44"/>
          <w:sz w:val="32"/>
          <w:szCs w:val="32"/>
          <w:highlight w:val="none"/>
        </w:rPr>
        <w:t xml:space="preserve"> 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 xml:space="preserve">一般公共服务（类）支出 </w:t>
      </w:r>
      <w:r>
        <w:rPr>
          <w:rFonts w:hint="eastAsia" w:ascii="仿宋_GB2312" w:hAnsi="仿宋_GB2312" w:eastAsia="仿宋_GB2312" w:cs="仿宋_GB2312"/>
          <w:bCs/>
          <w:kern w:val="44"/>
          <w:sz w:val="32"/>
          <w:szCs w:val="32"/>
          <w:highlight w:val="none"/>
          <w:lang w:val="en-US" w:eastAsia="zh-CN"/>
        </w:rPr>
        <w:t>131.9</w:t>
      </w:r>
      <w:r>
        <w:rPr>
          <w:rFonts w:hint="eastAsia" w:ascii="仿宋_GB2312" w:hAnsi="仿宋_GB2312" w:eastAsia="仿宋_GB2312" w:cs="仿宋_GB2312"/>
          <w:bCs/>
          <w:kern w:val="44"/>
          <w:sz w:val="32"/>
          <w:szCs w:val="32"/>
          <w:highlight w:val="none"/>
        </w:rPr>
        <w:t>万元，占    %</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lang w:val="en-US" w:eastAsia="zh-CN"/>
        </w:rPr>
        <w:t>行政运行</w:t>
      </w:r>
      <w:r>
        <w:rPr>
          <w:rFonts w:hint="eastAsia" w:ascii="仿宋_GB2312" w:hAnsi="仿宋_GB2312" w:eastAsia="仿宋_GB2312" w:cs="仿宋_GB2312"/>
          <w:bCs/>
          <w:kern w:val="44"/>
          <w:sz w:val="32"/>
          <w:szCs w:val="32"/>
          <w:highlight w:val="none"/>
          <w:lang w:eastAsia="zh-CN"/>
        </w:rPr>
        <w:t>。</w:t>
      </w:r>
    </w:p>
    <w:p>
      <w:pPr>
        <w:numPr>
          <w:ilvl w:val="0"/>
          <w:numId w:val="2"/>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firstLine="640" w:firstLineChars="200"/>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76.9</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lang w:val="en-US" w:eastAsia="zh-CN"/>
        </w:rPr>
        <w:t>128.3</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59.9</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%。其中：</w:t>
      </w:r>
      <w:r>
        <w:rPr>
          <w:rFonts w:hint="eastAsia" w:ascii="仿宋_GB2312" w:eastAsia="仿宋_GB2312"/>
          <w:bCs/>
          <w:kern w:val="44"/>
          <w:sz w:val="32"/>
          <w:szCs w:val="32"/>
          <w:highlight w:val="none"/>
          <w:u w:val="none"/>
        </w:rPr>
        <w:t>其中：(一般公共预算财政拨款支出决算具体情况，按支出功能分类类级科目逐类分析</w:t>
      </w:r>
      <w:r>
        <w:rPr>
          <w:rFonts w:hint="eastAsia" w:ascii="仿宋_GB2312" w:eastAsia="仿宋_GB2312"/>
          <w:bCs/>
          <w:kern w:val="44"/>
          <w:sz w:val="32"/>
          <w:szCs w:val="32"/>
          <w:highlight w:val="none"/>
          <w:u w:val="none"/>
          <w:lang w:eastAsia="zh-CN"/>
        </w:rPr>
        <w:t>，简述本部门使用科目</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楷体" w:hAnsi="楷体" w:eastAsia="楷体" w:cs="楷体"/>
          <w:bCs/>
          <w:kern w:val="44"/>
          <w:sz w:val="32"/>
          <w:szCs w:val="32"/>
          <w:highlight w:val="none"/>
          <w:u w:val="none"/>
        </w:rPr>
        <w:t>1.一般公共服务支出(类)。</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XX</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XX</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XX</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小</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凡是</w:t>
      </w:r>
      <w:r>
        <w:rPr>
          <w:rFonts w:hint="eastAsia" w:ascii="仿宋_GB2312" w:eastAsia="仿宋_GB2312"/>
          <w:bCs/>
          <w:color w:val="auto"/>
          <w:kern w:val="44"/>
          <w:sz w:val="32"/>
          <w:szCs w:val="32"/>
          <w:highlight w:val="none"/>
          <w:u w:val="none"/>
          <w:lang w:eastAsia="zh-CN"/>
        </w:rPr>
        <w:t>年中有追加预算的或决算数</w:t>
      </w:r>
      <w:r>
        <w:rPr>
          <w:rFonts w:hint="eastAsia" w:ascii="仿宋_GB2312" w:eastAsia="仿宋_GB2312"/>
          <w:bCs/>
          <w:color w:val="auto"/>
          <w:kern w:val="44"/>
          <w:sz w:val="32"/>
          <w:szCs w:val="32"/>
          <w:highlight w:val="none"/>
          <w:u w:val="none"/>
        </w:rPr>
        <w:t>低于</w:t>
      </w:r>
      <w:r>
        <w:rPr>
          <w:rFonts w:hint="eastAsia" w:ascii="仿宋_GB2312" w:eastAsia="仿宋_GB2312"/>
          <w:bCs/>
          <w:color w:val="auto"/>
          <w:kern w:val="44"/>
          <w:sz w:val="32"/>
          <w:szCs w:val="32"/>
          <w:highlight w:val="none"/>
          <w:u w:val="none"/>
          <w:lang w:eastAsia="zh-CN"/>
        </w:rPr>
        <w:t>年初预算数</w:t>
      </w:r>
      <w:r>
        <w:rPr>
          <w:rFonts w:hint="eastAsia" w:ascii="仿宋_GB2312" w:eastAsia="仿宋_GB2312"/>
          <w:bCs/>
          <w:color w:val="auto"/>
          <w:kern w:val="44"/>
          <w:sz w:val="32"/>
          <w:szCs w:val="32"/>
          <w:highlight w:val="none"/>
          <w:u w:val="none"/>
        </w:rPr>
        <w:t>9</w:t>
      </w:r>
      <w:r>
        <w:rPr>
          <w:rFonts w:hint="eastAsia" w:ascii="仿宋_GB2312" w:eastAsia="仿宋_GB2312"/>
          <w:bCs/>
          <w:color w:val="auto"/>
          <w:kern w:val="44"/>
          <w:sz w:val="32"/>
          <w:szCs w:val="32"/>
          <w:highlight w:val="none"/>
          <w:u w:val="none"/>
          <w:lang w:val="en-US" w:eastAsia="zh-CN"/>
        </w:rPr>
        <w:t>5</w:t>
      </w:r>
      <w:r>
        <w:rPr>
          <w:rFonts w:hint="eastAsia" w:ascii="仿宋_GB2312" w:eastAsia="仿宋_GB2312"/>
          <w:bCs/>
          <w:color w:val="auto"/>
          <w:kern w:val="44"/>
          <w:sz w:val="32"/>
          <w:szCs w:val="32"/>
          <w:highlight w:val="none"/>
          <w:u w:val="none"/>
        </w:rPr>
        <w:t>%</w:t>
      </w:r>
      <w:r>
        <w:rPr>
          <w:rFonts w:hint="eastAsia" w:ascii="仿宋_GB2312" w:eastAsia="仿宋_GB2312"/>
          <w:bCs/>
          <w:color w:val="auto"/>
          <w:kern w:val="44"/>
          <w:sz w:val="32"/>
          <w:szCs w:val="32"/>
          <w:highlight w:val="none"/>
          <w:u w:val="none"/>
          <w:lang w:eastAsia="zh-CN"/>
        </w:rPr>
        <w:t>的应作</w:t>
      </w:r>
      <w:r>
        <w:rPr>
          <w:rFonts w:hint="eastAsia" w:ascii="仿宋_GB2312" w:eastAsia="仿宋_GB2312"/>
          <w:bCs/>
          <w:color w:val="auto"/>
          <w:kern w:val="44"/>
          <w:sz w:val="32"/>
          <w:szCs w:val="32"/>
          <w:highlight w:val="none"/>
          <w:u w:val="none"/>
          <w:lang w:val="en-US" w:eastAsia="zh-CN"/>
        </w:rPr>
        <w:t>原因</w:t>
      </w:r>
      <w:r>
        <w:rPr>
          <w:rFonts w:hint="eastAsia" w:ascii="仿宋_GB2312" w:eastAsia="仿宋_GB2312"/>
          <w:bCs/>
          <w:color w:val="auto"/>
          <w:kern w:val="44"/>
          <w:sz w:val="32"/>
          <w:szCs w:val="32"/>
          <w:highlight w:val="none"/>
          <w:u w:val="none"/>
        </w:rPr>
        <w:t>说明</w:t>
      </w:r>
      <w:r>
        <w:rPr>
          <w:rFonts w:hint="eastAsia" w:ascii="仿宋_GB2312" w:eastAsia="仿宋_GB2312"/>
          <w:bCs/>
          <w:kern w:val="44"/>
          <w:sz w:val="32"/>
          <w:szCs w:val="32"/>
          <w:highlight w:val="none"/>
          <w:u w:val="none"/>
        </w:rPr>
        <w:t>)的主要原因</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一是……；二是……。</w:t>
      </w:r>
    </w:p>
    <w:p>
      <w:pPr>
        <w:pStyle w:val="10"/>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r>
        <w:rPr>
          <w:rFonts w:hint="eastAsia" w:ascii="楷体" w:hAnsi="楷体" w:eastAsia="楷体" w:cs="楷体"/>
          <w:bCs/>
          <w:color w:val="auto"/>
          <w:kern w:val="44"/>
          <w:sz w:val="32"/>
          <w:szCs w:val="32"/>
          <w:highlight w:val="none"/>
          <w:u w:val="none"/>
        </w:rPr>
        <w:t>2.……</w:t>
      </w:r>
    </w:p>
    <w:p>
      <w:pPr>
        <w:pStyle w:val="10"/>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  XX 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 56.8 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其他对个人和家庭的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 71.5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公务用车购置、其他资本性支出。</w:t>
      </w: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2022年度“三公”经费财政拨款支出预算为0万元，支出决算为0万元，完成预算的 100%。较上年增加（减少） 0万元，增长（下降）0 %。决算数小于（大于）预算数的主要原因：无预算无支出。决算数较上年增加（减少）的主要原因：无预算无支出。</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0万元，支出决算为0万元，完成预算的0%。较上年增加（减少）0万元，增长（下降）0 %。决算数小于（大于）预算数的主要原因：无预算无支出。决算数较上年增加（减少）的主要原因无预算无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全年支出涉及出国（境）团组0个，累计0 人次。</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0万元，支出决算为0万元，完成预算的0 %；较上年增加（减少）0万元，增长（下降）0 %。决算数小于（大于）预算数的主要原因：无预算无支出。决算数较上年增加（减少）的主要原因：无预算无支出。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(1)公务用车购置费支出0万元。本年度购置(更新)公务用车0辆。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(2)公务用车运行费支出0万元。截止2022年12月31日，开支财政拨款的公务用车保有量为 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3.公务接待费预算为0万元，支出决算为0万元，完成预算的0 %，较上年增加（减少）0万元，增长（下降）0 %。决算数小于（大于）预算数的主要原因：无预算无支出。其中：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外宾接待支出0万元。2022年共接待来访团组0个，0人次（不包括陪同人员）。</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国内公务接待支出0万元。2022年共接待国内来访团组0个，0人次（不包括陪同人员）。</w:t>
      </w:r>
    </w:p>
    <w:p>
      <w:pPr>
        <w:pageBreakBefore w:val="0"/>
        <w:widowControl w:val="0"/>
        <w:kinsoku/>
        <w:wordWrap/>
        <w:overflowPunct/>
        <w:topLinePunct w:val="0"/>
        <w:bidi w:val="0"/>
        <w:adjustRightInd w:val="0"/>
        <w:snapToGrid w:val="0"/>
        <w:spacing w:line="360" w:lineRule="auto"/>
        <w:ind w:firstLine="643" w:firstLineChars="200"/>
        <w:textAlignment w:val="auto"/>
        <w:rPr>
          <w:rFonts w:hint="default" w:ascii="仿宋_GB2312" w:eastAsia="仿宋_GB2312"/>
          <w:b/>
          <w:bCs/>
          <w:color w:val="FF0000"/>
          <w:sz w:val="32"/>
          <w:szCs w:val="32"/>
          <w:highlight w:val="none"/>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本单位当年无政府性基金预算财政拨款收入支出.</w:t>
      </w:r>
    </w:p>
    <w:p>
      <w:pPr>
        <w:ind w:firstLine="640"/>
        <w:jc w:val="both"/>
        <w:rPr>
          <w:rFonts w:hint="eastAsia" w:ascii="仿宋_GB2312" w:hAnsi="仿宋_GB2312" w:eastAsia="仿宋_GB2312" w:cs="仿宋_GB2312"/>
          <w:sz w:val="32"/>
          <w:szCs w:val="3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本单位当年无国有资本经营预算财政拨款支出。</w:t>
      </w:r>
    </w:p>
    <w:p>
      <w:pPr>
        <w:ind w:firstLine="640"/>
        <w:jc w:val="both"/>
        <w:rPr>
          <w:rFonts w:hint="eastAsia" w:ascii="仿宋_GB2312" w:hAnsi="仿宋_GB2312" w:eastAsia="仿宋_GB2312" w:cs="仿宋_GB2312"/>
          <w:color w:val="FF0000"/>
          <w:sz w:val="32"/>
          <w:szCs w:val="32"/>
          <w:u w:val="none"/>
          <w:lang w:val="en-US" w:eastAsia="zh-CN"/>
        </w:rPr>
      </w:pP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r>
        <w:rPr>
          <w:rFonts w:hint="eastAsia" w:ascii="楷体" w:hAnsi="楷体" w:eastAsia="楷体" w:cs="楷体"/>
          <w:b w:val="0"/>
          <w:bCs w:val="0"/>
          <w:color w:val="FF0000"/>
          <w:sz w:val="32"/>
          <w:szCs w:val="32"/>
          <w:highlight w:val="none"/>
          <w:u w:val="none"/>
          <w:lang w:val="en-US" w:eastAsia="zh-CN"/>
        </w:rPr>
        <w:t>(数字来源于</w:t>
      </w:r>
      <w:r>
        <w:rPr>
          <w:rFonts w:hint="eastAsia" w:ascii="楷体" w:hAnsi="楷体" w:eastAsia="楷体" w:cs="楷体"/>
          <w:b w:val="0"/>
          <w:bCs w:val="0"/>
          <w:color w:val="FF0000"/>
          <w:sz w:val="32"/>
          <w:szCs w:val="32"/>
          <w:highlight w:val="yellow"/>
          <w:u w:val="none"/>
          <w:lang w:val="en-US" w:eastAsia="zh-CN"/>
        </w:rPr>
        <w:t>公开06表公用经费栏</w:t>
      </w:r>
      <w:r>
        <w:rPr>
          <w:rFonts w:hint="eastAsia" w:ascii="楷体" w:hAnsi="楷体" w:eastAsia="楷体" w:cs="楷体"/>
          <w:b w:val="0"/>
          <w:bCs w:val="0"/>
          <w:color w:val="FF0000"/>
          <w:sz w:val="32"/>
          <w:szCs w:val="32"/>
          <w:highlight w:val="none"/>
          <w:u w:val="none"/>
          <w:lang w:val="en-US" w:eastAsia="zh-CN"/>
        </w:rPr>
        <w:t>）</w:t>
      </w:r>
    </w:p>
    <w:p>
      <w:pPr>
        <w:pStyle w:val="11"/>
        <w:rPr>
          <w:rFonts w:hint="default" w:ascii="仿宋_GB2312" w:eastAsia="仿宋_GB2312"/>
          <w:szCs w:val="32"/>
          <w:lang w:val="en-US" w:eastAsia="zh-CN"/>
        </w:rPr>
      </w:pPr>
      <w:r>
        <w:rPr>
          <w:rFonts w:hint="eastAsia" w:ascii="仿宋_GB2312" w:eastAsia="仿宋_GB2312"/>
          <w:szCs w:val="32"/>
        </w:rPr>
        <w:t>本部门 202</w:t>
      </w:r>
      <w:r>
        <w:rPr>
          <w:rFonts w:hint="eastAsia" w:ascii="仿宋_GB2312" w:eastAsia="仿宋_GB2312"/>
          <w:szCs w:val="32"/>
          <w:lang w:val="en-US" w:eastAsia="zh-CN"/>
        </w:rPr>
        <w:t>2</w:t>
      </w:r>
      <w:r>
        <w:rPr>
          <w:rFonts w:hint="eastAsia" w:ascii="仿宋_GB2312" w:eastAsia="仿宋_GB2312"/>
          <w:szCs w:val="32"/>
        </w:rPr>
        <w:t xml:space="preserve">年度机关运行经费支出 </w:t>
      </w:r>
      <w:r>
        <w:rPr>
          <w:rFonts w:hint="eastAsia" w:ascii="仿宋_GB2312" w:eastAsia="仿宋_GB2312"/>
          <w:szCs w:val="32"/>
          <w:lang w:val="en-US" w:eastAsia="zh-CN"/>
        </w:rPr>
        <w:t>128.3</w:t>
      </w:r>
      <w:r>
        <w:rPr>
          <w:rFonts w:hint="eastAsia" w:ascii="仿宋_GB2312" w:eastAsia="仿宋_GB2312"/>
          <w:szCs w:val="32"/>
        </w:rPr>
        <w:t xml:space="preserve"> 万元，比年初预算数</w:t>
      </w:r>
      <w:r>
        <w:rPr>
          <w:rFonts w:hint="eastAsia" w:ascii="仿宋_GB2312" w:eastAsia="仿宋_GB2312"/>
          <w:szCs w:val="32"/>
          <w:lang w:eastAsia="zh-CN"/>
        </w:rPr>
        <w:t>（或者上年决算数）</w:t>
      </w:r>
      <w:r>
        <w:rPr>
          <w:rFonts w:hint="eastAsia" w:ascii="仿宋_GB2312" w:eastAsia="仿宋_GB2312"/>
          <w:szCs w:val="32"/>
        </w:rPr>
        <w:t>增加（减少）</w:t>
      </w:r>
      <w:r>
        <w:rPr>
          <w:rFonts w:hint="eastAsia" w:ascii="仿宋_GB2312" w:eastAsia="仿宋_GB2312"/>
          <w:szCs w:val="32"/>
          <w:lang w:val="en-US" w:eastAsia="zh-CN"/>
        </w:rPr>
        <w:t>-51.4</w:t>
      </w:r>
      <w:r>
        <w:rPr>
          <w:rFonts w:hint="eastAsia" w:ascii="仿宋_GB2312" w:eastAsia="仿宋_GB2312"/>
          <w:szCs w:val="32"/>
        </w:rPr>
        <w:t xml:space="preserve"> 万元，增长（降低）</w:t>
      </w:r>
      <w:r>
        <w:rPr>
          <w:rFonts w:hint="eastAsia" w:ascii="仿宋_GB2312" w:hAnsi="仿宋_GB2312" w:eastAsia="仿宋_GB2312" w:cs="仿宋_GB2312"/>
          <w:bCs/>
          <w:kern w:val="44"/>
          <w:sz w:val="32"/>
          <w:szCs w:val="32"/>
          <w:highlight w:val="none"/>
          <w:u w:val="none"/>
          <w:lang w:val="en-US" w:eastAsia="zh-CN"/>
        </w:rPr>
        <w:t>59.9</w:t>
      </w:r>
      <w:r>
        <w:rPr>
          <w:rFonts w:hint="eastAsia" w:ascii="仿宋_GB2312" w:eastAsia="仿宋_GB2312"/>
          <w:szCs w:val="32"/>
        </w:rPr>
        <w:t>%。主要原因是：</w:t>
      </w:r>
      <w:r>
        <w:rPr>
          <w:rFonts w:hint="eastAsia" w:ascii="仿宋_GB2312" w:eastAsia="仿宋_GB2312"/>
          <w:szCs w:val="32"/>
          <w:lang w:val="en-US" w:eastAsia="zh-CN"/>
        </w:rPr>
        <w:t>减少了七人普专项工作。</w:t>
      </w: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pStyle w:val="11"/>
        <w:rPr>
          <w:rFonts w:hint="eastAsia" w:ascii="仿宋_GB2312" w:eastAsia="仿宋_GB2312" w:cs="宋体"/>
          <w:szCs w:val="32"/>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0</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0</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0</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w:t>
      </w:r>
    </w:p>
    <w:p>
      <w:pPr>
        <w:pStyle w:val="11"/>
        <w:rPr>
          <w:rFonts w:hint="eastAsia" w:ascii="仿宋_GB2312" w:eastAsia="仿宋_GB2312" w:cs="宋体"/>
          <w:szCs w:val="32"/>
          <w:lang w:val="en-US" w:eastAsia="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1"/>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0</w:t>
      </w:r>
      <w:r>
        <w:rPr>
          <w:rFonts w:hint="eastAsia" w:ascii="仿宋_GB2312" w:eastAsia="仿宋_GB2312" w:cs="宋体"/>
          <w:szCs w:val="32"/>
        </w:rPr>
        <w:t>辆，其中，副省级及以上领导干部用车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辆、主要领导干部用车</w:t>
      </w:r>
      <w:r>
        <w:rPr>
          <w:rFonts w:hint="eastAsia" w:ascii="仿宋_GB2312" w:eastAsia="仿宋_GB2312" w:cs="宋体"/>
          <w:szCs w:val="32"/>
          <w:lang w:val="en-US" w:eastAsia="zh-CN"/>
        </w:rPr>
        <w:t>0</w:t>
      </w:r>
      <w:r>
        <w:rPr>
          <w:rFonts w:hint="eastAsia" w:ascii="仿宋_GB2312" w:eastAsia="仿宋_GB2312" w:cs="宋体"/>
          <w:szCs w:val="32"/>
        </w:rPr>
        <w:t>辆、机要通信用车</w:t>
      </w:r>
      <w:r>
        <w:rPr>
          <w:rFonts w:hint="eastAsia" w:ascii="仿宋_GB2312" w:eastAsia="仿宋_GB2312" w:cs="宋体"/>
          <w:szCs w:val="32"/>
          <w:lang w:val="en-US" w:eastAsia="zh-CN"/>
        </w:rPr>
        <w:t>0</w:t>
      </w:r>
      <w:r>
        <w:rPr>
          <w:rFonts w:hint="eastAsia" w:ascii="仿宋_GB2312" w:eastAsia="仿宋_GB2312" w:cs="宋体"/>
          <w:szCs w:val="32"/>
        </w:rPr>
        <w:t>辆、应急保障用车</w:t>
      </w:r>
      <w:r>
        <w:rPr>
          <w:rFonts w:hint="eastAsia" w:ascii="仿宋_GB2312" w:eastAsia="仿宋_GB2312" w:cs="宋体"/>
          <w:szCs w:val="32"/>
          <w:lang w:val="en-US" w:eastAsia="zh-CN"/>
        </w:rPr>
        <w:t>0</w:t>
      </w:r>
      <w:r>
        <w:rPr>
          <w:rFonts w:hint="eastAsia" w:ascii="仿宋_GB2312" w:eastAsia="仿宋_GB2312" w:cs="宋体"/>
          <w:szCs w:val="32"/>
        </w:rPr>
        <w:t>辆、执法执勤用车</w:t>
      </w:r>
      <w:r>
        <w:rPr>
          <w:rFonts w:hint="eastAsia" w:ascii="仿宋_GB2312" w:eastAsia="仿宋_GB2312" w:cs="宋体"/>
          <w:szCs w:val="32"/>
          <w:lang w:val="en-US" w:eastAsia="zh-CN"/>
        </w:rPr>
        <w:t>0</w:t>
      </w:r>
      <w:r>
        <w:rPr>
          <w:rFonts w:hint="eastAsia" w:ascii="仿宋_GB2312" w:eastAsia="仿宋_GB2312" w:cs="宋体"/>
          <w:szCs w:val="32"/>
        </w:rPr>
        <w:t>辆、特种专业技术用车</w:t>
      </w:r>
      <w:r>
        <w:rPr>
          <w:rFonts w:hint="eastAsia" w:ascii="仿宋_GB2312" w:eastAsia="仿宋_GB2312" w:cs="宋体"/>
          <w:szCs w:val="32"/>
          <w:lang w:val="en-US" w:eastAsia="zh-CN"/>
        </w:rPr>
        <w:t>0</w:t>
      </w:r>
      <w:r>
        <w:rPr>
          <w:rFonts w:hint="eastAsia" w:ascii="仿宋_GB2312" w:eastAsia="仿宋_GB2312" w:cs="宋体"/>
          <w:szCs w:val="32"/>
        </w:rPr>
        <w:t>辆、其他用车</w:t>
      </w:r>
      <w:r>
        <w:rPr>
          <w:rFonts w:hint="eastAsia" w:ascii="仿宋_GB2312" w:eastAsia="仿宋_GB2312" w:cs="宋体"/>
          <w:szCs w:val="32"/>
          <w:lang w:val="en-US" w:eastAsia="zh-CN"/>
        </w:rPr>
        <w:t>0</w:t>
      </w:r>
      <w:r>
        <w:rPr>
          <w:rFonts w:hint="eastAsia" w:ascii="仿宋_GB2312" w:eastAsia="仿宋_GB2312" w:cs="宋体"/>
          <w:szCs w:val="32"/>
        </w:rPr>
        <w:t>辆；单位价值50万元以上通用设备</w:t>
      </w:r>
      <w:r>
        <w:rPr>
          <w:rFonts w:hint="eastAsia" w:ascii="仿宋_GB2312" w:eastAsia="仿宋_GB2312" w:cs="宋体"/>
          <w:szCs w:val="32"/>
          <w:lang w:val="en-US" w:eastAsia="zh-CN"/>
        </w:rPr>
        <w:t>0</w:t>
      </w:r>
      <w:r>
        <w:rPr>
          <w:rFonts w:hint="eastAsia" w:ascii="仿宋_GB2312" w:eastAsia="仿宋_GB2312" w:cs="宋体"/>
          <w:szCs w:val="32"/>
        </w:rPr>
        <w:t>台（套）；单位价值100万元以上专用设备</w:t>
      </w:r>
      <w:r>
        <w:rPr>
          <w:rFonts w:hint="eastAsia" w:ascii="仿宋_GB2312" w:eastAsia="仿宋_GB2312" w:cs="宋体"/>
          <w:szCs w:val="32"/>
          <w:lang w:val="en-US" w:eastAsia="zh-CN"/>
        </w:rPr>
        <w:t>0</w:t>
      </w:r>
      <w:r>
        <w:rPr>
          <w:rFonts w:hint="eastAsia" w:ascii="仿宋_GB2312" w:eastAsia="仿宋_GB2312" w:cs="宋体"/>
          <w:szCs w:val="32"/>
        </w:rPr>
        <w:t>台（套）。</w:t>
      </w:r>
    </w:p>
    <w:p>
      <w:pPr>
        <w:pStyle w:val="11"/>
        <w:rPr>
          <w:rFonts w:hint="eastAsia" w:ascii="仿宋_GB2312" w:eastAsia="仿宋_GB2312" w:cs="宋体"/>
          <w:szCs w:val="32"/>
        </w:rPr>
      </w:pPr>
    </w:p>
    <w:p>
      <w:pPr>
        <w:pStyle w:val="11"/>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X年度一般公共预算项目支出全面开展绩效自评，共涉及项目xx个，资金xx万元，占一般公共预算项目支出总额的xx％。从评价情况来看，……（请对自评项目情况进行综述）。</w:t>
      </w:r>
    </w:p>
    <w:p>
      <w:pPr>
        <w:spacing w:line="56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组织开展部门整体支出绩效评价，评价情况来看，……</w:t>
      </w:r>
    </w:p>
    <w:p>
      <w:pPr>
        <w:spacing w:line="560" w:lineRule="exact"/>
        <w:ind w:firstLine="640"/>
        <w:rPr>
          <w:rFonts w:hint="eastAsia" w:ascii="仿宋_GB2312" w:hAnsi="仿宋_GB2312" w:eastAsia="仿宋_GB2312" w:cs="仿宋_GB2312"/>
          <w:bCs/>
          <w:sz w:val="32"/>
          <w:szCs w:val="32"/>
          <w:u w:val="none"/>
          <w:lang w:eastAsia="zh-CN"/>
        </w:rPr>
      </w:pPr>
      <w:r>
        <w:rPr>
          <w:rFonts w:hint="eastAsia" w:ascii="仿宋_GB2312" w:hAnsi="仿宋" w:eastAsia="仿宋_GB2312" w:cs="仿宋"/>
          <w:sz w:val="32"/>
          <w:szCs w:val="32"/>
          <w:u w:val="none"/>
        </w:rPr>
        <w:t>（请对部门整体支出绩效评价情况进行综述，并将《</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年度XX部门整体绩效自评结果》的摘要版和《</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年度XX部门整体部门自评表》</w:t>
      </w:r>
      <w:r>
        <w:rPr>
          <w:rFonts w:hint="eastAsia" w:ascii="仿宋_GB2312" w:hAnsi="仿宋" w:eastAsia="仿宋_GB2312" w:cs="仿宋"/>
          <w:sz w:val="32"/>
          <w:szCs w:val="32"/>
          <w:u w:val="none"/>
          <w:lang w:eastAsia="zh-CN"/>
        </w:rPr>
        <w:t>作为附件附后</w:t>
      </w:r>
      <w:r>
        <w:rPr>
          <w:rFonts w:hint="eastAsia" w:ascii="仿宋_GB2312" w:hAnsi="仿宋" w:eastAsia="仿宋_GB2312" w:cs="仿宋"/>
          <w:sz w:val="32"/>
          <w:szCs w:val="32"/>
          <w:u w:val="none"/>
        </w:rPr>
        <w:t>）。</w:t>
      </w:r>
    </w:p>
    <w:p>
      <w:pPr>
        <w:pStyle w:val="11"/>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本部门今年在部门决算中反映所有项目绩效自评结果（涉密项目除外）。</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xx项目绩效自评综述：项目全年预算数为xx万元，执行数为xx万元，完成预算xx％。主要产出和效益：一是……；二是……。发现的问题及原因：一是……；二是……。下一步改进措施：一是……；二是……。</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（请对每个自评项目进行综述，并将《</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年度XX项目自评结果》的摘要版以及《</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年度XX项目自评表》</w:t>
      </w:r>
      <w:r>
        <w:rPr>
          <w:rFonts w:hint="eastAsia" w:ascii="仿宋_GB2312" w:hAnsi="仿宋" w:eastAsia="仿宋_GB2312" w:cs="仿宋"/>
          <w:sz w:val="32"/>
          <w:szCs w:val="32"/>
          <w:u w:val="none"/>
          <w:lang w:eastAsia="zh-CN"/>
        </w:rPr>
        <w:t>作为附件</w:t>
      </w:r>
      <w:r>
        <w:rPr>
          <w:rFonts w:hint="eastAsia" w:ascii="仿宋_GB2312" w:hAnsi="仿宋" w:eastAsia="仿宋_GB2312" w:cs="仿宋"/>
          <w:sz w:val="32"/>
          <w:szCs w:val="32"/>
          <w:u w:val="none"/>
        </w:rPr>
        <w:t>附</w:t>
      </w:r>
      <w:r>
        <w:rPr>
          <w:rFonts w:hint="eastAsia" w:ascii="仿宋_GB2312" w:hAnsi="仿宋" w:eastAsia="仿宋_GB2312" w:cs="仿宋"/>
          <w:sz w:val="32"/>
          <w:szCs w:val="32"/>
          <w:u w:val="none"/>
          <w:lang w:eastAsia="zh-CN"/>
        </w:rPr>
        <w:t>后</w:t>
      </w:r>
      <w:r>
        <w:rPr>
          <w:rFonts w:hint="eastAsia" w:ascii="仿宋_GB2312" w:hAnsi="仿宋" w:eastAsia="仿宋_GB2312" w:cs="仿宋"/>
          <w:sz w:val="32"/>
          <w:szCs w:val="32"/>
          <w:u w:val="none"/>
        </w:rPr>
        <w:t>）。</w:t>
      </w:r>
    </w:p>
    <w:p>
      <w:pPr>
        <w:spacing w:line="560" w:lineRule="exact"/>
        <w:ind w:firstLine="640"/>
        <w:rPr>
          <w:rFonts w:hint="eastAsia" w:ascii="仿宋_GB2312" w:hAnsi="仿宋_GB2312" w:eastAsia="仿宋_GB2312" w:cs="仿宋_GB2312"/>
          <w:sz w:val="32"/>
          <w:szCs w:val="32"/>
          <w:u w:val="none"/>
          <w:lang w:eastAsia="zh-CN"/>
        </w:rPr>
      </w:pPr>
      <w:r>
        <w:rPr>
          <w:rFonts w:hint="eastAsia" w:ascii="仿宋_GB2312" w:hAnsi="仿宋" w:eastAsia="仿宋_GB2312" w:cs="仿宋"/>
          <w:sz w:val="32"/>
          <w:szCs w:val="32"/>
          <w:u w:val="none"/>
        </w:rPr>
        <w:t>xx项目绩效自评综述……。</w:t>
      </w: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部门绩效评价结果应用情况。至部门决算公开时已经应用的情况。例如：加强项目规划、绩效目标管理、完善项目分配办法和管理办法、加强项目管理、结果与预算安排相结合等。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部门绩效评价结果拟应用情况。至部门决算公开时还未应用但拟应用的情况。例如：加强项目规划、绩效目标管理、完善项目分配办法和管理办法、加强项目管理、结果与预算安排相结合等。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该项名词解</w:t>
      </w:r>
      <w:r>
        <w:rPr>
          <w:rFonts w:hint="eastAsia" w:ascii="仿宋_GB2312" w:hAnsi="宋体" w:eastAsia="仿宋_GB2312"/>
          <w:sz w:val="32"/>
          <w:szCs w:val="32"/>
          <w:highlight w:val="none"/>
          <w:u w:val="none"/>
        </w:rPr>
        <w:t>释</w:t>
      </w:r>
      <w:r>
        <w:rPr>
          <w:rFonts w:hint="eastAsia" w:ascii="仿宋_GB2312" w:hAnsi="宋体" w:eastAsia="仿宋_GB2312"/>
          <w:sz w:val="32"/>
          <w:szCs w:val="32"/>
          <w:highlight w:val="none"/>
          <w:u w:val="none"/>
          <w:lang w:eastAsia="zh-CN"/>
        </w:rPr>
        <w:t>中“上述……等收入”请依据部门收入的实际情况进行</w:t>
      </w:r>
      <w:r>
        <w:rPr>
          <w:rFonts w:hint="eastAsia" w:ascii="仿宋_GB2312" w:hAnsi="宋体" w:eastAsia="仿宋_GB2312"/>
          <w:sz w:val="32"/>
          <w:szCs w:val="32"/>
          <w:highlight w:val="none"/>
          <w:u w:val="none"/>
          <w:lang w:val="en-US" w:eastAsia="zh-CN"/>
        </w:rPr>
        <w:t>解</w:t>
      </w:r>
      <w:r>
        <w:rPr>
          <w:rFonts w:hint="eastAsia" w:ascii="仿宋_GB2312" w:hAnsi="宋体" w:eastAsia="仿宋_GB2312"/>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rPr>
      </w:pPr>
      <w:r>
        <w:rPr>
          <w:rFonts w:hint="eastAsia" w:ascii="仿宋_GB2312" w:eastAsia="仿宋_GB2312"/>
          <w:bCs/>
          <w:kern w:val="44"/>
          <w:sz w:val="32"/>
          <w:szCs w:val="32"/>
          <w:highlight w:val="none"/>
          <w:u w:val="none"/>
        </w:rPr>
        <w:t>1.</w:t>
      </w:r>
      <w:r>
        <w:rPr>
          <w:rFonts w:hint="eastAsia" w:ascii="仿宋_GB2312" w:eastAsia="仿宋_GB2312"/>
          <w:sz w:val="32"/>
          <w:szCs w:val="32"/>
          <w:highlight w:val="none"/>
          <w:u w:val="none"/>
        </w:rPr>
        <w:t>一般公共服务(类)财政事务(款)行政运行(项)</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2.…</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二、2022年度XX项目绩效评价报告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三、……</w:t>
      </w:r>
    </w:p>
    <w:p>
      <w:pPr>
        <w:bidi w:val="0"/>
        <w:rPr>
          <w:rFonts w:hint="default"/>
          <w:u w:val="none"/>
          <w:lang w:val="en-US" w:eastAsia="zh-CN"/>
        </w:rPr>
      </w:pPr>
    </w:p>
    <w:p>
      <w:pPr>
        <w:pStyle w:val="11"/>
        <w:rPr>
          <w:rFonts w:hint="eastAsia" w:ascii="仿宋_GB2312" w:eastAsia="仿宋_GB2312" w:cs="宋体"/>
          <w:szCs w:val="32"/>
          <w:lang w:val="en-US" w:eastAsia="zh-CN"/>
        </w:rPr>
      </w:pPr>
    </w:p>
    <w:p>
      <w:pPr>
        <w:ind w:firstLine="640"/>
        <w:jc w:val="both"/>
        <w:rPr>
          <w:rFonts w:hint="default" w:ascii="仿宋_GB2312" w:hAnsi="仿宋_GB2312" w:eastAsia="仿宋_GB2312" w:cs="仿宋_GB2312"/>
          <w:sz w:val="32"/>
          <w:szCs w:val="3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楷体" w:hAnsi="楷体" w:eastAsia="楷体" w:cs="楷体"/>
          <w:bCs/>
          <w:kern w:val="44"/>
          <w:sz w:val="32"/>
          <w:szCs w:val="32"/>
          <w:highlight w:val="none"/>
          <w:u w:val="none"/>
          <w:lang w:val="en-US" w:eastAsia="zh-CN"/>
        </w:rPr>
      </w:pPr>
    </w:p>
    <w:p>
      <w:pPr>
        <w:numPr>
          <w:ilvl w:val="0"/>
          <w:numId w:val="0"/>
        </w:numPr>
        <w:bidi w:val="0"/>
        <w:ind w:firstLine="640" w:firstLineChars="200"/>
        <w:rPr>
          <w:rFonts w:hint="default" w:ascii="楷体" w:hAnsi="楷体" w:eastAsia="楷体" w:cs="楷体"/>
          <w:b w:val="0"/>
          <w:bCs w:val="0"/>
          <w:sz w:val="32"/>
          <w:szCs w:val="32"/>
          <w:highlight w:val="none"/>
          <w:u w:val="none"/>
          <w:lang w:val="en-US" w:eastAsia="zh-CN"/>
        </w:rPr>
      </w:pPr>
    </w:p>
    <w:p>
      <w:pPr>
        <w:numPr>
          <w:ilvl w:val="0"/>
          <w:numId w:val="0"/>
        </w:numPr>
        <w:bidi w:val="0"/>
        <w:rPr>
          <w:rFonts w:hint="eastAsia" w:ascii="楷体_GB2312" w:hAnsi="楷体_GB2312" w:eastAsia="楷体_GB2312" w:cs="楷体_GB2312"/>
          <w:bCs/>
          <w:kern w:val="44"/>
          <w:sz w:val="32"/>
          <w:szCs w:val="32"/>
          <w:highlight w:val="none"/>
          <w:lang w:eastAsia="zh-CN"/>
        </w:rPr>
      </w:pPr>
    </w:p>
    <w:p>
      <w:pPr>
        <w:numPr>
          <w:ilvl w:val="0"/>
          <w:numId w:val="0"/>
        </w:numPr>
        <w:bidi w:val="0"/>
        <w:ind w:left="640" w:leftChars="0"/>
        <w:rPr>
          <w:rFonts w:hint="default" w:ascii="楷体_GB2312" w:hAnsi="楷体_GB2312" w:eastAsia="楷体_GB2312" w:cs="楷体_GB2312"/>
          <w:bCs/>
          <w:kern w:val="44"/>
          <w:sz w:val="32"/>
          <w:szCs w:val="32"/>
          <w:highlight w:val="none"/>
          <w:lang w:val="en-US" w:eastAsia="zh-CN"/>
        </w:rPr>
      </w:pPr>
    </w:p>
    <w:p>
      <w:pPr>
        <w:numPr>
          <w:ilvl w:val="0"/>
          <w:numId w:val="0"/>
        </w:numPr>
        <w:bidi w:val="0"/>
        <w:ind w:leftChars="3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BB01"/>
    <w:multiLevelType w:val="singleLevel"/>
    <w:tmpl w:val="1957BB01"/>
    <w:lvl w:ilvl="0" w:tentative="0">
      <w:start w:val="5"/>
      <w:numFmt w:val="chineseCounting"/>
      <w:suff w:val="nothing"/>
      <w:lvlText w:val="%1、"/>
      <w:lvlJc w:val="left"/>
      <w:rPr>
        <w:rFonts w:hint="eastAsia"/>
      </w:rPr>
    </w:lvl>
  </w:abstractNum>
  <w:abstractNum w:abstractNumId="1">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jkwY2UzN2U5OWVlMTk1MzJkMjk1NDY0MWNhNGUifQ=="/>
  </w:docVars>
  <w:rsids>
    <w:rsidRoot w:val="00000000"/>
    <w:rsid w:val="088A1BF0"/>
    <w:rsid w:val="0C023101"/>
    <w:rsid w:val="0DD56120"/>
    <w:rsid w:val="1A05549C"/>
    <w:rsid w:val="1E085F02"/>
    <w:rsid w:val="234B611B"/>
    <w:rsid w:val="25E30D1D"/>
    <w:rsid w:val="263C0693"/>
    <w:rsid w:val="2F2035FE"/>
    <w:rsid w:val="38563836"/>
    <w:rsid w:val="44C54FCA"/>
    <w:rsid w:val="46206CE3"/>
    <w:rsid w:val="46D043AC"/>
    <w:rsid w:val="4BAF7AD9"/>
    <w:rsid w:val="4D664345"/>
    <w:rsid w:val="4E4E19C6"/>
    <w:rsid w:val="52471974"/>
    <w:rsid w:val="6A9307EB"/>
    <w:rsid w:val="6B833097"/>
    <w:rsid w:val="706B3DB7"/>
    <w:rsid w:val="752D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styleId="9">
    <w:name w:val="List Paragraph"/>
    <w:basedOn w:val="1"/>
    <w:unhideWhenUsed/>
    <w:qFormat/>
    <w:uiPriority w:val="99"/>
    <w:pPr>
      <w:ind w:firstLine="420" w:firstLineChars="200"/>
    </w:pPr>
  </w:style>
  <w:style w:type="paragraph" w:customStyle="1" w:styleId="10">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8082</Words>
  <Characters>8811</Characters>
  <Lines>0</Lines>
  <Paragraphs>0</Paragraphs>
  <TotalTime>0</TotalTime>
  <ScaleCrop>false</ScaleCrop>
  <LinksUpToDate>false</LinksUpToDate>
  <CharactersWithSpaces>9164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biubiu</cp:lastModifiedBy>
  <dcterms:modified xsi:type="dcterms:W3CDTF">2023-09-21T10:44:49Z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49E575BFEF8448DD9AAC55E2D24E5C08_12</vt:lpwstr>
  </property>
</Properties>
</file>