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bdr w:val="none" w:color="auto" w:sz="0" w:space="0"/>
          <w:shd w:val="clear" w:fill="FFFFFF"/>
          <w:lang w:eastAsia="zh-CN"/>
        </w:rPr>
        <w:t>团委</w:t>
      </w:r>
      <w:r>
        <w:rPr>
          <w:rFonts w:hint="eastAsia" w:ascii="微软雅黑" w:hAnsi="微软雅黑" w:eastAsia="微软雅黑" w:cs="微软雅黑"/>
          <w:b/>
          <w:i w:val="0"/>
          <w:caps w:val="0"/>
          <w:color w:val="BC1010"/>
          <w:spacing w:val="0"/>
          <w:sz w:val="40"/>
          <w:szCs w:val="40"/>
          <w:bdr w:val="none" w:color="auto" w:sz="0" w:space="0"/>
          <w:shd w:val="clear" w:fill="FFFFFF"/>
        </w:rPr>
        <w:t>2017年决算公开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lang w:eastAsia="zh-CN"/>
        </w:rPr>
        <w:t>黄石港区团委</w:t>
      </w:r>
      <w:r>
        <w:rPr>
          <w:rStyle w:val="5"/>
          <w:rFonts w:hint="eastAsia" w:ascii="微软雅黑" w:hAnsi="微软雅黑" w:eastAsia="微软雅黑" w:cs="微软雅黑"/>
          <w:i w:val="0"/>
          <w:caps w:val="0"/>
          <w:color w:val="333333"/>
          <w:spacing w:val="0"/>
          <w:sz w:val="24"/>
          <w:szCs w:val="24"/>
          <w:bdr w:val="none" w:color="auto" w:sz="0" w:space="0"/>
          <w:shd w:val="clear" w:fill="FFFFFF"/>
        </w:rPr>
        <w:t>2017年决算公开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第一部分:部门基本情况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第二部分: 部门2017年部门决算表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一、收入支出决算总表（表1）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二、收入决算表（表2）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三、支出决算表（表3）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四、财政拨款收入支出决算总表（表4）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五、一般公共预算财政拨款支出决算表（表5）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六、一般公共预算财政拨款基本支出决算表（表6）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七、一般公共预算财政拨款“三公”经费支出决算表（表7）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八、政府性基金预算财政拨款收入支出决算表（8）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九、政府性基金预算财政拨款“三公”支出决算表（9）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第三部分：部门2017年部门决算情况说明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九、政府性基金预算财政拨款“三公”支出决算情况说明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第四部分：名词解释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2017年部门决算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一、部门概况</w:t>
      </w:r>
    </w:p>
    <w:p>
      <w:pPr>
        <w:spacing w:line="520" w:lineRule="exact"/>
        <w:rPr>
          <w:rFonts w:hint="eastAsia" w:hAnsi="宋体"/>
          <w:b/>
          <w:color w:val="000000"/>
          <w:spacing w:val="2"/>
          <w:sz w:val="28"/>
          <w:szCs w:val="28"/>
        </w:rPr>
      </w:pPr>
      <w:r>
        <w:rPr>
          <w:rFonts w:hint="eastAsia" w:hAnsi="宋体" w:eastAsia="微软雅黑"/>
          <w:b/>
          <w:color w:val="000000"/>
          <w:spacing w:val="2"/>
          <w:sz w:val="28"/>
          <w:szCs w:val="28"/>
          <w:lang w:val="en-US" w:eastAsia="zh-CN"/>
        </w:rPr>
        <w:t>1</w:t>
      </w:r>
      <w:r>
        <w:rPr>
          <w:rFonts w:hint="eastAsia" w:hAnsi="宋体"/>
          <w:b/>
          <w:color w:val="000000"/>
          <w:spacing w:val="2"/>
          <w:sz w:val="28"/>
          <w:szCs w:val="28"/>
        </w:rPr>
        <w:t>、主要职能</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sz w:val="28"/>
          <w:szCs w:val="28"/>
        </w:rPr>
        <w:t>共青团黄石港区委位于黄石市磁湖路180号。共青团黄石港区委</w:t>
      </w:r>
      <w:r>
        <w:rPr>
          <w:rFonts w:hint="eastAsia" w:ascii="宋体" w:hAnsi="宋体" w:cs="宋体"/>
          <w:kern w:val="0"/>
          <w:sz w:val="28"/>
          <w:szCs w:val="28"/>
          <w:lang w:val="zh-CN"/>
        </w:rPr>
        <w:t>是中国共产党领导的一个由信仰共产主义的中国青年组成的群众性组织。共青团中央委员会受中共中央委员会领导，共青团的地方各级组织受同级党的委员会领导，同时受共青团上级组织领导。</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团区委办公室主要工作任务是：</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1.领导全区共青团工作、青年工作，领导和指导区青联、学联和少先队工作的职权，对全区性青少年社团组织进行指导和管理。 </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2.负责区未成年人保护委员会、区综治委预防青少年违法犯罪工作领导小组、区青年创业就业促进中心、区志愿者指导中心的日常工作。 </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3.负责指导并组织全区青少年的宣传文化、思想理论教育主题活动和青少年活动阵地建设；培养、选拔、表彰优秀青年的工作。 </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4.组织团员青年在全区经济、政治、社会、文化、生态文明建设中发挥生力军和突击队作用，完成区委、区政府和团市委部署的以青少年为主体的各项任务。 </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5.组织实施改善青少年群体民生、维护青少年合法权益的各项工作。 </w:t>
      </w:r>
    </w:p>
    <w:p>
      <w:pPr>
        <w:autoSpaceDE w:val="0"/>
        <w:autoSpaceDN w:val="0"/>
        <w:adjustRightInd w:val="0"/>
        <w:ind w:firstLine="560" w:firstLineChars="200"/>
        <w:jc w:val="left"/>
        <w:rPr>
          <w:rFonts w:hint="eastAsia"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.负责全区团的组织建设，协助党组织管理、选拔和培训团干部和青少年工作者。 </w:t>
      </w:r>
    </w:p>
    <w:p>
      <w:pPr>
        <w:autoSpaceDE w:val="0"/>
        <w:autoSpaceDN w:val="0"/>
        <w:adjustRightInd w:val="0"/>
        <w:jc w:val="left"/>
        <w:rPr>
          <w:rFonts w:hint="eastAsia" w:ascii="宋体" w:hAnsi="宋体" w:cs="宋体"/>
          <w:kern w:val="0"/>
          <w:sz w:val="28"/>
          <w:szCs w:val="28"/>
          <w:lang w:val="zh-CN"/>
        </w:rPr>
      </w:pPr>
      <w:r>
        <w:rPr>
          <w:rFonts w:hint="eastAsia" w:ascii="宋体" w:hAnsi="宋体" w:cs="宋体"/>
          <w:kern w:val="0"/>
          <w:sz w:val="28"/>
          <w:szCs w:val="28"/>
        </w:rPr>
        <w:t xml:space="preserve">    7</w:t>
      </w:r>
      <w:r>
        <w:rPr>
          <w:rFonts w:hint="eastAsia" w:ascii="宋体" w:hAnsi="宋体" w:cs="宋体"/>
          <w:kern w:val="0"/>
          <w:sz w:val="28"/>
          <w:szCs w:val="28"/>
          <w:lang w:val="zh-CN"/>
        </w:rPr>
        <w:t>.承办其他区委、区政府和团市委交办的有关事项。</w:t>
      </w:r>
    </w:p>
    <w:p>
      <w:pPr>
        <w:spacing w:line="520" w:lineRule="exact"/>
        <w:rPr>
          <w:rFonts w:hint="eastAsia" w:hAnsi="宋体"/>
          <w:b/>
          <w:color w:val="000000"/>
          <w:spacing w:val="2"/>
          <w:sz w:val="28"/>
          <w:szCs w:val="28"/>
        </w:rPr>
      </w:pPr>
      <w:r>
        <w:rPr>
          <w:rFonts w:hint="eastAsia" w:hAnsi="宋体"/>
          <w:b/>
          <w:color w:val="000000"/>
          <w:spacing w:val="2"/>
          <w:sz w:val="28"/>
          <w:szCs w:val="28"/>
          <w:lang w:val="en-US" w:eastAsia="zh-CN"/>
        </w:rPr>
        <w:t>2</w:t>
      </w:r>
      <w:r>
        <w:rPr>
          <w:rFonts w:hint="eastAsia" w:hAnsi="宋体"/>
          <w:b/>
          <w:color w:val="000000"/>
          <w:spacing w:val="2"/>
          <w:sz w:val="28"/>
          <w:szCs w:val="28"/>
        </w:rPr>
        <w:t>、部门情况</w:t>
      </w:r>
    </w:p>
    <w:p>
      <w:pPr>
        <w:widowControl/>
        <w:shd w:val="clear" w:color="auto" w:fill="FFFFFF"/>
        <w:snapToGrid w:val="0"/>
        <w:spacing w:line="560" w:lineRule="atLeast"/>
        <w:jc w:val="left"/>
        <w:rPr>
          <w:rFonts w:hint="eastAsia"/>
          <w:color w:val="000000"/>
          <w:spacing w:val="2"/>
          <w:sz w:val="28"/>
          <w:szCs w:val="28"/>
        </w:rPr>
      </w:pPr>
      <w:r>
        <w:rPr>
          <w:rFonts w:hint="eastAsia"/>
          <w:color w:val="000000"/>
          <w:spacing w:val="2"/>
          <w:sz w:val="28"/>
          <w:szCs w:val="28"/>
        </w:rPr>
        <w:t xml:space="preserve"> </w:t>
      </w:r>
      <w:r>
        <w:rPr>
          <w:rFonts w:hint="eastAsia" w:ascii="宋体" w:hAnsi="宋体" w:cs="Tahoma"/>
          <w:color w:val="333333"/>
          <w:kern w:val="0"/>
          <w:sz w:val="28"/>
          <w:szCs w:val="28"/>
        </w:rPr>
        <w:t>下设办公室</w:t>
      </w:r>
      <w:r>
        <w:rPr>
          <w:rFonts w:hint="eastAsia" w:ascii="宋体" w:hAnsi="宋体" w:cs="Tahoma"/>
          <w:color w:val="333333"/>
          <w:kern w:val="0"/>
          <w:sz w:val="28"/>
          <w:szCs w:val="28"/>
          <w:lang w:eastAsia="zh-CN"/>
        </w:rPr>
        <w:t>，</w:t>
      </w:r>
      <w:r>
        <w:rPr>
          <w:rFonts w:hint="eastAsia" w:hAnsi="宋体"/>
          <w:color w:val="000000"/>
          <w:spacing w:val="2"/>
          <w:sz w:val="28"/>
          <w:szCs w:val="28"/>
        </w:rPr>
        <w:t>政编制</w:t>
      </w:r>
      <w:r>
        <w:rPr>
          <w:rFonts w:hint="eastAsia"/>
          <w:color w:val="000000"/>
          <w:spacing w:val="2"/>
          <w:sz w:val="28"/>
          <w:szCs w:val="28"/>
          <w:lang w:val="en-US" w:eastAsia="zh-CN"/>
        </w:rPr>
        <w:t>1</w:t>
      </w:r>
      <w:r>
        <w:rPr>
          <w:rFonts w:hint="eastAsia" w:hAnsi="宋体"/>
          <w:color w:val="000000"/>
          <w:spacing w:val="2"/>
          <w:sz w:val="28"/>
          <w:szCs w:val="28"/>
        </w:rPr>
        <w:t>个</w:t>
      </w:r>
      <w:r>
        <w:rPr>
          <w:rFonts w:hint="eastAsia" w:hAnsi="宋体"/>
          <w:color w:val="000000"/>
          <w:spacing w:val="2"/>
          <w:sz w:val="28"/>
          <w:szCs w:val="28"/>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二、2017年部门决算表</w:t>
      </w:r>
    </w:p>
    <w:tbl>
      <w:tblPr>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993"/>
        <w:gridCol w:w="542"/>
        <w:gridCol w:w="1995"/>
        <w:gridCol w:w="2107"/>
        <w:gridCol w:w="542"/>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1993" w:type="dxa"/>
            <w:shd w:val="clear" w:color="auto" w:fill="FFFFFF"/>
            <w:vAlign w:val="center"/>
          </w:tcPr>
          <w:p>
            <w:pPr>
              <w:jc w:val="left"/>
              <w:rPr>
                <w:rFonts w:hint="eastAsia" w:ascii="宋体" w:hAnsi="宋体" w:eastAsia="宋体" w:cs="宋体"/>
                <w:i w:val="0"/>
                <w:color w:val="000000"/>
                <w:sz w:val="18"/>
                <w:szCs w:val="18"/>
                <w:u w:val="none"/>
              </w:rPr>
            </w:pPr>
          </w:p>
        </w:tc>
        <w:tc>
          <w:tcPr>
            <w:tcW w:w="542" w:type="dxa"/>
            <w:shd w:val="clear" w:color="auto" w:fill="FFFFFF"/>
            <w:vAlign w:val="center"/>
          </w:tcPr>
          <w:p>
            <w:pPr>
              <w:jc w:val="left"/>
              <w:rPr>
                <w:rFonts w:hint="eastAsia" w:ascii="宋体" w:hAnsi="宋体" w:eastAsia="宋体" w:cs="宋体"/>
                <w:i w:val="0"/>
                <w:color w:val="000000"/>
                <w:sz w:val="18"/>
                <w:szCs w:val="18"/>
                <w:u w:val="none"/>
              </w:rPr>
            </w:pPr>
          </w:p>
        </w:tc>
        <w:tc>
          <w:tcPr>
            <w:tcW w:w="1995" w:type="dxa"/>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c>
          <w:tcPr>
            <w:tcW w:w="2107" w:type="dxa"/>
            <w:shd w:val="clear" w:color="auto" w:fill="FFFFFF"/>
            <w:vAlign w:val="center"/>
          </w:tcPr>
          <w:p>
            <w:pPr>
              <w:jc w:val="left"/>
              <w:rPr>
                <w:rFonts w:hint="eastAsia" w:ascii="宋体" w:hAnsi="宋体" w:eastAsia="宋体" w:cs="宋体"/>
                <w:i w:val="0"/>
                <w:color w:val="000000"/>
                <w:sz w:val="18"/>
                <w:szCs w:val="18"/>
                <w:u w:val="none"/>
              </w:rPr>
            </w:pPr>
          </w:p>
        </w:tc>
        <w:tc>
          <w:tcPr>
            <w:tcW w:w="542" w:type="dxa"/>
            <w:shd w:val="clear" w:color="auto" w:fill="FFFFFF"/>
            <w:vAlign w:val="center"/>
          </w:tcPr>
          <w:p>
            <w:pPr>
              <w:jc w:val="left"/>
              <w:rPr>
                <w:rFonts w:hint="eastAsia" w:ascii="宋体" w:hAnsi="宋体" w:eastAsia="宋体" w:cs="宋体"/>
                <w:i w:val="0"/>
                <w:color w:val="000000"/>
                <w:sz w:val="18"/>
                <w:szCs w:val="18"/>
                <w:u w:val="none"/>
              </w:rPr>
            </w:pPr>
          </w:p>
        </w:tc>
        <w:tc>
          <w:tcPr>
            <w:tcW w:w="1729" w:type="dxa"/>
            <w:tcBorders>
              <w:right w:val="single" w:color="808080" w:sz="4" w:space="0"/>
            </w:tcBorders>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shd w:val="clear" w:color="auto" w:fill="FFFFFF"/>
            <w:vAlign w:val="center"/>
          </w:tcPr>
          <w:p>
            <w:pPr>
              <w:jc w:val="left"/>
              <w:rPr>
                <w:rFonts w:hint="eastAsia" w:ascii="宋体" w:hAnsi="宋体" w:eastAsia="宋体" w:cs="宋体"/>
                <w:i w:val="0"/>
                <w:color w:val="000000"/>
                <w:sz w:val="18"/>
                <w:szCs w:val="18"/>
                <w:u w:val="none"/>
              </w:rPr>
            </w:pPr>
          </w:p>
        </w:tc>
        <w:tc>
          <w:tcPr>
            <w:tcW w:w="542" w:type="dxa"/>
            <w:shd w:val="clear" w:color="auto" w:fill="FFFFFF"/>
            <w:vAlign w:val="center"/>
          </w:tcPr>
          <w:p>
            <w:pPr>
              <w:jc w:val="left"/>
              <w:rPr>
                <w:rFonts w:hint="eastAsia" w:ascii="宋体" w:hAnsi="宋体" w:eastAsia="宋体" w:cs="宋体"/>
                <w:i w:val="0"/>
                <w:color w:val="000000"/>
                <w:sz w:val="18"/>
                <w:szCs w:val="18"/>
                <w:u w:val="none"/>
              </w:rPr>
            </w:pPr>
          </w:p>
        </w:tc>
        <w:tc>
          <w:tcPr>
            <w:tcW w:w="1995" w:type="dxa"/>
            <w:shd w:val="clear" w:color="auto" w:fill="FFFFFF"/>
            <w:vAlign w:val="center"/>
          </w:tcPr>
          <w:p>
            <w:pPr>
              <w:jc w:val="left"/>
              <w:rPr>
                <w:rFonts w:hint="eastAsia" w:ascii="宋体" w:hAnsi="宋体" w:eastAsia="宋体" w:cs="宋体"/>
                <w:i w:val="0"/>
                <w:color w:val="000000"/>
                <w:sz w:val="18"/>
                <w:szCs w:val="18"/>
                <w:u w:val="none"/>
              </w:rPr>
            </w:pPr>
          </w:p>
        </w:tc>
        <w:tc>
          <w:tcPr>
            <w:tcW w:w="2107" w:type="dxa"/>
            <w:shd w:val="clear" w:color="auto" w:fill="FFFFFF"/>
            <w:vAlign w:val="center"/>
          </w:tcPr>
          <w:p>
            <w:pPr>
              <w:jc w:val="left"/>
              <w:rPr>
                <w:rFonts w:hint="eastAsia" w:ascii="宋体" w:hAnsi="宋体" w:eastAsia="宋体" w:cs="宋体"/>
                <w:i w:val="0"/>
                <w:color w:val="000000"/>
                <w:sz w:val="18"/>
                <w:szCs w:val="18"/>
                <w:u w:val="none"/>
              </w:rPr>
            </w:pPr>
          </w:p>
        </w:tc>
        <w:tc>
          <w:tcPr>
            <w:tcW w:w="542" w:type="dxa"/>
            <w:shd w:val="clear" w:color="auto" w:fill="FFFFFF"/>
            <w:vAlign w:val="center"/>
          </w:tcPr>
          <w:p>
            <w:pPr>
              <w:jc w:val="left"/>
              <w:rPr>
                <w:rFonts w:hint="eastAsia" w:ascii="宋体" w:hAnsi="宋体" w:eastAsia="宋体" w:cs="宋体"/>
                <w:i w:val="0"/>
                <w:color w:val="000000"/>
                <w:sz w:val="18"/>
                <w:szCs w:val="18"/>
                <w:u w:val="none"/>
              </w:rPr>
            </w:pPr>
          </w:p>
        </w:tc>
        <w:tc>
          <w:tcPr>
            <w:tcW w:w="1729" w:type="dxa"/>
            <w:tcBorders>
              <w:right w:val="single" w:color="80808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bottom w:val="single" w:color="80808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部门：中国共产主义青年团湖北省黄石市黄石港区委员会</w:t>
            </w:r>
          </w:p>
        </w:tc>
        <w:tc>
          <w:tcPr>
            <w:tcW w:w="542" w:type="dxa"/>
            <w:tcBorders>
              <w:bottom w:val="single" w:color="80808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995" w:type="dxa"/>
            <w:tcBorders>
              <w:bottom w:val="single" w:color="80808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2017年度</w:t>
            </w:r>
          </w:p>
        </w:tc>
        <w:tc>
          <w:tcPr>
            <w:tcW w:w="2107" w:type="dxa"/>
            <w:tcBorders>
              <w:bottom w:val="single" w:color="80808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542" w:type="dxa"/>
            <w:tcBorders>
              <w:bottom w:val="single" w:color="80808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729" w:type="dxa"/>
            <w:tcBorders>
              <w:bottom w:val="single" w:color="808080" w:sz="4" w:space="0"/>
              <w:right w:val="single" w:color="80808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530" w:type="dxa"/>
            <w:gridSpan w:val="3"/>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378" w:type="dxa"/>
            <w:gridSpan w:val="3"/>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95"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29" w:type="dxa"/>
            <w:tcBorders>
              <w:bottom w:val="single" w:color="000000" w:sz="4" w:space="0"/>
              <w:right w:val="single" w:color="000000" w:sz="1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42"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995"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42"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729" w:type="dxa"/>
            <w:tcBorders>
              <w:bottom w:val="single" w:color="000000" w:sz="4" w:space="0"/>
              <w:right w:val="single" w:color="000000" w:sz="1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24.38</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其中：政府性基金预算财政拨款</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0.98</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七、文化体育与传媒支出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九、医疗卫生与计划生育支出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十八、国土海洋气象等支出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二十一、其他支出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29" w:type="dxa"/>
            <w:tcBorders>
              <w:bottom w:val="single" w:color="000000" w:sz="4" w:space="0"/>
              <w:right w:val="single" w:color="000000" w:sz="18" w:space="0"/>
            </w:tcBorders>
            <w:shd w:val="clear" w:color="auto" w:fill="00FF0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二十二、债务还本支出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29" w:type="dxa"/>
            <w:tcBorders>
              <w:bottom w:val="single" w:color="000000" w:sz="4" w:space="0"/>
              <w:right w:val="single" w:color="000000" w:sz="18" w:space="0"/>
            </w:tcBorders>
            <w:shd w:val="clear" w:color="auto" w:fill="00FF0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二十三、债务付息支出</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29" w:type="dxa"/>
            <w:tcBorders>
              <w:bottom w:val="single" w:color="000000" w:sz="4" w:space="0"/>
              <w:right w:val="single" w:color="000000" w:sz="18" w:space="0"/>
            </w:tcBorders>
            <w:shd w:val="clear" w:color="auto" w:fill="00FF00"/>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9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2107"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29" w:type="dxa"/>
            <w:tcBorders>
              <w:bottom w:val="single" w:color="000000" w:sz="4"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9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107"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29" w:type="dxa"/>
            <w:tcBorders>
              <w:bottom w:val="single" w:color="000000" w:sz="4" w:space="0"/>
              <w:right w:val="single" w:color="000000" w:sz="18"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93" w:type="dxa"/>
            <w:tcBorders>
              <w:left w:val="single" w:color="000000" w:sz="18" w:space="0"/>
              <w:bottom w:val="single" w:color="000000" w:sz="18"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42" w:type="dxa"/>
            <w:tcBorders>
              <w:bottom w:val="single" w:color="000000" w:sz="18"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995" w:type="dxa"/>
            <w:tcBorders>
              <w:bottom w:val="single" w:color="000000" w:sz="18"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30.48</w:t>
            </w:r>
          </w:p>
        </w:tc>
        <w:tc>
          <w:tcPr>
            <w:tcW w:w="2107" w:type="dxa"/>
            <w:tcBorders>
              <w:bottom w:val="single" w:color="000000" w:sz="18"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42" w:type="dxa"/>
            <w:tcBorders>
              <w:bottom w:val="single" w:color="000000" w:sz="18"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29" w:type="dxa"/>
            <w:tcBorders>
              <w:bottom w:val="single" w:color="000000" w:sz="18" w:space="0"/>
              <w:right w:val="single" w:color="000000" w:sz="1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1" w:hRule="atLeast"/>
        </w:trPr>
        <w:tc>
          <w:tcPr>
            <w:tcW w:w="8908"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both"/>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8885" cy="1806575"/>
            <wp:effectExtent l="0" t="0" r="18415"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
                    <a:stretch>
                      <a:fillRect/>
                    </a:stretch>
                  </pic:blipFill>
                  <pic:spPr>
                    <a:xfrm>
                      <a:off x="0" y="0"/>
                      <a:ext cx="8858885" cy="1806575"/>
                    </a:xfrm>
                    <a:prstGeom prst="rect">
                      <a:avLst/>
                    </a:prstGeom>
                    <a:noFill/>
                    <a:ln w="9525">
                      <a:noFill/>
                    </a:ln>
                  </pic:spPr>
                </pic:pic>
              </a:graphicData>
            </a:graphic>
          </wp:inline>
        </w:drawing>
      </w:r>
      <w:r>
        <w:drawing>
          <wp:inline distT="0" distB="0" distL="114300" distR="114300">
            <wp:extent cx="8858250" cy="2152015"/>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8858250" cy="2152015"/>
                    </a:xfrm>
                    <a:prstGeom prst="rect">
                      <a:avLst/>
                    </a:prstGeom>
                    <a:noFill/>
                    <a:ln w="9525">
                      <a:noFill/>
                    </a:ln>
                  </pic:spPr>
                </pic:pic>
              </a:graphicData>
            </a:graphic>
          </wp:inline>
        </w:drawing>
      </w:r>
      <w:r>
        <w:drawing>
          <wp:inline distT="0" distB="0" distL="114300" distR="114300">
            <wp:extent cx="6886575" cy="5272405"/>
            <wp:effectExtent l="0" t="0" r="952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6886575" cy="5272405"/>
                    </a:xfrm>
                    <a:prstGeom prst="rect">
                      <a:avLst/>
                    </a:prstGeom>
                    <a:noFill/>
                    <a:ln w="9525">
                      <a:noFill/>
                    </a:ln>
                  </pic:spPr>
                </pic:pic>
              </a:graphicData>
            </a:graphic>
          </wp:inline>
        </w:drawing>
      </w:r>
      <w:r>
        <w:drawing>
          <wp:inline distT="0" distB="0" distL="114300" distR="114300">
            <wp:extent cx="5829300" cy="2609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5829300" cy="2609850"/>
                    </a:xfrm>
                    <a:prstGeom prst="rect">
                      <a:avLst/>
                    </a:prstGeom>
                    <a:noFill/>
                    <a:ln w="9525">
                      <a:noFill/>
                    </a:ln>
                  </pic:spPr>
                </pic:pic>
              </a:graphicData>
            </a:graphic>
          </wp:inline>
        </w:drawing>
      </w:r>
      <w:r>
        <w:drawing>
          <wp:inline distT="0" distB="0" distL="114300" distR="114300">
            <wp:extent cx="8429625" cy="49911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stretch>
                      <a:fillRect/>
                    </a:stretch>
                  </pic:blipFill>
                  <pic:spPr>
                    <a:xfrm>
                      <a:off x="0" y="0"/>
                      <a:ext cx="8429625" cy="4991100"/>
                    </a:xfrm>
                    <a:prstGeom prst="rect">
                      <a:avLst/>
                    </a:prstGeom>
                    <a:noFill/>
                    <a:ln w="9525">
                      <a:noFill/>
                    </a:ln>
                  </pic:spPr>
                </pic:pic>
              </a:graphicData>
            </a:graphic>
          </wp:inline>
        </w:drawing>
      </w:r>
      <w:r>
        <w:drawing>
          <wp:inline distT="0" distB="0" distL="114300" distR="114300">
            <wp:extent cx="7648575" cy="14859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7648575" cy="1485900"/>
                    </a:xfrm>
                    <a:prstGeom prst="rect">
                      <a:avLst/>
                    </a:prstGeom>
                    <a:noFill/>
                    <a:ln w="9525">
                      <a:noFill/>
                    </a:ln>
                  </pic:spPr>
                </pic:pic>
              </a:graphicData>
            </a:graphic>
          </wp:inline>
        </w:drawing>
      </w:r>
      <w:r>
        <w:drawing>
          <wp:inline distT="0" distB="0" distL="114300" distR="114300">
            <wp:extent cx="6734175" cy="19431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0"/>
                    <a:stretch>
                      <a:fillRect/>
                    </a:stretch>
                  </pic:blipFill>
                  <pic:spPr>
                    <a:xfrm>
                      <a:off x="0" y="0"/>
                      <a:ext cx="6734175" cy="19431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lang w:eastAsia="zh-CN"/>
        </w:rPr>
        <w:t>第三部分</w:t>
      </w:r>
      <w:r>
        <w:rPr>
          <w:rStyle w:val="5"/>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5"/>
          <w:rFonts w:hint="eastAsia" w:ascii="微软雅黑" w:hAnsi="微软雅黑" w:eastAsia="微软雅黑" w:cs="微软雅黑"/>
          <w:i w:val="0"/>
          <w:caps w:val="0"/>
          <w:color w:val="333333"/>
          <w:spacing w:val="0"/>
          <w:sz w:val="24"/>
          <w:szCs w:val="24"/>
          <w:bdr w:val="none" w:color="auto" w:sz="0" w:space="0"/>
          <w:shd w:val="clear" w:fill="FFFFFF"/>
        </w:rPr>
        <w:t>2017年部门决算情况说明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（一）部门收入支出决算情况说明</w:t>
      </w:r>
    </w:p>
    <w:p>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2017年总收入25.36万元。比去年的21.69万元增加3.67万元，</w:t>
      </w:r>
    </w:p>
    <w:p>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其中:财政拨款24.38万元，占总收入的96.14%;</w:t>
      </w:r>
    </w:p>
    <w:p>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其他收入0.98万元占总收入3.86%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2017年</w:t>
      </w:r>
      <w:r>
        <w:rPr>
          <w:rFonts w:hint="eastAsia" w:ascii="宋体" w:hAnsi="宋体" w:cs="宋体"/>
          <w:color w:val="333333"/>
          <w:kern w:val="0"/>
          <w:sz w:val="28"/>
          <w:szCs w:val="28"/>
        </w:rPr>
        <w:t>总收入25.36万元</w:t>
      </w:r>
      <w:r>
        <w:rPr>
          <w:rFonts w:hint="eastAsia" w:ascii="微软雅黑" w:hAnsi="微软雅黑" w:eastAsia="微软雅黑" w:cs="微软雅黑"/>
          <w:b w:val="0"/>
          <w:i w:val="0"/>
          <w:caps w:val="0"/>
          <w:color w:val="333333"/>
          <w:spacing w:val="0"/>
          <w:sz w:val="24"/>
          <w:szCs w:val="24"/>
          <w:bdr w:val="none" w:color="auto" w:sz="0" w:space="0"/>
          <w:shd w:val="clear" w:fill="FFFFFF"/>
        </w:rPr>
        <w:t>，占 100 %。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（三）支出决算情况说明</w:t>
      </w:r>
    </w:p>
    <w:p>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2017年总支出为25.36万元。比去年的17.39万元增加7.97万元，其中一般公共预算财政拨款支出24.38万元，具体构成如下：</w:t>
      </w:r>
    </w:p>
    <w:p>
      <w:pPr>
        <w:widowControl/>
        <w:shd w:val="clear" w:color="auto" w:fill="FFFFFF"/>
        <w:spacing w:line="360" w:lineRule="auto"/>
        <w:ind w:firstLine="560"/>
        <w:jc w:val="left"/>
        <w:rPr>
          <w:rFonts w:hint="eastAsia" w:ascii="宋体" w:hAnsi="宋体" w:cs="宋体"/>
          <w:color w:val="333333"/>
          <w:kern w:val="0"/>
          <w:sz w:val="28"/>
          <w:szCs w:val="28"/>
        </w:rPr>
      </w:pPr>
      <w:r>
        <w:rPr>
          <w:rFonts w:hint="eastAsia" w:ascii="宋体" w:hAnsi="宋体" w:cs="宋体"/>
          <w:color w:val="333333"/>
          <w:kern w:val="0"/>
          <w:sz w:val="28"/>
          <w:szCs w:val="28"/>
        </w:rPr>
        <w:t>（1）工资福利支出13.49万元。</w:t>
      </w:r>
    </w:p>
    <w:p>
      <w:pPr>
        <w:widowControl/>
        <w:shd w:val="clear" w:color="auto" w:fill="FFFFFF"/>
        <w:spacing w:line="360" w:lineRule="auto"/>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（2）商品和服务支出8.89万元。</w:t>
      </w:r>
    </w:p>
    <w:p>
      <w:pPr>
        <w:widowControl/>
        <w:shd w:val="clear" w:color="auto" w:fill="FFFFFF"/>
        <w:spacing w:line="360" w:lineRule="auto"/>
        <w:ind w:firstLine="420" w:firstLineChars="150"/>
        <w:jc w:val="left"/>
        <w:rPr>
          <w:rFonts w:hint="eastAsia" w:ascii="宋体" w:hAnsi="宋体" w:cs="宋体"/>
          <w:color w:val="333333"/>
          <w:kern w:val="0"/>
          <w:sz w:val="28"/>
          <w:szCs w:val="28"/>
        </w:rPr>
      </w:pPr>
      <w:r>
        <w:rPr>
          <w:rFonts w:hint="eastAsia" w:ascii="宋体" w:hAnsi="宋体" w:cs="宋体"/>
          <w:color w:val="333333"/>
          <w:kern w:val="0"/>
          <w:sz w:val="28"/>
          <w:szCs w:val="28"/>
        </w:rPr>
        <w:t>（3）对个人和家庭的补助支出1.01万元。</w:t>
      </w:r>
    </w:p>
    <w:p>
      <w:pPr>
        <w:widowControl/>
        <w:shd w:val="clear" w:color="auto" w:fill="FFFFFF"/>
        <w:spacing w:line="360" w:lineRule="auto"/>
        <w:ind w:firstLine="420" w:firstLineChars="150"/>
        <w:jc w:val="left"/>
        <w:rPr>
          <w:rFonts w:hint="eastAsia" w:ascii="宋体" w:hAnsi="宋体" w:cs="宋体"/>
          <w:color w:val="333333"/>
          <w:kern w:val="0"/>
          <w:sz w:val="28"/>
          <w:szCs w:val="28"/>
        </w:rPr>
      </w:pPr>
      <w:r>
        <w:rPr>
          <w:rFonts w:hint="eastAsia" w:ascii="宋体" w:hAnsi="宋体" w:cs="宋体"/>
          <w:color w:val="333333"/>
          <w:kern w:val="0"/>
          <w:sz w:val="28"/>
          <w:szCs w:val="28"/>
        </w:rPr>
        <w:t>（4）其他资本性支出0.99万元。</w:t>
      </w:r>
    </w:p>
    <w:p>
      <w:pPr>
        <w:widowControl/>
        <w:shd w:val="clear" w:color="auto" w:fill="FFFFFF"/>
        <w:snapToGrid w:val="0"/>
        <w:spacing w:line="560" w:lineRule="atLeast"/>
        <w:jc w:val="left"/>
        <w:rPr>
          <w:rFonts w:hint="eastAsia" w:ascii="宋体" w:hAnsi="宋体" w:cs="宋体"/>
          <w:color w:val="333333"/>
          <w:kern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黄石港区团委</w:t>
      </w:r>
      <w:r>
        <w:rPr>
          <w:rFonts w:hint="eastAsia" w:ascii="微软雅黑" w:hAnsi="微软雅黑" w:eastAsia="微软雅黑" w:cs="微软雅黑"/>
          <w:b w:val="0"/>
          <w:i w:val="0"/>
          <w:caps w:val="0"/>
          <w:color w:val="333333"/>
          <w:spacing w:val="0"/>
          <w:sz w:val="24"/>
          <w:szCs w:val="24"/>
          <w:shd w:val="clear" w:fill="FFFFFF"/>
        </w:rPr>
        <w:t>2017年</w:t>
      </w:r>
      <w:r>
        <w:rPr>
          <w:rFonts w:hint="eastAsia" w:ascii="宋体" w:hAnsi="宋体" w:eastAsia="微软雅黑" w:cs="宋体"/>
          <w:color w:val="333333"/>
          <w:kern w:val="0"/>
          <w:sz w:val="28"/>
          <w:szCs w:val="28"/>
          <w:lang w:eastAsia="zh-CN"/>
        </w:rPr>
        <w:t>财政拨款</w:t>
      </w:r>
      <w:r>
        <w:rPr>
          <w:rFonts w:hint="eastAsia" w:ascii="宋体" w:hAnsi="宋体" w:cs="宋体"/>
          <w:color w:val="333333"/>
          <w:kern w:val="0"/>
          <w:sz w:val="28"/>
          <w:szCs w:val="28"/>
        </w:rPr>
        <w:t>25.36万元</w:t>
      </w:r>
      <w:r>
        <w:rPr>
          <w:rFonts w:hint="eastAsia" w:ascii="微软雅黑" w:hAnsi="微软雅黑" w:eastAsia="微软雅黑" w:cs="微软雅黑"/>
          <w:b w:val="0"/>
          <w:i w:val="0"/>
          <w:caps w:val="0"/>
          <w:color w:val="333333"/>
          <w:spacing w:val="0"/>
          <w:sz w:val="24"/>
          <w:szCs w:val="24"/>
          <w:shd w:val="clear" w:fill="FFFFFF"/>
        </w:rPr>
        <w:t>，占 100 %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2017年财政拨款总支出</w:t>
      </w:r>
      <w:r>
        <w:rPr>
          <w:rFonts w:hint="eastAsia" w:ascii="宋体" w:hAnsi="宋体" w:cs="宋体"/>
          <w:color w:val="333333"/>
          <w:kern w:val="0"/>
          <w:sz w:val="28"/>
          <w:szCs w:val="28"/>
        </w:rPr>
        <w:t>25.36</w:t>
      </w:r>
      <w:r>
        <w:rPr>
          <w:rFonts w:hint="eastAsia" w:ascii="微软雅黑" w:hAnsi="微软雅黑" w:eastAsia="微软雅黑" w:cs="微软雅黑"/>
          <w:b w:val="0"/>
          <w:i w:val="0"/>
          <w:caps w:val="0"/>
          <w:color w:val="333333"/>
          <w:spacing w:val="0"/>
          <w:sz w:val="24"/>
          <w:szCs w:val="24"/>
          <w:bdr w:val="none" w:color="auto" w:sz="0" w:space="0"/>
          <w:shd w:val="clear" w:fill="FFFFFF"/>
        </w:rPr>
        <w:t>万元，2017年部门本级决算公共预算财政拨款基本支出</w:t>
      </w:r>
      <w:r>
        <w:rPr>
          <w:rFonts w:hint="eastAsia" w:ascii="宋体" w:hAnsi="宋体" w:cs="宋体"/>
          <w:color w:val="333333"/>
          <w:kern w:val="0"/>
          <w:sz w:val="28"/>
          <w:szCs w:val="28"/>
        </w:rPr>
        <w:t>25.36</w:t>
      </w:r>
      <w:r>
        <w:rPr>
          <w:rFonts w:hint="eastAsia" w:ascii="微软雅黑" w:hAnsi="微软雅黑" w:eastAsia="微软雅黑" w:cs="微软雅黑"/>
          <w:b w:val="0"/>
          <w:i w:val="0"/>
          <w:caps w:val="0"/>
          <w:color w:val="333333"/>
          <w:spacing w:val="0"/>
          <w:sz w:val="24"/>
          <w:szCs w:val="24"/>
          <w:bdr w:val="none" w:color="auto" w:sz="0" w:space="0"/>
          <w:shd w:val="clear" w:fill="FFFFFF"/>
        </w:rPr>
        <w:t>万元。公共预算财政拨款支出按支出功能分类情况如下：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xml:space="preserve">一般公共服务支出类 </w:t>
      </w:r>
      <w:r>
        <w:rPr>
          <w:rFonts w:hint="eastAsia" w:ascii="微软雅黑" w:hAnsi="微软雅黑" w:eastAsia="微软雅黑" w:cs="微软雅黑"/>
          <w:b w:val="0"/>
          <w:i w:val="0"/>
          <w:caps w:val="0"/>
          <w:color w:val="333333"/>
          <w:spacing w:val="0"/>
          <w:sz w:val="24"/>
          <w:szCs w:val="24"/>
          <w:bdr w:val="none" w:color="auto" w:sz="0" w:space="0"/>
          <w:shd w:val="clear" w:fill="FFFFFF"/>
          <w:lang w:val="en-US" w:eastAsia="zh-CN"/>
        </w:rPr>
        <w:t>25.36</w:t>
      </w:r>
      <w:r>
        <w:rPr>
          <w:rFonts w:hint="eastAsia" w:ascii="微软雅黑" w:hAnsi="微软雅黑" w:eastAsia="微软雅黑" w:cs="微软雅黑"/>
          <w:b w:val="0"/>
          <w:i w:val="0"/>
          <w:caps w:val="0"/>
          <w:color w:val="333333"/>
          <w:spacing w:val="0"/>
          <w:sz w:val="24"/>
          <w:szCs w:val="24"/>
          <w:bdr w:val="none" w:color="auto" w:sz="0" w:space="0"/>
          <w:shd w:val="clear" w:fill="FFFFFF"/>
        </w:rPr>
        <w:t xml:space="preserve"> 万元，占本年支出</w:t>
      </w:r>
      <w:r>
        <w:rPr>
          <w:rFonts w:hint="eastAsia" w:ascii="微软雅黑" w:hAnsi="微软雅黑" w:eastAsia="微软雅黑" w:cs="微软雅黑"/>
          <w:b w:val="0"/>
          <w:i w:val="0"/>
          <w:caps w:val="0"/>
          <w:color w:val="333333"/>
          <w:spacing w:val="0"/>
          <w:sz w:val="24"/>
          <w:szCs w:val="24"/>
          <w:bdr w:val="none" w:color="auto" w:sz="0" w:space="0"/>
          <w:shd w:val="clear" w:fill="FFFFFF"/>
          <w:lang w:val="en-US" w:eastAsia="zh-CN"/>
        </w:rPr>
        <w:t>100</w:t>
      </w:r>
      <w:r>
        <w:rPr>
          <w:rFonts w:hint="eastAsia" w:ascii="微软雅黑" w:hAnsi="微软雅黑" w:eastAsia="微软雅黑" w:cs="微软雅黑"/>
          <w:b w:val="0"/>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（六）公共预算财政拨款基本支出决算情况说明</w:t>
      </w:r>
    </w:p>
    <w:p>
      <w:pPr>
        <w:widowControl/>
        <w:shd w:val="clear" w:color="auto" w:fill="FFFFFF"/>
        <w:snapToGrid w:val="0"/>
        <w:spacing w:line="560" w:lineRule="atLeast"/>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2017年</w:t>
      </w:r>
      <w:r>
        <w:rPr>
          <w:rFonts w:hint="eastAsia" w:ascii="宋体" w:hAnsi="宋体" w:cs="宋体"/>
          <w:color w:val="333333"/>
          <w:kern w:val="0"/>
          <w:sz w:val="28"/>
          <w:szCs w:val="28"/>
          <w:lang w:eastAsia="zh-CN"/>
        </w:rPr>
        <w:t>基本</w:t>
      </w:r>
      <w:r>
        <w:rPr>
          <w:rFonts w:hint="eastAsia" w:ascii="宋体" w:hAnsi="宋体" w:cs="宋体"/>
          <w:color w:val="333333"/>
          <w:kern w:val="0"/>
          <w:sz w:val="28"/>
          <w:szCs w:val="28"/>
        </w:rPr>
        <w:t>支出为25.36万元。比去年的17.39万元增加7.97万元，其中一般公共预算财政拨款支出24.38万元，具体构成如下：</w:t>
      </w:r>
    </w:p>
    <w:p>
      <w:pPr>
        <w:widowControl/>
        <w:shd w:val="clear" w:color="auto" w:fill="FFFFFF"/>
        <w:spacing w:line="360" w:lineRule="auto"/>
        <w:ind w:firstLine="560"/>
        <w:jc w:val="left"/>
        <w:rPr>
          <w:rFonts w:hint="eastAsia" w:ascii="宋体" w:hAnsi="宋体" w:cs="宋体"/>
          <w:color w:val="333333"/>
          <w:kern w:val="0"/>
          <w:sz w:val="28"/>
          <w:szCs w:val="28"/>
        </w:rPr>
      </w:pPr>
      <w:r>
        <w:rPr>
          <w:rFonts w:hint="eastAsia" w:ascii="宋体" w:hAnsi="宋体" w:cs="宋体"/>
          <w:color w:val="333333"/>
          <w:kern w:val="0"/>
          <w:sz w:val="28"/>
          <w:szCs w:val="28"/>
        </w:rPr>
        <w:t>（1）工资福利支出13.49万元。</w:t>
      </w:r>
    </w:p>
    <w:p>
      <w:pPr>
        <w:widowControl/>
        <w:shd w:val="clear" w:color="auto" w:fill="FFFFFF"/>
        <w:spacing w:line="360" w:lineRule="auto"/>
        <w:ind w:firstLine="560" w:firstLineChars="200"/>
        <w:jc w:val="left"/>
        <w:rPr>
          <w:rFonts w:hint="eastAsia" w:ascii="宋体" w:hAnsi="宋体" w:cs="宋体"/>
          <w:color w:val="333333"/>
          <w:kern w:val="0"/>
          <w:sz w:val="28"/>
          <w:szCs w:val="28"/>
        </w:rPr>
      </w:pPr>
      <w:r>
        <w:rPr>
          <w:rFonts w:hint="eastAsia" w:ascii="宋体" w:hAnsi="宋体" w:cs="宋体"/>
          <w:color w:val="333333"/>
          <w:kern w:val="0"/>
          <w:sz w:val="28"/>
          <w:szCs w:val="28"/>
        </w:rPr>
        <w:t>（2）商品和服务支出8.89万元。</w:t>
      </w:r>
    </w:p>
    <w:p>
      <w:pPr>
        <w:widowControl/>
        <w:shd w:val="clear" w:color="auto" w:fill="FFFFFF"/>
        <w:spacing w:line="360" w:lineRule="auto"/>
        <w:ind w:firstLine="420" w:firstLineChars="150"/>
        <w:jc w:val="left"/>
        <w:rPr>
          <w:rFonts w:hint="eastAsia" w:ascii="宋体" w:hAnsi="宋体" w:cs="宋体"/>
          <w:color w:val="333333"/>
          <w:kern w:val="0"/>
          <w:sz w:val="28"/>
          <w:szCs w:val="28"/>
        </w:rPr>
      </w:pPr>
      <w:r>
        <w:rPr>
          <w:rFonts w:hint="eastAsia" w:ascii="宋体" w:hAnsi="宋体" w:cs="宋体"/>
          <w:color w:val="333333"/>
          <w:kern w:val="0"/>
          <w:sz w:val="28"/>
          <w:szCs w:val="28"/>
        </w:rPr>
        <w:t>（3）对个人和家庭的补助支出1.01万元。</w:t>
      </w:r>
    </w:p>
    <w:p>
      <w:pPr>
        <w:widowControl/>
        <w:shd w:val="clear" w:color="auto" w:fill="FFFFFF"/>
        <w:spacing w:line="360" w:lineRule="auto"/>
        <w:ind w:firstLine="420" w:firstLineChars="150"/>
        <w:jc w:val="left"/>
        <w:rPr>
          <w:rFonts w:hint="eastAsia" w:ascii="宋体" w:hAnsi="宋体" w:cs="宋体"/>
          <w:color w:val="333333"/>
          <w:kern w:val="0"/>
          <w:sz w:val="28"/>
          <w:szCs w:val="28"/>
        </w:rPr>
      </w:pPr>
      <w:r>
        <w:rPr>
          <w:rFonts w:hint="eastAsia" w:ascii="宋体" w:hAnsi="宋体" w:cs="宋体"/>
          <w:color w:val="333333"/>
          <w:kern w:val="0"/>
          <w:sz w:val="28"/>
          <w:szCs w:val="28"/>
        </w:rPr>
        <w:t>（4）其他资本性支出0.99万元。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（七）“三公”经费公共预算财政拨款支出决算情况说明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sz w:val="28"/>
          <w:szCs w:val="28"/>
        </w:rPr>
      </w:pPr>
      <w:r>
        <w:rPr>
          <w:rFonts w:hint="eastAsia"/>
          <w:sz w:val="28"/>
          <w:szCs w:val="28"/>
        </w:rPr>
        <w:t>今年无三公经费支出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政府性基金支出0万元。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5"/>
          <w:rFonts w:hint="eastAsia" w:ascii="微软雅黑" w:hAnsi="微软雅黑" w:eastAsia="微软雅黑" w:cs="微软雅黑"/>
          <w:i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5"/>
          <w:rFonts w:hint="eastAsia" w:ascii="微软雅黑" w:hAnsi="微软雅黑" w:eastAsia="微软雅黑" w:cs="微软雅黑"/>
          <w:i w:val="0"/>
          <w:caps w:val="0"/>
          <w:color w:val="333333"/>
          <w:spacing w:val="0"/>
          <w:sz w:val="24"/>
          <w:szCs w:val="24"/>
          <w:bdr w:val="none" w:color="auto" w:sz="0" w:space="0"/>
          <w:shd w:val="clear" w:fill="FFFFFF"/>
        </w:rPr>
        <w:t>第四部分</w:t>
      </w:r>
      <w:r>
        <w:rPr>
          <w:rStyle w:val="5"/>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bookmarkStart w:id="0" w:name="_GoBack"/>
      <w:bookmarkEnd w:id="0"/>
      <w:r>
        <w:rPr>
          <w:rStyle w:val="5"/>
          <w:rFonts w:hint="eastAsia" w:ascii="微软雅黑" w:hAnsi="微软雅黑" w:eastAsia="微软雅黑" w:cs="微软雅黑"/>
          <w:i w:val="0"/>
          <w:caps w:val="0"/>
          <w:color w:val="333333"/>
          <w:spacing w:val="0"/>
          <w:sz w:val="24"/>
          <w:szCs w:val="24"/>
          <w:bdr w:val="none" w:color="auto" w:sz="0" w:space="0"/>
          <w:shd w:val="clear" w:fill="FFFFFF"/>
        </w:rPr>
        <w:t>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一、财政补助收入：指县级财政当年拨付的资金。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二、其他收入：指除“财政拨款收入”、“上级补助收入”、“事业收入”、“经营收入”等以外的收入。主要是存款利息收入等。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四、一般公共服务（类）行政运行（项）：指县行政单位及参照公务员管理事业单位用于保障机构正常运行、开展日常工作的基本支出。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服务中心为机关提供办公楼日常维修、维护等后勤保障服务的支出。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用于其他一般公共服务方面的支出。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厅支持地方高校的重点发展和特色办学，组织专家对省属院校申报的建设规划和项目预算进行评审等相关工作的支出。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用于离退休人员的支出、退休人员支出，以及提供管理服务工作的离退休干部处的支出。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用于离退休方面的其他支出。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黄石港区团委</w:t>
      </w:r>
      <w:r>
        <w:rPr>
          <w:rFonts w:hint="eastAsia" w:ascii="微软雅黑" w:hAnsi="微软雅黑" w:eastAsia="微软雅黑" w:cs="微软雅黑"/>
          <w:b w:val="0"/>
          <w:i w:val="0"/>
          <w:caps w:val="0"/>
          <w:color w:val="333333"/>
          <w:spacing w:val="0"/>
          <w:sz w:val="24"/>
          <w:szCs w:val="24"/>
          <w:bdr w:val="none" w:color="auto" w:sz="0" w:space="0"/>
          <w:shd w:val="clear" w:fill="FFFFFF"/>
        </w:rPr>
        <w:t>用于机关干部职工及离退休人员医疗方面的支出。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十二、住房保障（类）住房改革支出（款）购房补贴（项）：指按照相关住房分配货币化改革的政策规定和标准，对无房和住房未达标职工发放的住房分配货币化补贴资金。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十三、年末结转和结余：指本年度或以前年度预算安排、因客观条件发生变化无法按原计划实施，需要延迟到以后年度按有关规定继续使用的资金。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十四、基本支出：指为保障机构正常运转、完成日常工作任务而发生的人员支出（包括基本工资、津贴补贴等）和公用支出（包括办公费、水电费、邮电费、交通费、差旅费等）。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十五、项目支出：指在基本支出之外为完成特定行政任务和事业发展目标所发生的支出。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86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