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450" w:lineRule="atLeast"/>
        <w:ind w:left="0" w:right="0" w:firstLine="0"/>
        <w:jc w:val="center"/>
        <w:rPr>
          <w:rFonts w:ascii="微软雅黑" w:hAnsi="微软雅黑" w:eastAsia="微软雅黑" w:cs="微软雅黑"/>
          <w:b/>
          <w:i w:val="0"/>
          <w:caps w:val="0"/>
          <w:color w:val="BC1010"/>
          <w:spacing w:val="0"/>
          <w:sz w:val="40"/>
          <w:szCs w:val="40"/>
        </w:rPr>
      </w:pPr>
      <w:r>
        <w:rPr>
          <w:rFonts w:hint="eastAsia" w:ascii="微软雅黑" w:hAnsi="微软雅黑" w:eastAsia="微软雅黑" w:cs="微软雅黑"/>
          <w:b/>
          <w:i w:val="0"/>
          <w:caps w:val="0"/>
          <w:color w:val="BC1010"/>
          <w:spacing w:val="0"/>
          <w:sz w:val="40"/>
          <w:szCs w:val="40"/>
          <w:bdr w:val="none" w:color="auto" w:sz="0" w:space="0"/>
          <w:shd w:val="clear" w:fill="FFFFFF"/>
          <w:lang w:eastAsia="zh-CN"/>
        </w:rPr>
        <w:t>团委</w:t>
      </w:r>
      <w:r>
        <w:rPr>
          <w:rFonts w:hint="eastAsia" w:ascii="微软雅黑" w:hAnsi="微软雅黑" w:eastAsia="微软雅黑" w:cs="微软雅黑"/>
          <w:b/>
          <w:i w:val="0"/>
          <w:caps w:val="0"/>
          <w:color w:val="BC1010"/>
          <w:spacing w:val="0"/>
          <w:sz w:val="40"/>
          <w:szCs w:val="40"/>
          <w:bdr w:val="none" w:color="auto" w:sz="0" w:space="0"/>
          <w:shd w:val="clear" w:fill="FFFFFF"/>
        </w:rPr>
        <w:t>2017年决算公开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center"/>
        <w:rPr>
          <w:color w:val="333333"/>
          <w:sz w:val="24"/>
          <w:szCs w:val="24"/>
        </w:rPr>
      </w:pPr>
      <w:r>
        <w:rPr>
          <w:rStyle w:val="5"/>
          <w:rFonts w:hint="eastAsia" w:ascii="微软雅黑" w:hAnsi="微软雅黑" w:eastAsia="微软雅黑" w:cs="微软雅黑"/>
          <w:i w:val="0"/>
          <w:caps w:val="0"/>
          <w:color w:val="333333"/>
          <w:spacing w:val="0"/>
          <w:sz w:val="24"/>
          <w:szCs w:val="24"/>
          <w:bdr w:val="none" w:color="auto" w:sz="0" w:space="0"/>
          <w:shd w:val="clear" w:fill="FFFFFF"/>
          <w:lang w:eastAsia="zh-CN"/>
        </w:rPr>
        <w:t>黄石港区团委</w:t>
      </w:r>
      <w:r>
        <w:rPr>
          <w:rStyle w:val="5"/>
          <w:rFonts w:hint="eastAsia" w:ascii="微软雅黑" w:hAnsi="微软雅黑" w:eastAsia="微软雅黑" w:cs="微软雅黑"/>
          <w:i w:val="0"/>
          <w:caps w:val="0"/>
          <w:color w:val="333333"/>
          <w:spacing w:val="0"/>
          <w:sz w:val="24"/>
          <w:szCs w:val="24"/>
          <w:bdr w:val="none" w:color="auto" w:sz="0" w:space="0"/>
          <w:shd w:val="clear" w:fill="FFFFFF"/>
        </w:rPr>
        <w:t>2017年决算公开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center"/>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目  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第一部分:部门基本情况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一、部门主要职责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二、部门决算单位构成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第二部分: 部门2017年部门决算表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一、收入支出决算总表（表1）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二、收入决算表（表2）</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三、支出决算表（表3）</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四、财政拨款收入支出决算总表（表4）</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五、一般公共预算财政拨款支出决算表（表5）</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六、一般公共预算财政拨款基本支出决算表（表6）</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七、一般公共预算财政拨款“三公”经费支出决算表（表7）</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八、政府性基金预算财政拨款收入支出决算表（8）</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九、政府性基金预算财政拨款“三公”支出决算表（9）</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第三部分：部门2017年部门决算情况说明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一、部门收入支出决算情况说明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二、收入决算情况说明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三、支出决算情况说明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四、财政拨款收入支出决算情况说明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五、一般公共预算财政拨款支出决算情况说明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六、一般公共预算财政拨款基本支出决算情况说明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七、一般公共预算财政拨款“三公”经费支出决算情况说明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八、政府性基金预算财政拨款收入支出决算情况说明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九、政府性基金预算财政拨款“三公”支出决算情况说明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第四部分：名词解释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center"/>
        <w:rPr>
          <w:color w:val="333333"/>
          <w:sz w:val="24"/>
          <w:szCs w:val="24"/>
        </w:rPr>
      </w:pPr>
      <w:r>
        <w:rPr>
          <w:rStyle w:val="5"/>
          <w:rFonts w:hint="eastAsia" w:ascii="微软雅黑" w:hAnsi="微软雅黑" w:eastAsia="微软雅黑" w:cs="微软雅黑"/>
          <w:i w:val="0"/>
          <w:caps w:val="0"/>
          <w:color w:val="333333"/>
          <w:spacing w:val="0"/>
          <w:sz w:val="24"/>
          <w:szCs w:val="24"/>
          <w:bdr w:val="none" w:color="auto" w:sz="0" w:space="0"/>
          <w:shd w:val="clear" w:fill="FFFFFF"/>
        </w:rPr>
        <w:t>2017年部门决算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Style w:val="5"/>
          <w:rFonts w:hint="eastAsia" w:ascii="微软雅黑" w:hAnsi="微软雅黑" w:eastAsia="微软雅黑" w:cs="微软雅黑"/>
          <w:i w:val="0"/>
          <w:caps w:val="0"/>
          <w:color w:val="333333"/>
          <w:spacing w:val="0"/>
          <w:sz w:val="24"/>
          <w:szCs w:val="24"/>
          <w:bdr w:val="none" w:color="auto" w:sz="0" w:space="0"/>
          <w:shd w:val="clear" w:fill="FFFFFF"/>
        </w:rPr>
        <w:t>一、部门概况</w:t>
      </w:r>
    </w:p>
    <w:p>
      <w:pPr>
        <w:spacing w:line="520" w:lineRule="exact"/>
        <w:rPr>
          <w:rFonts w:hint="eastAsia" w:hAnsi="宋体"/>
          <w:b/>
          <w:color w:val="000000"/>
          <w:spacing w:val="2"/>
          <w:sz w:val="28"/>
          <w:szCs w:val="28"/>
        </w:rPr>
      </w:pPr>
      <w:r>
        <w:rPr>
          <w:rFonts w:hint="eastAsia" w:hAnsi="宋体" w:eastAsia="微软雅黑"/>
          <w:b/>
          <w:color w:val="000000"/>
          <w:spacing w:val="2"/>
          <w:sz w:val="28"/>
          <w:szCs w:val="28"/>
          <w:lang w:val="en-US" w:eastAsia="zh-CN"/>
        </w:rPr>
        <w:t>1</w:t>
      </w:r>
      <w:r>
        <w:rPr>
          <w:rFonts w:hint="eastAsia" w:hAnsi="宋体"/>
          <w:b/>
          <w:color w:val="000000"/>
          <w:spacing w:val="2"/>
          <w:sz w:val="28"/>
          <w:szCs w:val="28"/>
        </w:rPr>
        <w:t>、主要职能</w:t>
      </w:r>
    </w:p>
    <w:p>
      <w:pPr>
        <w:autoSpaceDE w:val="0"/>
        <w:autoSpaceDN w:val="0"/>
        <w:adjustRightInd w:val="0"/>
        <w:ind w:firstLine="560" w:firstLineChars="200"/>
        <w:jc w:val="left"/>
        <w:rPr>
          <w:rFonts w:hint="eastAsia" w:ascii="宋体" w:hAnsi="宋体" w:cs="宋体"/>
          <w:kern w:val="0"/>
          <w:sz w:val="28"/>
          <w:szCs w:val="28"/>
          <w:lang w:val="zh-CN"/>
        </w:rPr>
      </w:pPr>
      <w:r>
        <w:rPr>
          <w:rFonts w:hint="eastAsia" w:ascii="宋体" w:hAnsi="宋体"/>
          <w:sz w:val="28"/>
          <w:szCs w:val="28"/>
        </w:rPr>
        <w:t>共青团黄石港区委位于黄石市磁湖路180号。共青团黄石港区委</w:t>
      </w:r>
      <w:r>
        <w:rPr>
          <w:rFonts w:hint="eastAsia" w:ascii="宋体" w:hAnsi="宋体" w:cs="宋体"/>
          <w:kern w:val="0"/>
          <w:sz w:val="28"/>
          <w:szCs w:val="28"/>
          <w:lang w:val="zh-CN"/>
        </w:rPr>
        <w:t>是中国共产党领导的一个由信仰共产主义的中国青年组成的群众性组织。共青团中央委员会受中共中央委员会领导，共青团的地方各级组织受同级党的委员会领导，同时受共青团上级组织领导。</w:t>
      </w:r>
    </w:p>
    <w:p>
      <w:pPr>
        <w:autoSpaceDE w:val="0"/>
        <w:autoSpaceDN w:val="0"/>
        <w:adjustRightInd w:val="0"/>
        <w:ind w:firstLine="560" w:firstLineChars="200"/>
        <w:jc w:val="left"/>
        <w:rPr>
          <w:rFonts w:hint="eastAsia" w:ascii="宋体" w:hAnsi="宋体" w:cs="宋体"/>
          <w:kern w:val="0"/>
          <w:sz w:val="28"/>
          <w:szCs w:val="28"/>
          <w:lang w:val="zh-CN"/>
        </w:rPr>
      </w:pPr>
      <w:r>
        <w:rPr>
          <w:rFonts w:hint="eastAsia" w:ascii="宋体" w:hAnsi="宋体" w:cs="宋体"/>
          <w:kern w:val="0"/>
          <w:sz w:val="28"/>
          <w:szCs w:val="28"/>
          <w:lang w:val="zh-CN"/>
        </w:rPr>
        <w:t>团区委办公室主要工作任务是：</w:t>
      </w:r>
    </w:p>
    <w:p>
      <w:pPr>
        <w:autoSpaceDE w:val="0"/>
        <w:autoSpaceDN w:val="0"/>
        <w:adjustRightInd w:val="0"/>
        <w:ind w:firstLine="560" w:firstLineChars="200"/>
        <w:jc w:val="left"/>
        <w:rPr>
          <w:rFonts w:hint="eastAsia" w:ascii="宋体" w:hAnsi="宋体" w:cs="宋体"/>
          <w:kern w:val="0"/>
          <w:sz w:val="28"/>
          <w:szCs w:val="28"/>
          <w:lang w:val="zh-CN"/>
        </w:rPr>
      </w:pPr>
      <w:r>
        <w:rPr>
          <w:rFonts w:hint="eastAsia" w:ascii="宋体" w:hAnsi="宋体" w:cs="宋体"/>
          <w:kern w:val="0"/>
          <w:sz w:val="28"/>
          <w:szCs w:val="28"/>
          <w:lang w:val="zh-CN"/>
        </w:rPr>
        <w:t>1.领导全区共青团工作、青年工作，领导和指导区青联、学联和少先队工作的职权，对全区性青少年社团组织进行指导和管理。 </w:t>
      </w:r>
    </w:p>
    <w:p>
      <w:pPr>
        <w:autoSpaceDE w:val="0"/>
        <w:autoSpaceDN w:val="0"/>
        <w:adjustRightInd w:val="0"/>
        <w:ind w:firstLine="560" w:firstLineChars="200"/>
        <w:jc w:val="left"/>
        <w:rPr>
          <w:rFonts w:hint="eastAsia" w:ascii="宋体" w:hAnsi="宋体" w:cs="宋体"/>
          <w:kern w:val="0"/>
          <w:sz w:val="28"/>
          <w:szCs w:val="28"/>
          <w:lang w:val="zh-CN"/>
        </w:rPr>
      </w:pPr>
      <w:r>
        <w:rPr>
          <w:rFonts w:hint="eastAsia" w:ascii="宋体" w:hAnsi="宋体" w:cs="宋体"/>
          <w:kern w:val="0"/>
          <w:sz w:val="28"/>
          <w:szCs w:val="28"/>
          <w:lang w:val="zh-CN"/>
        </w:rPr>
        <w:t>2.负责区未成年人保护委员会、区综治委预防青少年违法犯罪工作领导小组、区青年创业就业促进中心、区志愿者指导中心的日常工作。 </w:t>
      </w:r>
    </w:p>
    <w:p>
      <w:pPr>
        <w:autoSpaceDE w:val="0"/>
        <w:autoSpaceDN w:val="0"/>
        <w:adjustRightInd w:val="0"/>
        <w:ind w:firstLine="560" w:firstLineChars="200"/>
        <w:jc w:val="left"/>
        <w:rPr>
          <w:rFonts w:hint="eastAsia" w:ascii="宋体" w:hAnsi="宋体" w:cs="宋体"/>
          <w:kern w:val="0"/>
          <w:sz w:val="28"/>
          <w:szCs w:val="28"/>
          <w:lang w:val="zh-CN"/>
        </w:rPr>
      </w:pPr>
      <w:r>
        <w:rPr>
          <w:rFonts w:hint="eastAsia" w:ascii="宋体" w:hAnsi="宋体" w:cs="宋体"/>
          <w:kern w:val="0"/>
          <w:sz w:val="28"/>
          <w:szCs w:val="28"/>
          <w:lang w:val="zh-CN"/>
        </w:rPr>
        <w:t>3.负责指导并组织全区青少年的宣传文化、思想理论教育主题活动和青少年活动阵地建设；培养、选拔、表彰优秀青年的工作。 </w:t>
      </w:r>
    </w:p>
    <w:p>
      <w:pPr>
        <w:autoSpaceDE w:val="0"/>
        <w:autoSpaceDN w:val="0"/>
        <w:adjustRightInd w:val="0"/>
        <w:ind w:firstLine="560" w:firstLineChars="200"/>
        <w:jc w:val="left"/>
        <w:rPr>
          <w:rFonts w:hint="eastAsia" w:ascii="宋体" w:hAnsi="宋体" w:cs="宋体"/>
          <w:kern w:val="0"/>
          <w:sz w:val="28"/>
          <w:szCs w:val="28"/>
          <w:lang w:val="zh-CN"/>
        </w:rPr>
      </w:pPr>
      <w:r>
        <w:rPr>
          <w:rFonts w:hint="eastAsia" w:ascii="宋体" w:hAnsi="宋体" w:cs="宋体"/>
          <w:kern w:val="0"/>
          <w:sz w:val="28"/>
          <w:szCs w:val="28"/>
          <w:lang w:val="zh-CN"/>
        </w:rPr>
        <w:t>4.组织团员青年在全区经济、政治、社会、文化、生态文明建设中发挥生力军和突击队作用，完成区委、区政府和团市委部署的以青少年为主体的各项任务。 </w:t>
      </w:r>
    </w:p>
    <w:p>
      <w:pPr>
        <w:autoSpaceDE w:val="0"/>
        <w:autoSpaceDN w:val="0"/>
        <w:adjustRightInd w:val="0"/>
        <w:ind w:firstLine="560" w:firstLineChars="200"/>
        <w:jc w:val="left"/>
        <w:rPr>
          <w:rFonts w:hint="eastAsia" w:ascii="宋体" w:hAnsi="宋体" w:cs="宋体"/>
          <w:kern w:val="0"/>
          <w:sz w:val="28"/>
          <w:szCs w:val="28"/>
          <w:lang w:val="zh-CN"/>
        </w:rPr>
      </w:pPr>
      <w:r>
        <w:rPr>
          <w:rFonts w:hint="eastAsia" w:ascii="宋体" w:hAnsi="宋体" w:cs="宋体"/>
          <w:kern w:val="0"/>
          <w:sz w:val="28"/>
          <w:szCs w:val="28"/>
          <w:lang w:val="zh-CN"/>
        </w:rPr>
        <w:t>5.组织实施改善青少年群体民生、维护青少年合法权益的各项工作。 </w:t>
      </w:r>
    </w:p>
    <w:p>
      <w:pPr>
        <w:autoSpaceDE w:val="0"/>
        <w:autoSpaceDN w:val="0"/>
        <w:adjustRightInd w:val="0"/>
        <w:ind w:firstLine="560" w:firstLineChars="200"/>
        <w:jc w:val="left"/>
        <w:rPr>
          <w:rFonts w:hint="eastAsia" w:ascii="宋体" w:hAnsi="宋体" w:cs="宋体"/>
          <w:kern w:val="0"/>
          <w:sz w:val="28"/>
          <w:szCs w:val="28"/>
          <w:lang w:val="zh-CN"/>
        </w:rPr>
      </w:pPr>
      <w:r>
        <w:rPr>
          <w:rFonts w:hint="eastAsia" w:ascii="宋体" w:hAnsi="宋体" w:cs="宋体"/>
          <w:kern w:val="0"/>
          <w:sz w:val="28"/>
          <w:szCs w:val="28"/>
        </w:rPr>
        <w:t>6</w:t>
      </w:r>
      <w:r>
        <w:rPr>
          <w:rFonts w:hint="eastAsia" w:ascii="宋体" w:hAnsi="宋体" w:cs="宋体"/>
          <w:kern w:val="0"/>
          <w:sz w:val="28"/>
          <w:szCs w:val="28"/>
          <w:lang w:val="zh-CN"/>
        </w:rPr>
        <w:t>.负责全区团的组织建设，协助党组织管理、选拔和培训团干部和青少年工作者。 </w:t>
      </w:r>
    </w:p>
    <w:p>
      <w:pPr>
        <w:autoSpaceDE w:val="0"/>
        <w:autoSpaceDN w:val="0"/>
        <w:adjustRightInd w:val="0"/>
        <w:jc w:val="left"/>
        <w:rPr>
          <w:rFonts w:hint="eastAsia" w:ascii="宋体" w:hAnsi="宋体" w:cs="宋体"/>
          <w:kern w:val="0"/>
          <w:sz w:val="28"/>
          <w:szCs w:val="28"/>
          <w:lang w:val="zh-CN"/>
        </w:rPr>
      </w:pPr>
      <w:r>
        <w:rPr>
          <w:rFonts w:hint="eastAsia" w:ascii="宋体" w:hAnsi="宋体" w:cs="宋体"/>
          <w:kern w:val="0"/>
          <w:sz w:val="28"/>
          <w:szCs w:val="28"/>
        </w:rPr>
        <w:t xml:space="preserve">    7</w:t>
      </w:r>
      <w:r>
        <w:rPr>
          <w:rFonts w:hint="eastAsia" w:ascii="宋体" w:hAnsi="宋体" w:cs="宋体"/>
          <w:kern w:val="0"/>
          <w:sz w:val="28"/>
          <w:szCs w:val="28"/>
          <w:lang w:val="zh-CN"/>
        </w:rPr>
        <w:t>.承办其他区委、区政府和团市委交办的有关事项。</w:t>
      </w:r>
    </w:p>
    <w:p>
      <w:pPr>
        <w:spacing w:line="520" w:lineRule="exact"/>
        <w:rPr>
          <w:rFonts w:hint="eastAsia" w:hAnsi="宋体"/>
          <w:b/>
          <w:color w:val="000000"/>
          <w:spacing w:val="2"/>
          <w:sz w:val="28"/>
          <w:szCs w:val="28"/>
        </w:rPr>
      </w:pPr>
      <w:r>
        <w:rPr>
          <w:rFonts w:hint="eastAsia" w:hAnsi="宋体"/>
          <w:b/>
          <w:color w:val="000000"/>
          <w:spacing w:val="2"/>
          <w:sz w:val="28"/>
          <w:szCs w:val="28"/>
          <w:lang w:val="en-US" w:eastAsia="zh-CN"/>
        </w:rPr>
        <w:t>2</w:t>
      </w:r>
      <w:r>
        <w:rPr>
          <w:rFonts w:hint="eastAsia" w:hAnsi="宋体"/>
          <w:b/>
          <w:color w:val="000000"/>
          <w:spacing w:val="2"/>
          <w:sz w:val="28"/>
          <w:szCs w:val="28"/>
        </w:rPr>
        <w:t>、部门情况</w:t>
      </w:r>
    </w:p>
    <w:p>
      <w:pPr>
        <w:widowControl/>
        <w:shd w:val="clear" w:color="auto" w:fill="FFFFFF"/>
        <w:snapToGrid w:val="0"/>
        <w:spacing w:line="560" w:lineRule="atLeast"/>
        <w:jc w:val="left"/>
        <w:rPr>
          <w:rFonts w:hint="eastAsia"/>
          <w:color w:val="000000"/>
          <w:spacing w:val="2"/>
          <w:sz w:val="28"/>
          <w:szCs w:val="28"/>
        </w:rPr>
      </w:pPr>
      <w:r>
        <w:rPr>
          <w:rFonts w:hint="eastAsia"/>
          <w:color w:val="000000"/>
          <w:spacing w:val="2"/>
          <w:sz w:val="28"/>
          <w:szCs w:val="28"/>
        </w:rPr>
        <w:t xml:space="preserve"> </w:t>
      </w:r>
      <w:r>
        <w:rPr>
          <w:rFonts w:hint="eastAsia" w:ascii="宋体" w:hAnsi="宋体" w:cs="Tahoma"/>
          <w:color w:val="333333"/>
          <w:kern w:val="0"/>
          <w:sz w:val="28"/>
          <w:szCs w:val="28"/>
        </w:rPr>
        <w:t>下设办公室</w:t>
      </w:r>
      <w:r>
        <w:rPr>
          <w:rFonts w:hint="eastAsia" w:ascii="宋体" w:hAnsi="宋体" w:cs="Tahoma"/>
          <w:color w:val="333333"/>
          <w:kern w:val="0"/>
          <w:sz w:val="28"/>
          <w:szCs w:val="28"/>
          <w:lang w:eastAsia="zh-CN"/>
        </w:rPr>
        <w:t>，</w:t>
      </w:r>
      <w:r>
        <w:rPr>
          <w:rFonts w:hint="eastAsia" w:hAnsi="宋体"/>
          <w:color w:val="000000"/>
          <w:spacing w:val="2"/>
          <w:sz w:val="28"/>
          <w:szCs w:val="28"/>
        </w:rPr>
        <w:t>政编制</w:t>
      </w:r>
      <w:r>
        <w:rPr>
          <w:rFonts w:hint="eastAsia"/>
          <w:color w:val="000000"/>
          <w:spacing w:val="2"/>
          <w:sz w:val="28"/>
          <w:szCs w:val="28"/>
          <w:lang w:val="en-US" w:eastAsia="zh-CN"/>
        </w:rPr>
        <w:t>1</w:t>
      </w:r>
      <w:r>
        <w:rPr>
          <w:rFonts w:hint="eastAsia" w:hAnsi="宋体"/>
          <w:color w:val="000000"/>
          <w:spacing w:val="2"/>
          <w:sz w:val="28"/>
          <w:szCs w:val="28"/>
        </w:rPr>
        <w:t>个</w:t>
      </w:r>
      <w:r>
        <w:rPr>
          <w:rFonts w:hint="eastAsia" w:hAnsi="宋体"/>
          <w:color w:val="000000"/>
          <w:spacing w:val="2"/>
          <w:sz w:val="28"/>
          <w:szCs w:val="28"/>
          <w:lang w:eastAsia="zh-CN"/>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Style w:val="5"/>
          <w:rFonts w:hint="eastAsia" w:ascii="微软雅黑" w:hAnsi="微软雅黑" w:eastAsia="微软雅黑" w:cs="微软雅黑"/>
          <w:i w:val="0"/>
          <w:caps w:val="0"/>
          <w:color w:val="333333"/>
          <w:spacing w:val="0"/>
          <w:sz w:val="24"/>
          <w:szCs w:val="24"/>
          <w:bdr w:val="none" w:color="auto" w:sz="0" w:space="0"/>
          <w:shd w:val="clear" w:fill="FFFFFF"/>
        </w:rPr>
        <w:t>二、2017年部门决算表</w:t>
      </w:r>
    </w:p>
    <w:tbl>
      <w:tblPr>
        <w:tblW w:w="890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1993"/>
        <w:gridCol w:w="542"/>
        <w:gridCol w:w="1995"/>
        <w:gridCol w:w="2107"/>
        <w:gridCol w:w="542"/>
        <w:gridCol w:w="17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75" w:hRule="atLeast"/>
        </w:trPr>
        <w:tc>
          <w:tcPr>
            <w:tcW w:w="1993" w:type="dxa"/>
            <w:shd w:val="clear" w:color="auto" w:fill="FFFFFF"/>
            <w:vAlign w:val="center"/>
          </w:tcPr>
          <w:p>
            <w:pPr>
              <w:jc w:val="left"/>
              <w:rPr>
                <w:rFonts w:hint="eastAsia" w:ascii="宋体" w:hAnsi="宋体" w:eastAsia="宋体" w:cs="宋体"/>
                <w:i w:val="0"/>
                <w:color w:val="000000"/>
                <w:sz w:val="18"/>
                <w:szCs w:val="18"/>
                <w:u w:val="none"/>
              </w:rPr>
            </w:pPr>
          </w:p>
        </w:tc>
        <w:tc>
          <w:tcPr>
            <w:tcW w:w="542" w:type="dxa"/>
            <w:shd w:val="clear" w:color="auto" w:fill="FFFFFF"/>
            <w:vAlign w:val="center"/>
          </w:tcPr>
          <w:p>
            <w:pPr>
              <w:jc w:val="left"/>
              <w:rPr>
                <w:rFonts w:hint="eastAsia" w:ascii="宋体" w:hAnsi="宋体" w:eastAsia="宋体" w:cs="宋体"/>
                <w:i w:val="0"/>
                <w:color w:val="000000"/>
                <w:sz w:val="18"/>
                <w:szCs w:val="18"/>
                <w:u w:val="none"/>
              </w:rPr>
            </w:pPr>
          </w:p>
        </w:tc>
        <w:tc>
          <w:tcPr>
            <w:tcW w:w="1995" w:type="dxa"/>
            <w:shd w:val="clear" w:color="auto" w:fill="FFFFFF"/>
            <w:vAlign w:val="center"/>
          </w:tcPr>
          <w:p>
            <w:pPr>
              <w:keepNext w:val="0"/>
              <w:keepLines w:val="0"/>
              <w:widowControl/>
              <w:suppressLineNumbers w:val="0"/>
              <w:jc w:val="center"/>
              <w:textAlignment w:val="center"/>
              <w:rPr>
                <w:rFonts w:ascii="黑体" w:hAnsi="宋体" w:eastAsia="黑体" w:cs="黑体"/>
                <w:i w:val="0"/>
                <w:color w:val="000000"/>
                <w:sz w:val="30"/>
                <w:szCs w:val="30"/>
                <w:u w:val="none"/>
              </w:rPr>
            </w:pPr>
            <w:r>
              <w:rPr>
                <w:rFonts w:hint="eastAsia" w:ascii="黑体" w:hAnsi="宋体" w:eastAsia="黑体" w:cs="黑体"/>
                <w:i w:val="0"/>
                <w:color w:val="000000"/>
                <w:kern w:val="0"/>
                <w:sz w:val="30"/>
                <w:szCs w:val="30"/>
                <w:u w:val="none"/>
                <w:lang w:val="en-US" w:eastAsia="zh-CN" w:bidi="ar"/>
              </w:rPr>
              <w:t>收入支出决算总表</w:t>
            </w:r>
          </w:p>
        </w:tc>
        <w:tc>
          <w:tcPr>
            <w:tcW w:w="2107" w:type="dxa"/>
            <w:shd w:val="clear" w:color="auto" w:fill="FFFFFF"/>
            <w:vAlign w:val="center"/>
          </w:tcPr>
          <w:p>
            <w:pPr>
              <w:jc w:val="left"/>
              <w:rPr>
                <w:rFonts w:hint="eastAsia" w:ascii="宋体" w:hAnsi="宋体" w:eastAsia="宋体" w:cs="宋体"/>
                <w:i w:val="0"/>
                <w:color w:val="000000"/>
                <w:sz w:val="18"/>
                <w:szCs w:val="18"/>
                <w:u w:val="none"/>
              </w:rPr>
            </w:pPr>
          </w:p>
        </w:tc>
        <w:tc>
          <w:tcPr>
            <w:tcW w:w="542" w:type="dxa"/>
            <w:shd w:val="clear" w:color="auto" w:fill="FFFFFF"/>
            <w:vAlign w:val="center"/>
          </w:tcPr>
          <w:p>
            <w:pPr>
              <w:jc w:val="left"/>
              <w:rPr>
                <w:rFonts w:hint="eastAsia" w:ascii="宋体" w:hAnsi="宋体" w:eastAsia="宋体" w:cs="宋体"/>
                <w:i w:val="0"/>
                <w:color w:val="000000"/>
                <w:sz w:val="18"/>
                <w:szCs w:val="18"/>
                <w:u w:val="none"/>
              </w:rPr>
            </w:pPr>
          </w:p>
        </w:tc>
        <w:tc>
          <w:tcPr>
            <w:tcW w:w="1729" w:type="dxa"/>
            <w:tcBorders>
              <w:right w:val="single" w:color="808080" w:sz="4" w:space="0"/>
            </w:tcBorders>
            <w:shd w:val="clear" w:color="auto" w:fill="FFFFFF"/>
            <w:vAlign w:val="center"/>
          </w:tcPr>
          <w:p>
            <w:pPr>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01" w:hRule="atLeast"/>
        </w:trPr>
        <w:tc>
          <w:tcPr>
            <w:tcW w:w="1993" w:type="dxa"/>
            <w:shd w:val="clear" w:color="auto" w:fill="FFFFFF"/>
            <w:vAlign w:val="center"/>
          </w:tcPr>
          <w:p>
            <w:pPr>
              <w:jc w:val="left"/>
              <w:rPr>
                <w:rFonts w:hint="eastAsia" w:ascii="宋体" w:hAnsi="宋体" w:eastAsia="宋体" w:cs="宋体"/>
                <w:i w:val="0"/>
                <w:color w:val="000000"/>
                <w:sz w:val="18"/>
                <w:szCs w:val="18"/>
                <w:u w:val="none"/>
              </w:rPr>
            </w:pPr>
          </w:p>
        </w:tc>
        <w:tc>
          <w:tcPr>
            <w:tcW w:w="542" w:type="dxa"/>
            <w:shd w:val="clear" w:color="auto" w:fill="FFFFFF"/>
            <w:vAlign w:val="center"/>
          </w:tcPr>
          <w:p>
            <w:pPr>
              <w:jc w:val="left"/>
              <w:rPr>
                <w:rFonts w:hint="eastAsia" w:ascii="宋体" w:hAnsi="宋体" w:eastAsia="宋体" w:cs="宋体"/>
                <w:i w:val="0"/>
                <w:color w:val="000000"/>
                <w:sz w:val="18"/>
                <w:szCs w:val="18"/>
                <w:u w:val="none"/>
              </w:rPr>
            </w:pPr>
          </w:p>
        </w:tc>
        <w:tc>
          <w:tcPr>
            <w:tcW w:w="1995" w:type="dxa"/>
            <w:shd w:val="clear" w:color="auto" w:fill="FFFFFF"/>
            <w:vAlign w:val="center"/>
          </w:tcPr>
          <w:p>
            <w:pPr>
              <w:jc w:val="left"/>
              <w:rPr>
                <w:rFonts w:hint="eastAsia" w:ascii="宋体" w:hAnsi="宋体" w:eastAsia="宋体" w:cs="宋体"/>
                <w:i w:val="0"/>
                <w:color w:val="000000"/>
                <w:sz w:val="18"/>
                <w:szCs w:val="18"/>
                <w:u w:val="none"/>
              </w:rPr>
            </w:pPr>
          </w:p>
        </w:tc>
        <w:tc>
          <w:tcPr>
            <w:tcW w:w="2107" w:type="dxa"/>
            <w:shd w:val="clear" w:color="auto" w:fill="FFFFFF"/>
            <w:vAlign w:val="center"/>
          </w:tcPr>
          <w:p>
            <w:pPr>
              <w:jc w:val="left"/>
              <w:rPr>
                <w:rFonts w:hint="eastAsia" w:ascii="宋体" w:hAnsi="宋体" w:eastAsia="宋体" w:cs="宋体"/>
                <w:i w:val="0"/>
                <w:color w:val="000000"/>
                <w:sz w:val="18"/>
                <w:szCs w:val="18"/>
                <w:u w:val="none"/>
              </w:rPr>
            </w:pPr>
          </w:p>
        </w:tc>
        <w:tc>
          <w:tcPr>
            <w:tcW w:w="542" w:type="dxa"/>
            <w:shd w:val="clear" w:color="auto" w:fill="FFFFFF"/>
            <w:vAlign w:val="center"/>
          </w:tcPr>
          <w:p>
            <w:pPr>
              <w:jc w:val="left"/>
              <w:rPr>
                <w:rFonts w:hint="eastAsia" w:ascii="宋体" w:hAnsi="宋体" w:eastAsia="宋体" w:cs="宋体"/>
                <w:i w:val="0"/>
                <w:color w:val="000000"/>
                <w:sz w:val="18"/>
                <w:szCs w:val="18"/>
                <w:u w:val="none"/>
              </w:rPr>
            </w:pPr>
          </w:p>
        </w:tc>
        <w:tc>
          <w:tcPr>
            <w:tcW w:w="1729" w:type="dxa"/>
            <w:tcBorders>
              <w:right w:val="single" w:color="80808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01" w:hRule="atLeast"/>
        </w:trPr>
        <w:tc>
          <w:tcPr>
            <w:tcW w:w="1993" w:type="dxa"/>
            <w:tcBorders>
              <w:bottom w:val="single" w:color="80808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部门：中国共产主义青年团湖北省黄石市黄石港区委员会</w:t>
            </w:r>
          </w:p>
        </w:tc>
        <w:tc>
          <w:tcPr>
            <w:tcW w:w="542" w:type="dxa"/>
            <w:tcBorders>
              <w:bottom w:val="single" w:color="808080" w:sz="4" w:space="0"/>
            </w:tcBorders>
            <w:shd w:val="clear" w:color="auto" w:fill="FFFFFF"/>
            <w:vAlign w:val="center"/>
          </w:tcPr>
          <w:p>
            <w:pPr>
              <w:jc w:val="left"/>
              <w:rPr>
                <w:rFonts w:hint="eastAsia" w:ascii="宋体" w:hAnsi="宋体" w:eastAsia="宋体" w:cs="宋体"/>
                <w:i w:val="0"/>
                <w:color w:val="000000"/>
                <w:sz w:val="18"/>
                <w:szCs w:val="18"/>
                <w:u w:val="none"/>
              </w:rPr>
            </w:pPr>
          </w:p>
        </w:tc>
        <w:tc>
          <w:tcPr>
            <w:tcW w:w="1995" w:type="dxa"/>
            <w:tcBorders>
              <w:bottom w:val="single" w:color="80808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2017年度</w:t>
            </w:r>
          </w:p>
        </w:tc>
        <w:tc>
          <w:tcPr>
            <w:tcW w:w="2107" w:type="dxa"/>
            <w:tcBorders>
              <w:bottom w:val="single" w:color="808080" w:sz="4" w:space="0"/>
            </w:tcBorders>
            <w:shd w:val="clear" w:color="auto" w:fill="FFFFFF"/>
            <w:vAlign w:val="center"/>
          </w:tcPr>
          <w:p>
            <w:pPr>
              <w:jc w:val="left"/>
              <w:rPr>
                <w:rFonts w:hint="eastAsia" w:ascii="宋体" w:hAnsi="宋体" w:eastAsia="宋体" w:cs="宋体"/>
                <w:i w:val="0"/>
                <w:color w:val="000000"/>
                <w:sz w:val="18"/>
                <w:szCs w:val="18"/>
                <w:u w:val="none"/>
              </w:rPr>
            </w:pPr>
          </w:p>
        </w:tc>
        <w:tc>
          <w:tcPr>
            <w:tcW w:w="542" w:type="dxa"/>
            <w:tcBorders>
              <w:bottom w:val="single" w:color="808080" w:sz="4" w:space="0"/>
            </w:tcBorders>
            <w:shd w:val="clear" w:color="auto" w:fill="FFFFFF"/>
            <w:vAlign w:val="center"/>
          </w:tcPr>
          <w:p>
            <w:pPr>
              <w:jc w:val="left"/>
              <w:rPr>
                <w:rFonts w:hint="eastAsia" w:ascii="宋体" w:hAnsi="宋体" w:eastAsia="宋体" w:cs="宋体"/>
                <w:i w:val="0"/>
                <w:color w:val="000000"/>
                <w:sz w:val="18"/>
                <w:szCs w:val="18"/>
                <w:u w:val="none"/>
              </w:rPr>
            </w:pPr>
          </w:p>
        </w:tc>
        <w:tc>
          <w:tcPr>
            <w:tcW w:w="1729" w:type="dxa"/>
            <w:tcBorders>
              <w:bottom w:val="single" w:color="808080" w:sz="4" w:space="0"/>
              <w:right w:val="single" w:color="80808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4530" w:type="dxa"/>
            <w:gridSpan w:val="3"/>
            <w:tcBorders>
              <w:left w:val="single" w:color="000000" w:sz="18"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收入</w:t>
            </w:r>
          </w:p>
        </w:tc>
        <w:tc>
          <w:tcPr>
            <w:tcW w:w="4378" w:type="dxa"/>
            <w:gridSpan w:val="3"/>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01" w:hRule="atLeast"/>
        </w:trPr>
        <w:tc>
          <w:tcPr>
            <w:tcW w:w="1993" w:type="dxa"/>
            <w:tcBorders>
              <w:left w:val="single" w:color="000000" w:sz="18"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p>
        </w:tc>
        <w:tc>
          <w:tcPr>
            <w:tcW w:w="542"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行次</w:t>
            </w:r>
          </w:p>
        </w:tc>
        <w:tc>
          <w:tcPr>
            <w:tcW w:w="1995"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决算数</w:t>
            </w:r>
          </w:p>
        </w:tc>
        <w:tc>
          <w:tcPr>
            <w:tcW w:w="2107"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p>
        </w:tc>
        <w:tc>
          <w:tcPr>
            <w:tcW w:w="542"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行次</w:t>
            </w:r>
          </w:p>
        </w:tc>
        <w:tc>
          <w:tcPr>
            <w:tcW w:w="1729" w:type="dxa"/>
            <w:tcBorders>
              <w:bottom w:val="single" w:color="000000" w:sz="4" w:space="0"/>
              <w:right w:val="single" w:color="000000" w:sz="18"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993" w:type="dxa"/>
            <w:tcBorders>
              <w:left w:val="single" w:color="000000" w:sz="18" w:space="0"/>
              <w:bottom w:val="single" w:color="000000" w:sz="4" w:space="0"/>
              <w:right w:val="single" w:color="000000" w:sz="4" w:space="0"/>
            </w:tcBorders>
            <w:shd w:val="clear" w:color="auto" w:fill="C0C0C0"/>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栏次</w:t>
            </w:r>
          </w:p>
        </w:tc>
        <w:tc>
          <w:tcPr>
            <w:tcW w:w="542" w:type="dxa"/>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1995"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107" w:type="dxa"/>
            <w:tcBorders>
              <w:bottom w:val="single" w:color="000000" w:sz="4" w:space="0"/>
              <w:right w:val="single" w:color="000000" w:sz="4" w:space="0"/>
            </w:tcBorders>
            <w:shd w:val="clear" w:color="auto" w:fill="C0C0C0"/>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栏次</w:t>
            </w:r>
          </w:p>
        </w:tc>
        <w:tc>
          <w:tcPr>
            <w:tcW w:w="542" w:type="dxa"/>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1729" w:type="dxa"/>
            <w:tcBorders>
              <w:bottom w:val="single" w:color="000000" w:sz="4" w:space="0"/>
              <w:right w:val="single" w:color="000000" w:sz="18"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01" w:hRule="atLeast"/>
        </w:trPr>
        <w:tc>
          <w:tcPr>
            <w:tcW w:w="1993" w:type="dxa"/>
            <w:tcBorders>
              <w:left w:val="single" w:color="000000" w:sz="18"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一、财政拨款收入</w:t>
            </w:r>
          </w:p>
        </w:tc>
        <w:tc>
          <w:tcPr>
            <w:tcW w:w="542"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995"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24.38</w:t>
            </w:r>
          </w:p>
        </w:tc>
        <w:tc>
          <w:tcPr>
            <w:tcW w:w="2107"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一、一般公共服务支出</w:t>
            </w:r>
          </w:p>
        </w:tc>
        <w:tc>
          <w:tcPr>
            <w:tcW w:w="542"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w:t>
            </w:r>
          </w:p>
        </w:tc>
        <w:tc>
          <w:tcPr>
            <w:tcW w:w="1729" w:type="dxa"/>
            <w:tcBorders>
              <w:bottom w:val="single" w:color="000000" w:sz="4" w:space="0"/>
              <w:right w:val="single" w:color="000000" w:sz="18"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993" w:type="dxa"/>
            <w:tcBorders>
              <w:left w:val="single" w:color="000000" w:sz="18"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其中：政府性基金预算财政拨款</w:t>
            </w:r>
          </w:p>
        </w:tc>
        <w:tc>
          <w:tcPr>
            <w:tcW w:w="542"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995"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107"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二、外交支出</w:t>
            </w:r>
          </w:p>
        </w:tc>
        <w:tc>
          <w:tcPr>
            <w:tcW w:w="542"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c>
          <w:tcPr>
            <w:tcW w:w="1729" w:type="dxa"/>
            <w:tcBorders>
              <w:bottom w:val="single" w:color="000000" w:sz="4" w:space="0"/>
              <w:right w:val="single" w:color="000000" w:sz="18"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01" w:hRule="atLeast"/>
        </w:trPr>
        <w:tc>
          <w:tcPr>
            <w:tcW w:w="1993" w:type="dxa"/>
            <w:tcBorders>
              <w:left w:val="single" w:color="000000" w:sz="18"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二、上级补助收入</w:t>
            </w:r>
          </w:p>
        </w:tc>
        <w:tc>
          <w:tcPr>
            <w:tcW w:w="542"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995"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107"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三、国防支出</w:t>
            </w:r>
          </w:p>
        </w:tc>
        <w:tc>
          <w:tcPr>
            <w:tcW w:w="542"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w:t>
            </w:r>
          </w:p>
        </w:tc>
        <w:tc>
          <w:tcPr>
            <w:tcW w:w="1729" w:type="dxa"/>
            <w:tcBorders>
              <w:bottom w:val="single" w:color="000000" w:sz="4" w:space="0"/>
              <w:right w:val="single" w:color="000000" w:sz="18"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993" w:type="dxa"/>
            <w:tcBorders>
              <w:left w:val="single" w:color="000000" w:sz="18"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三、事业收入</w:t>
            </w:r>
          </w:p>
        </w:tc>
        <w:tc>
          <w:tcPr>
            <w:tcW w:w="542"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995"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107"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四、公共安全支出</w:t>
            </w:r>
          </w:p>
        </w:tc>
        <w:tc>
          <w:tcPr>
            <w:tcW w:w="542"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w:t>
            </w:r>
          </w:p>
        </w:tc>
        <w:tc>
          <w:tcPr>
            <w:tcW w:w="1729" w:type="dxa"/>
            <w:tcBorders>
              <w:bottom w:val="single" w:color="000000" w:sz="4" w:space="0"/>
              <w:right w:val="single" w:color="000000" w:sz="18"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01" w:hRule="atLeast"/>
        </w:trPr>
        <w:tc>
          <w:tcPr>
            <w:tcW w:w="1993" w:type="dxa"/>
            <w:tcBorders>
              <w:left w:val="single" w:color="000000" w:sz="18"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四、经营收入</w:t>
            </w:r>
          </w:p>
        </w:tc>
        <w:tc>
          <w:tcPr>
            <w:tcW w:w="542"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995"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107"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五、教育支出</w:t>
            </w:r>
          </w:p>
        </w:tc>
        <w:tc>
          <w:tcPr>
            <w:tcW w:w="542"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w:t>
            </w:r>
          </w:p>
        </w:tc>
        <w:tc>
          <w:tcPr>
            <w:tcW w:w="1729" w:type="dxa"/>
            <w:tcBorders>
              <w:bottom w:val="single" w:color="000000" w:sz="4" w:space="0"/>
              <w:right w:val="single" w:color="000000" w:sz="18"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993" w:type="dxa"/>
            <w:tcBorders>
              <w:left w:val="single" w:color="000000" w:sz="18"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五、附属单位上缴收入</w:t>
            </w:r>
          </w:p>
        </w:tc>
        <w:tc>
          <w:tcPr>
            <w:tcW w:w="542"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1995"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107"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六、科学技术支出</w:t>
            </w:r>
          </w:p>
        </w:tc>
        <w:tc>
          <w:tcPr>
            <w:tcW w:w="542"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w:t>
            </w:r>
          </w:p>
        </w:tc>
        <w:tc>
          <w:tcPr>
            <w:tcW w:w="1729" w:type="dxa"/>
            <w:tcBorders>
              <w:bottom w:val="single" w:color="000000" w:sz="4" w:space="0"/>
              <w:right w:val="single" w:color="000000" w:sz="18"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01" w:hRule="atLeast"/>
        </w:trPr>
        <w:tc>
          <w:tcPr>
            <w:tcW w:w="1993" w:type="dxa"/>
            <w:tcBorders>
              <w:left w:val="single" w:color="000000" w:sz="18"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六、其他收入</w:t>
            </w:r>
          </w:p>
        </w:tc>
        <w:tc>
          <w:tcPr>
            <w:tcW w:w="542"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1995"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0.98</w:t>
            </w:r>
          </w:p>
        </w:tc>
        <w:tc>
          <w:tcPr>
            <w:tcW w:w="2107"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七、文化体育与传媒支出</w:t>
            </w:r>
          </w:p>
        </w:tc>
        <w:tc>
          <w:tcPr>
            <w:tcW w:w="542"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w:t>
            </w:r>
          </w:p>
        </w:tc>
        <w:tc>
          <w:tcPr>
            <w:tcW w:w="1729" w:type="dxa"/>
            <w:tcBorders>
              <w:bottom w:val="single" w:color="000000" w:sz="4" w:space="0"/>
              <w:right w:val="single" w:color="000000" w:sz="18"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993" w:type="dxa"/>
            <w:tcBorders>
              <w:left w:val="single" w:color="000000" w:sz="18" w:space="0"/>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0"/>
                <w:szCs w:val="20"/>
                <w:u w:val="none"/>
              </w:rPr>
            </w:pPr>
          </w:p>
        </w:tc>
        <w:tc>
          <w:tcPr>
            <w:tcW w:w="542"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199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2107"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八、社会保障和就业支出</w:t>
            </w:r>
          </w:p>
        </w:tc>
        <w:tc>
          <w:tcPr>
            <w:tcW w:w="542"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w:t>
            </w:r>
          </w:p>
        </w:tc>
        <w:tc>
          <w:tcPr>
            <w:tcW w:w="1729" w:type="dxa"/>
            <w:tcBorders>
              <w:bottom w:val="single" w:color="000000" w:sz="4" w:space="0"/>
              <w:right w:val="single" w:color="000000" w:sz="18"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01" w:hRule="atLeast"/>
        </w:trPr>
        <w:tc>
          <w:tcPr>
            <w:tcW w:w="1993" w:type="dxa"/>
            <w:tcBorders>
              <w:left w:val="single" w:color="000000" w:sz="18" w:space="0"/>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0"/>
                <w:szCs w:val="20"/>
                <w:u w:val="none"/>
              </w:rPr>
            </w:pPr>
          </w:p>
        </w:tc>
        <w:tc>
          <w:tcPr>
            <w:tcW w:w="542"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199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2107"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九、医疗卫生与计划生育支出</w:t>
            </w:r>
          </w:p>
        </w:tc>
        <w:tc>
          <w:tcPr>
            <w:tcW w:w="542"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w:t>
            </w:r>
          </w:p>
        </w:tc>
        <w:tc>
          <w:tcPr>
            <w:tcW w:w="1729" w:type="dxa"/>
            <w:tcBorders>
              <w:bottom w:val="single" w:color="000000" w:sz="4" w:space="0"/>
              <w:right w:val="single" w:color="000000" w:sz="18"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993" w:type="dxa"/>
            <w:tcBorders>
              <w:left w:val="single" w:color="000000" w:sz="18" w:space="0"/>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0"/>
                <w:szCs w:val="20"/>
                <w:u w:val="none"/>
              </w:rPr>
            </w:pPr>
          </w:p>
        </w:tc>
        <w:tc>
          <w:tcPr>
            <w:tcW w:w="542"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99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2107"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十、节能环保支出</w:t>
            </w:r>
          </w:p>
        </w:tc>
        <w:tc>
          <w:tcPr>
            <w:tcW w:w="542"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38</w:t>
            </w:r>
          </w:p>
        </w:tc>
        <w:tc>
          <w:tcPr>
            <w:tcW w:w="1729" w:type="dxa"/>
            <w:tcBorders>
              <w:bottom w:val="single" w:color="000000" w:sz="4" w:space="0"/>
              <w:right w:val="single" w:color="000000" w:sz="18"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01" w:hRule="atLeast"/>
        </w:trPr>
        <w:tc>
          <w:tcPr>
            <w:tcW w:w="1993" w:type="dxa"/>
            <w:tcBorders>
              <w:left w:val="single" w:color="000000" w:sz="18" w:space="0"/>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0"/>
                <w:szCs w:val="20"/>
                <w:u w:val="none"/>
              </w:rPr>
            </w:pPr>
          </w:p>
        </w:tc>
        <w:tc>
          <w:tcPr>
            <w:tcW w:w="542"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199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2107"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十一、城乡社区支出</w:t>
            </w:r>
          </w:p>
        </w:tc>
        <w:tc>
          <w:tcPr>
            <w:tcW w:w="542"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w:t>
            </w:r>
          </w:p>
        </w:tc>
        <w:tc>
          <w:tcPr>
            <w:tcW w:w="1729" w:type="dxa"/>
            <w:tcBorders>
              <w:bottom w:val="single" w:color="000000" w:sz="4" w:space="0"/>
              <w:right w:val="single" w:color="000000" w:sz="18"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993" w:type="dxa"/>
            <w:tcBorders>
              <w:left w:val="single" w:color="000000" w:sz="18" w:space="0"/>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0"/>
                <w:szCs w:val="20"/>
                <w:u w:val="none"/>
              </w:rPr>
            </w:pPr>
          </w:p>
        </w:tc>
        <w:tc>
          <w:tcPr>
            <w:tcW w:w="542"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199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2107"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十二、农林水支出</w:t>
            </w:r>
          </w:p>
        </w:tc>
        <w:tc>
          <w:tcPr>
            <w:tcW w:w="542"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w:t>
            </w:r>
          </w:p>
        </w:tc>
        <w:tc>
          <w:tcPr>
            <w:tcW w:w="1729" w:type="dxa"/>
            <w:tcBorders>
              <w:bottom w:val="single" w:color="000000" w:sz="4" w:space="0"/>
              <w:right w:val="single" w:color="000000" w:sz="18"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01" w:hRule="atLeast"/>
        </w:trPr>
        <w:tc>
          <w:tcPr>
            <w:tcW w:w="1993" w:type="dxa"/>
            <w:tcBorders>
              <w:left w:val="single" w:color="000000" w:sz="18" w:space="0"/>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0"/>
                <w:szCs w:val="20"/>
                <w:u w:val="none"/>
              </w:rPr>
            </w:pPr>
          </w:p>
        </w:tc>
        <w:tc>
          <w:tcPr>
            <w:tcW w:w="542"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199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2107"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十三、交通运输支出</w:t>
            </w:r>
          </w:p>
        </w:tc>
        <w:tc>
          <w:tcPr>
            <w:tcW w:w="542"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41</w:t>
            </w:r>
          </w:p>
        </w:tc>
        <w:tc>
          <w:tcPr>
            <w:tcW w:w="1729" w:type="dxa"/>
            <w:tcBorders>
              <w:bottom w:val="single" w:color="000000" w:sz="4" w:space="0"/>
              <w:right w:val="single" w:color="000000" w:sz="18"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993" w:type="dxa"/>
            <w:tcBorders>
              <w:left w:val="single" w:color="000000" w:sz="18" w:space="0"/>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0"/>
                <w:szCs w:val="20"/>
                <w:u w:val="none"/>
              </w:rPr>
            </w:pPr>
          </w:p>
        </w:tc>
        <w:tc>
          <w:tcPr>
            <w:tcW w:w="542"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199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2107"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十四、资源勘探信息等支出</w:t>
            </w:r>
          </w:p>
        </w:tc>
        <w:tc>
          <w:tcPr>
            <w:tcW w:w="542"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w:t>
            </w:r>
          </w:p>
        </w:tc>
        <w:tc>
          <w:tcPr>
            <w:tcW w:w="1729" w:type="dxa"/>
            <w:tcBorders>
              <w:bottom w:val="single" w:color="000000" w:sz="4" w:space="0"/>
              <w:right w:val="single" w:color="000000" w:sz="18"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01" w:hRule="atLeast"/>
        </w:trPr>
        <w:tc>
          <w:tcPr>
            <w:tcW w:w="1993" w:type="dxa"/>
            <w:tcBorders>
              <w:left w:val="single" w:color="000000" w:sz="18" w:space="0"/>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0"/>
                <w:szCs w:val="20"/>
                <w:u w:val="none"/>
              </w:rPr>
            </w:pPr>
          </w:p>
        </w:tc>
        <w:tc>
          <w:tcPr>
            <w:tcW w:w="542"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199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2107"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十五、商业服务业等支出</w:t>
            </w:r>
          </w:p>
        </w:tc>
        <w:tc>
          <w:tcPr>
            <w:tcW w:w="542"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43</w:t>
            </w:r>
          </w:p>
        </w:tc>
        <w:tc>
          <w:tcPr>
            <w:tcW w:w="1729" w:type="dxa"/>
            <w:tcBorders>
              <w:bottom w:val="single" w:color="000000" w:sz="4" w:space="0"/>
              <w:right w:val="single" w:color="000000" w:sz="18"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993" w:type="dxa"/>
            <w:tcBorders>
              <w:left w:val="single" w:color="000000" w:sz="18" w:space="0"/>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0"/>
                <w:szCs w:val="20"/>
                <w:u w:val="none"/>
              </w:rPr>
            </w:pPr>
          </w:p>
        </w:tc>
        <w:tc>
          <w:tcPr>
            <w:tcW w:w="542"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199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2107"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十六、金融支出</w:t>
            </w:r>
          </w:p>
        </w:tc>
        <w:tc>
          <w:tcPr>
            <w:tcW w:w="542"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w:t>
            </w:r>
          </w:p>
        </w:tc>
        <w:tc>
          <w:tcPr>
            <w:tcW w:w="1729" w:type="dxa"/>
            <w:tcBorders>
              <w:bottom w:val="single" w:color="000000" w:sz="4" w:space="0"/>
              <w:right w:val="single" w:color="000000" w:sz="18"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01" w:hRule="atLeast"/>
        </w:trPr>
        <w:tc>
          <w:tcPr>
            <w:tcW w:w="1993" w:type="dxa"/>
            <w:tcBorders>
              <w:left w:val="single" w:color="000000" w:sz="18" w:space="0"/>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0"/>
                <w:szCs w:val="20"/>
                <w:u w:val="none"/>
              </w:rPr>
            </w:pPr>
          </w:p>
        </w:tc>
        <w:tc>
          <w:tcPr>
            <w:tcW w:w="542"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w:t>
            </w:r>
          </w:p>
        </w:tc>
        <w:tc>
          <w:tcPr>
            <w:tcW w:w="199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2107"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十七、援助其他地区支出</w:t>
            </w:r>
          </w:p>
        </w:tc>
        <w:tc>
          <w:tcPr>
            <w:tcW w:w="542"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w:t>
            </w:r>
          </w:p>
        </w:tc>
        <w:tc>
          <w:tcPr>
            <w:tcW w:w="1729" w:type="dxa"/>
            <w:tcBorders>
              <w:bottom w:val="single" w:color="000000" w:sz="4" w:space="0"/>
              <w:right w:val="single" w:color="000000" w:sz="18"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993" w:type="dxa"/>
            <w:tcBorders>
              <w:left w:val="single" w:color="000000" w:sz="18" w:space="0"/>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0"/>
                <w:szCs w:val="20"/>
                <w:u w:val="none"/>
              </w:rPr>
            </w:pPr>
          </w:p>
        </w:tc>
        <w:tc>
          <w:tcPr>
            <w:tcW w:w="542"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t>
            </w:r>
          </w:p>
        </w:tc>
        <w:tc>
          <w:tcPr>
            <w:tcW w:w="199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2107"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十八、国土海洋气象等支出</w:t>
            </w:r>
          </w:p>
        </w:tc>
        <w:tc>
          <w:tcPr>
            <w:tcW w:w="542"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46</w:t>
            </w:r>
          </w:p>
        </w:tc>
        <w:tc>
          <w:tcPr>
            <w:tcW w:w="1729" w:type="dxa"/>
            <w:tcBorders>
              <w:bottom w:val="single" w:color="000000" w:sz="4" w:space="0"/>
              <w:right w:val="single" w:color="000000" w:sz="18"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01" w:hRule="atLeast"/>
        </w:trPr>
        <w:tc>
          <w:tcPr>
            <w:tcW w:w="1993" w:type="dxa"/>
            <w:tcBorders>
              <w:left w:val="single" w:color="000000" w:sz="18" w:space="0"/>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0"/>
                <w:szCs w:val="20"/>
                <w:u w:val="none"/>
              </w:rPr>
            </w:pPr>
          </w:p>
        </w:tc>
        <w:tc>
          <w:tcPr>
            <w:tcW w:w="542"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w:t>
            </w:r>
          </w:p>
        </w:tc>
        <w:tc>
          <w:tcPr>
            <w:tcW w:w="199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2107"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十九、住房保障支出</w:t>
            </w:r>
          </w:p>
        </w:tc>
        <w:tc>
          <w:tcPr>
            <w:tcW w:w="542"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47</w:t>
            </w:r>
          </w:p>
        </w:tc>
        <w:tc>
          <w:tcPr>
            <w:tcW w:w="1729" w:type="dxa"/>
            <w:tcBorders>
              <w:bottom w:val="single" w:color="000000" w:sz="4" w:space="0"/>
              <w:right w:val="single" w:color="000000" w:sz="18"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993" w:type="dxa"/>
            <w:tcBorders>
              <w:left w:val="single" w:color="000000" w:sz="18" w:space="0"/>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0"/>
                <w:szCs w:val="20"/>
                <w:u w:val="none"/>
              </w:rPr>
            </w:pPr>
          </w:p>
        </w:tc>
        <w:tc>
          <w:tcPr>
            <w:tcW w:w="542"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199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2107"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二十、粮油物资储备支出</w:t>
            </w:r>
          </w:p>
        </w:tc>
        <w:tc>
          <w:tcPr>
            <w:tcW w:w="542"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48</w:t>
            </w:r>
          </w:p>
        </w:tc>
        <w:tc>
          <w:tcPr>
            <w:tcW w:w="1729" w:type="dxa"/>
            <w:tcBorders>
              <w:bottom w:val="single" w:color="000000" w:sz="4" w:space="0"/>
              <w:right w:val="single" w:color="000000" w:sz="18"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01" w:hRule="atLeast"/>
        </w:trPr>
        <w:tc>
          <w:tcPr>
            <w:tcW w:w="1993" w:type="dxa"/>
            <w:tcBorders>
              <w:left w:val="single" w:color="000000" w:sz="18" w:space="0"/>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0"/>
                <w:szCs w:val="20"/>
                <w:u w:val="none"/>
              </w:rPr>
            </w:pPr>
          </w:p>
        </w:tc>
        <w:tc>
          <w:tcPr>
            <w:tcW w:w="542"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w:t>
            </w:r>
          </w:p>
        </w:tc>
        <w:tc>
          <w:tcPr>
            <w:tcW w:w="199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2107"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二十一、其他支出</w:t>
            </w:r>
          </w:p>
        </w:tc>
        <w:tc>
          <w:tcPr>
            <w:tcW w:w="542"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49</w:t>
            </w:r>
          </w:p>
        </w:tc>
        <w:tc>
          <w:tcPr>
            <w:tcW w:w="1729" w:type="dxa"/>
            <w:tcBorders>
              <w:bottom w:val="single" w:color="000000" w:sz="4" w:space="0"/>
              <w:right w:val="single" w:color="000000" w:sz="18" w:space="0"/>
            </w:tcBorders>
            <w:shd w:val="clear" w:color="auto" w:fill="00FF00"/>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993" w:type="dxa"/>
            <w:tcBorders>
              <w:left w:val="single" w:color="000000" w:sz="18" w:space="0"/>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0"/>
                <w:szCs w:val="20"/>
                <w:u w:val="none"/>
              </w:rPr>
            </w:pPr>
          </w:p>
        </w:tc>
        <w:tc>
          <w:tcPr>
            <w:tcW w:w="542"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w:t>
            </w:r>
          </w:p>
        </w:tc>
        <w:tc>
          <w:tcPr>
            <w:tcW w:w="199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2107"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二十二、债务还本支出</w:t>
            </w:r>
          </w:p>
        </w:tc>
        <w:tc>
          <w:tcPr>
            <w:tcW w:w="542"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c>
          <w:tcPr>
            <w:tcW w:w="1729" w:type="dxa"/>
            <w:tcBorders>
              <w:bottom w:val="single" w:color="000000" w:sz="4" w:space="0"/>
              <w:right w:val="single" w:color="000000" w:sz="18" w:space="0"/>
            </w:tcBorders>
            <w:shd w:val="clear" w:color="auto" w:fill="00FF00"/>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01" w:hRule="atLeast"/>
        </w:trPr>
        <w:tc>
          <w:tcPr>
            <w:tcW w:w="1993" w:type="dxa"/>
            <w:tcBorders>
              <w:left w:val="single" w:color="000000" w:sz="18" w:space="0"/>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0"/>
                <w:szCs w:val="20"/>
                <w:u w:val="none"/>
              </w:rPr>
            </w:pPr>
          </w:p>
        </w:tc>
        <w:tc>
          <w:tcPr>
            <w:tcW w:w="542"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w:t>
            </w:r>
          </w:p>
        </w:tc>
        <w:tc>
          <w:tcPr>
            <w:tcW w:w="199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2107"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二十三、债务付息支出</w:t>
            </w:r>
          </w:p>
        </w:tc>
        <w:tc>
          <w:tcPr>
            <w:tcW w:w="542"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51</w:t>
            </w:r>
          </w:p>
        </w:tc>
        <w:tc>
          <w:tcPr>
            <w:tcW w:w="1729" w:type="dxa"/>
            <w:tcBorders>
              <w:bottom w:val="single" w:color="000000" w:sz="4" w:space="0"/>
              <w:right w:val="single" w:color="000000" w:sz="18" w:space="0"/>
            </w:tcBorders>
            <w:shd w:val="clear" w:color="auto" w:fill="00FF00"/>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993" w:type="dxa"/>
            <w:tcBorders>
              <w:left w:val="single" w:color="000000" w:sz="18"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本年收入合计</w:t>
            </w:r>
          </w:p>
        </w:tc>
        <w:tc>
          <w:tcPr>
            <w:tcW w:w="542"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w:t>
            </w:r>
          </w:p>
        </w:tc>
        <w:tc>
          <w:tcPr>
            <w:tcW w:w="1995"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25.36</w:t>
            </w:r>
          </w:p>
        </w:tc>
        <w:tc>
          <w:tcPr>
            <w:tcW w:w="2107"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本年支出合计</w:t>
            </w:r>
          </w:p>
        </w:tc>
        <w:tc>
          <w:tcPr>
            <w:tcW w:w="542"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52</w:t>
            </w:r>
          </w:p>
        </w:tc>
        <w:tc>
          <w:tcPr>
            <w:tcW w:w="1729" w:type="dxa"/>
            <w:tcBorders>
              <w:bottom w:val="single" w:color="000000" w:sz="4" w:space="0"/>
              <w:right w:val="single" w:color="000000" w:sz="18"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01" w:hRule="atLeast"/>
        </w:trPr>
        <w:tc>
          <w:tcPr>
            <w:tcW w:w="1993" w:type="dxa"/>
            <w:tcBorders>
              <w:left w:val="single" w:color="000000" w:sz="18"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用事业基金弥补收支差额</w:t>
            </w:r>
          </w:p>
        </w:tc>
        <w:tc>
          <w:tcPr>
            <w:tcW w:w="542"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w:t>
            </w:r>
          </w:p>
        </w:tc>
        <w:tc>
          <w:tcPr>
            <w:tcW w:w="1995"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107"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结余分配</w:t>
            </w:r>
          </w:p>
        </w:tc>
        <w:tc>
          <w:tcPr>
            <w:tcW w:w="542"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53</w:t>
            </w:r>
          </w:p>
        </w:tc>
        <w:tc>
          <w:tcPr>
            <w:tcW w:w="1729" w:type="dxa"/>
            <w:tcBorders>
              <w:bottom w:val="single" w:color="000000" w:sz="4" w:space="0"/>
              <w:right w:val="single" w:color="000000" w:sz="18"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993" w:type="dxa"/>
            <w:tcBorders>
              <w:left w:val="single" w:color="000000" w:sz="18"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年初结转和结余</w:t>
            </w:r>
          </w:p>
        </w:tc>
        <w:tc>
          <w:tcPr>
            <w:tcW w:w="542"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w:t>
            </w:r>
          </w:p>
        </w:tc>
        <w:tc>
          <w:tcPr>
            <w:tcW w:w="1995"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5.12</w:t>
            </w:r>
          </w:p>
        </w:tc>
        <w:tc>
          <w:tcPr>
            <w:tcW w:w="2107"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年末结转和结余</w:t>
            </w:r>
          </w:p>
        </w:tc>
        <w:tc>
          <w:tcPr>
            <w:tcW w:w="542"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54</w:t>
            </w:r>
          </w:p>
        </w:tc>
        <w:tc>
          <w:tcPr>
            <w:tcW w:w="1729" w:type="dxa"/>
            <w:tcBorders>
              <w:bottom w:val="single" w:color="000000" w:sz="4" w:space="0"/>
              <w:right w:val="single" w:color="000000" w:sz="18"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01" w:hRule="atLeast"/>
        </w:trPr>
        <w:tc>
          <w:tcPr>
            <w:tcW w:w="1993" w:type="dxa"/>
            <w:tcBorders>
              <w:left w:val="single" w:color="000000" w:sz="18" w:space="0"/>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0"/>
                <w:szCs w:val="20"/>
                <w:u w:val="none"/>
              </w:rPr>
            </w:pPr>
          </w:p>
        </w:tc>
        <w:tc>
          <w:tcPr>
            <w:tcW w:w="542"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w:t>
            </w:r>
          </w:p>
        </w:tc>
        <w:tc>
          <w:tcPr>
            <w:tcW w:w="199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2107" w:type="dxa"/>
            <w:tcBorders>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0"/>
                <w:szCs w:val="20"/>
                <w:u w:val="none"/>
              </w:rPr>
            </w:pPr>
          </w:p>
        </w:tc>
        <w:tc>
          <w:tcPr>
            <w:tcW w:w="542"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55</w:t>
            </w:r>
          </w:p>
        </w:tc>
        <w:tc>
          <w:tcPr>
            <w:tcW w:w="1729" w:type="dxa"/>
            <w:tcBorders>
              <w:bottom w:val="single" w:color="000000" w:sz="4" w:space="0"/>
              <w:right w:val="single" w:color="000000" w:sz="18"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993" w:type="dxa"/>
            <w:tcBorders>
              <w:left w:val="single" w:color="000000" w:sz="18" w:space="0"/>
              <w:bottom w:val="single" w:color="000000" w:sz="18"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总计</w:t>
            </w:r>
          </w:p>
        </w:tc>
        <w:tc>
          <w:tcPr>
            <w:tcW w:w="542" w:type="dxa"/>
            <w:tcBorders>
              <w:bottom w:val="single" w:color="000000" w:sz="18"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w:t>
            </w:r>
          </w:p>
        </w:tc>
        <w:tc>
          <w:tcPr>
            <w:tcW w:w="1995" w:type="dxa"/>
            <w:tcBorders>
              <w:bottom w:val="single" w:color="000000" w:sz="18"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30.48</w:t>
            </w:r>
          </w:p>
        </w:tc>
        <w:tc>
          <w:tcPr>
            <w:tcW w:w="2107" w:type="dxa"/>
            <w:tcBorders>
              <w:bottom w:val="single" w:color="000000" w:sz="18"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总计</w:t>
            </w:r>
          </w:p>
        </w:tc>
        <w:tc>
          <w:tcPr>
            <w:tcW w:w="542" w:type="dxa"/>
            <w:tcBorders>
              <w:bottom w:val="single" w:color="000000" w:sz="18"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56</w:t>
            </w:r>
          </w:p>
        </w:tc>
        <w:tc>
          <w:tcPr>
            <w:tcW w:w="1729" w:type="dxa"/>
            <w:tcBorders>
              <w:bottom w:val="single" w:color="000000" w:sz="18" w:space="0"/>
              <w:right w:val="single" w:color="000000" w:sz="18"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01" w:hRule="atLeast"/>
        </w:trPr>
        <w:tc>
          <w:tcPr>
            <w:tcW w:w="8908" w:type="dxa"/>
            <w:gridSpan w:val="6"/>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注：本表反映部门本年度的总收支和年末结转结余情况。</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center"/>
        <w:rPr>
          <w:color w:val="333333"/>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center"/>
        <w:rPr>
          <w:color w:val="333333"/>
          <w:sz w:val="24"/>
          <w:szCs w:val="24"/>
        </w:rPr>
        <w:sectPr>
          <w:pgSz w:w="11906" w:h="16838"/>
          <w:pgMar w:top="1440" w:right="1800" w:bottom="1440" w:left="1800" w:header="851" w:footer="992" w:gutter="0"/>
          <w:cols w:space="425" w:num="1"/>
          <w:docGrid w:type="lines" w:linePitch="312" w:charSpace="0"/>
        </w:sect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both"/>
        <w:rPr>
          <w:color w:val="333333"/>
          <w:sz w:val="24"/>
          <w:szCs w:val="24"/>
        </w:rPr>
        <w:sectPr>
          <w:pgSz w:w="16838" w:h="11906" w:orient="landscape"/>
          <w:pgMar w:top="1800" w:right="1440" w:bottom="1800" w:left="1440" w:header="851" w:footer="992" w:gutter="0"/>
          <w:cols w:space="425" w:num="1"/>
          <w:docGrid w:type="lines" w:linePitch="312" w:charSpace="0"/>
        </w:sectPr>
      </w:pPr>
      <w:r>
        <w:drawing>
          <wp:inline distT="0" distB="0" distL="114300" distR="114300">
            <wp:extent cx="8858885" cy="1806575"/>
            <wp:effectExtent l="0" t="0" r="18415" b="317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4"/>
                    <a:stretch>
                      <a:fillRect/>
                    </a:stretch>
                  </pic:blipFill>
                  <pic:spPr>
                    <a:xfrm>
                      <a:off x="0" y="0"/>
                      <a:ext cx="8858885" cy="1806575"/>
                    </a:xfrm>
                    <a:prstGeom prst="rect">
                      <a:avLst/>
                    </a:prstGeom>
                    <a:noFill/>
                    <a:ln w="9525">
                      <a:noFill/>
                    </a:ln>
                  </pic:spPr>
                </pic:pic>
              </a:graphicData>
            </a:graphic>
          </wp:inline>
        </w:drawing>
      </w:r>
      <w:r>
        <w:drawing>
          <wp:inline distT="0" distB="0" distL="114300" distR="114300">
            <wp:extent cx="8858250" cy="2152015"/>
            <wp:effectExtent l="0" t="0" r="0" b="63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5"/>
                    <a:stretch>
                      <a:fillRect/>
                    </a:stretch>
                  </pic:blipFill>
                  <pic:spPr>
                    <a:xfrm>
                      <a:off x="0" y="0"/>
                      <a:ext cx="8858250" cy="2152015"/>
                    </a:xfrm>
                    <a:prstGeom prst="rect">
                      <a:avLst/>
                    </a:prstGeom>
                    <a:noFill/>
                    <a:ln w="9525">
                      <a:noFill/>
                    </a:ln>
                  </pic:spPr>
                </pic:pic>
              </a:graphicData>
            </a:graphic>
          </wp:inline>
        </w:drawing>
      </w:r>
      <w:r>
        <w:drawing>
          <wp:inline distT="0" distB="0" distL="114300" distR="114300">
            <wp:extent cx="6886575" cy="5272405"/>
            <wp:effectExtent l="0" t="0" r="9525" b="444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6"/>
                    <a:stretch>
                      <a:fillRect/>
                    </a:stretch>
                  </pic:blipFill>
                  <pic:spPr>
                    <a:xfrm>
                      <a:off x="0" y="0"/>
                      <a:ext cx="6886575" cy="5272405"/>
                    </a:xfrm>
                    <a:prstGeom prst="rect">
                      <a:avLst/>
                    </a:prstGeom>
                    <a:noFill/>
                    <a:ln w="9525">
                      <a:noFill/>
                    </a:ln>
                  </pic:spPr>
                </pic:pic>
              </a:graphicData>
            </a:graphic>
          </wp:inline>
        </w:drawing>
      </w:r>
      <w:r>
        <w:drawing>
          <wp:inline distT="0" distB="0" distL="114300" distR="114300">
            <wp:extent cx="5829300" cy="2609850"/>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7"/>
                    <a:stretch>
                      <a:fillRect/>
                    </a:stretch>
                  </pic:blipFill>
                  <pic:spPr>
                    <a:xfrm>
                      <a:off x="0" y="0"/>
                      <a:ext cx="5829300" cy="2609850"/>
                    </a:xfrm>
                    <a:prstGeom prst="rect">
                      <a:avLst/>
                    </a:prstGeom>
                    <a:noFill/>
                    <a:ln w="9525">
                      <a:noFill/>
                    </a:ln>
                  </pic:spPr>
                </pic:pic>
              </a:graphicData>
            </a:graphic>
          </wp:inline>
        </w:drawing>
      </w:r>
      <w:r>
        <w:drawing>
          <wp:inline distT="0" distB="0" distL="114300" distR="114300">
            <wp:extent cx="8429625" cy="4991100"/>
            <wp:effectExtent l="0" t="0" r="9525"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8"/>
                    <a:stretch>
                      <a:fillRect/>
                    </a:stretch>
                  </pic:blipFill>
                  <pic:spPr>
                    <a:xfrm>
                      <a:off x="0" y="0"/>
                      <a:ext cx="8429625" cy="4991100"/>
                    </a:xfrm>
                    <a:prstGeom prst="rect">
                      <a:avLst/>
                    </a:prstGeom>
                    <a:noFill/>
                    <a:ln w="9525">
                      <a:noFill/>
                    </a:ln>
                  </pic:spPr>
                </pic:pic>
              </a:graphicData>
            </a:graphic>
          </wp:inline>
        </w:drawing>
      </w:r>
      <w:r>
        <w:drawing>
          <wp:inline distT="0" distB="0" distL="114300" distR="114300">
            <wp:extent cx="7648575" cy="1485900"/>
            <wp:effectExtent l="0" t="0" r="9525"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pic:cNvPicPr>
                  </pic:nvPicPr>
                  <pic:blipFill>
                    <a:blip r:embed="rId9"/>
                    <a:stretch>
                      <a:fillRect/>
                    </a:stretch>
                  </pic:blipFill>
                  <pic:spPr>
                    <a:xfrm>
                      <a:off x="0" y="0"/>
                      <a:ext cx="7648575" cy="1485900"/>
                    </a:xfrm>
                    <a:prstGeom prst="rect">
                      <a:avLst/>
                    </a:prstGeom>
                    <a:noFill/>
                    <a:ln w="9525">
                      <a:noFill/>
                    </a:ln>
                  </pic:spPr>
                </pic:pic>
              </a:graphicData>
            </a:graphic>
          </wp:inline>
        </w:drawing>
      </w:r>
      <w:r>
        <w:drawing>
          <wp:inline distT="0" distB="0" distL="114300" distR="114300">
            <wp:extent cx="6734175" cy="1943100"/>
            <wp:effectExtent l="0" t="0" r="9525"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pic:cNvPicPr>
                  </pic:nvPicPr>
                  <pic:blipFill>
                    <a:blip r:embed="rId10"/>
                    <a:stretch>
                      <a:fillRect/>
                    </a:stretch>
                  </pic:blipFill>
                  <pic:spPr>
                    <a:xfrm>
                      <a:off x="0" y="0"/>
                      <a:ext cx="6734175" cy="19431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jc w:val="both"/>
        <w:rPr>
          <w:color w:val="333333"/>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center"/>
        <w:rPr>
          <w:color w:val="333333"/>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Style w:val="5"/>
          <w:rFonts w:hint="eastAsia" w:ascii="微软雅黑" w:hAnsi="微软雅黑" w:eastAsia="微软雅黑" w:cs="微软雅黑"/>
          <w:i w:val="0"/>
          <w:caps w:val="0"/>
          <w:color w:val="333333"/>
          <w:spacing w:val="0"/>
          <w:sz w:val="24"/>
          <w:szCs w:val="24"/>
          <w:bdr w:val="none" w:color="auto" w:sz="0" w:space="0"/>
          <w:shd w:val="clear" w:fill="FFFFFF"/>
          <w:lang w:eastAsia="zh-CN"/>
        </w:rPr>
        <w:t>第三部分</w:t>
      </w:r>
      <w:r>
        <w:rPr>
          <w:rStyle w:val="5"/>
          <w:rFonts w:hint="eastAsia" w:ascii="微软雅黑" w:hAnsi="微软雅黑" w:eastAsia="微软雅黑" w:cs="微软雅黑"/>
          <w:i w:val="0"/>
          <w:caps w:val="0"/>
          <w:color w:val="333333"/>
          <w:spacing w:val="0"/>
          <w:sz w:val="24"/>
          <w:szCs w:val="24"/>
          <w:bdr w:val="none" w:color="auto" w:sz="0" w:space="0"/>
          <w:shd w:val="clear" w:fill="FFFFFF"/>
          <w:lang w:val="en-US" w:eastAsia="zh-CN"/>
        </w:rPr>
        <w:t xml:space="preserve"> </w:t>
      </w:r>
      <w:r>
        <w:rPr>
          <w:rStyle w:val="5"/>
          <w:rFonts w:hint="eastAsia" w:ascii="微软雅黑" w:hAnsi="微软雅黑" w:eastAsia="微软雅黑" w:cs="微软雅黑"/>
          <w:i w:val="0"/>
          <w:caps w:val="0"/>
          <w:color w:val="333333"/>
          <w:spacing w:val="0"/>
          <w:sz w:val="24"/>
          <w:szCs w:val="24"/>
          <w:bdr w:val="none" w:color="auto" w:sz="0" w:space="0"/>
          <w:shd w:val="clear" w:fill="FFFFFF"/>
        </w:rPr>
        <w:t>2017年部门决算情况说明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（一）部门收入支出决算情况说明</w:t>
      </w:r>
    </w:p>
    <w:p>
      <w:pPr>
        <w:widowControl/>
        <w:shd w:val="clear" w:color="auto" w:fill="FFFFFF"/>
        <w:snapToGrid w:val="0"/>
        <w:spacing w:line="560" w:lineRule="atLeast"/>
        <w:ind w:firstLine="560" w:firstLineChars="200"/>
        <w:jc w:val="left"/>
        <w:rPr>
          <w:rFonts w:hint="eastAsia" w:ascii="宋体" w:hAnsi="宋体" w:cs="宋体"/>
          <w:color w:val="333333"/>
          <w:kern w:val="0"/>
          <w:sz w:val="28"/>
          <w:szCs w:val="28"/>
        </w:rPr>
      </w:pPr>
      <w:r>
        <w:rPr>
          <w:rFonts w:hint="eastAsia" w:ascii="宋体" w:hAnsi="宋体" w:cs="宋体"/>
          <w:color w:val="333333"/>
          <w:kern w:val="0"/>
          <w:sz w:val="28"/>
          <w:szCs w:val="28"/>
        </w:rPr>
        <w:t>2017年总收入25.36万元。比去年的21.69万元增加3.67万元，</w:t>
      </w:r>
    </w:p>
    <w:p>
      <w:pPr>
        <w:widowControl/>
        <w:shd w:val="clear" w:color="auto" w:fill="FFFFFF"/>
        <w:snapToGrid w:val="0"/>
        <w:spacing w:line="560" w:lineRule="atLeast"/>
        <w:ind w:firstLine="560" w:firstLineChars="200"/>
        <w:jc w:val="left"/>
        <w:rPr>
          <w:rFonts w:hint="eastAsia" w:ascii="宋体" w:hAnsi="宋体" w:cs="宋体"/>
          <w:color w:val="333333"/>
          <w:kern w:val="0"/>
          <w:sz w:val="28"/>
          <w:szCs w:val="28"/>
        </w:rPr>
      </w:pPr>
      <w:r>
        <w:rPr>
          <w:rFonts w:hint="eastAsia" w:ascii="宋体" w:hAnsi="宋体" w:cs="宋体"/>
          <w:color w:val="333333"/>
          <w:kern w:val="0"/>
          <w:sz w:val="28"/>
          <w:szCs w:val="28"/>
        </w:rPr>
        <w:t>其中:财政拨款24.38万元，占总收入的96.14%;</w:t>
      </w:r>
    </w:p>
    <w:p>
      <w:pPr>
        <w:widowControl/>
        <w:shd w:val="clear" w:color="auto" w:fill="FFFFFF"/>
        <w:snapToGrid w:val="0"/>
        <w:spacing w:line="560" w:lineRule="atLeast"/>
        <w:ind w:firstLine="560" w:firstLineChars="200"/>
        <w:jc w:val="left"/>
        <w:rPr>
          <w:rFonts w:hint="eastAsia" w:ascii="宋体" w:hAnsi="宋体" w:cs="宋体"/>
          <w:color w:val="333333"/>
          <w:kern w:val="0"/>
          <w:sz w:val="28"/>
          <w:szCs w:val="28"/>
        </w:rPr>
      </w:pPr>
      <w:r>
        <w:rPr>
          <w:rFonts w:hint="eastAsia" w:ascii="宋体" w:hAnsi="宋体" w:cs="宋体"/>
          <w:color w:val="333333"/>
          <w:kern w:val="0"/>
          <w:sz w:val="28"/>
          <w:szCs w:val="28"/>
        </w:rPr>
        <w:t>其他收入0.98万元占总收入3.86%</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（二）收入决算情况说明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lang w:eastAsia="zh-CN"/>
        </w:rPr>
        <w:t>黄石港区团委</w:t>
      </w:r>
      <w:r>
        <w:rPr>
          <w:rFonts w:hint="eastAsia" w:ascii="微软雅黑" w:hAnsi="微软雅黑" w:eastAsia="微软雅黑" w:cs="微软雅黑"/>
          <w:b w:val="0"/>
          <w:i w:val="0"/>
          <w:caps w:val="0"/>
          <w:color w:val="333333"/>
          <w:spacing w:val="0"/>
          <w:sz w:val="24"/>
          <w:szCs w:val="24"/>
          <w:bdr w:val="none" w:color="auto" w:sz="0" w:space="0"/>
          <w:shd w:val="clear" w:fill="FFFFFF"/>
        </w:rPr>
        <w:t>2017年</w:t>
      </w:r>
      <w:r>
        <w:rPr>
          <w:rFonts w:hint="eastAsia" w:ascii="宋体" w:hAnsi="宋体" w:cs="宋体"/>
          <w:color w:val="333333"/>
          <w:kern w:val="0"/>
          <w:sz w:val="28"/>
          <w:szCs w:val="28"/>
        </w:rPr>
        <w:t>总收入25.36万元</w:t>
      </w:r>
      <w:r>
        <w:rPr>
          <w:rFonts w:hint="eastAsia" w:ascii="微软雅黑" w:hAnsi="微软雅黑" w:eastAsia="微软雅黑" w:cs="微软雅黑"/>
          <w:b w:val="0"/>
          <w:i w:val="0"/>
          <w:caps w:val="0"/>
          <w:color w:val="333333"/>
          <w:spacing w:val="0"/>
          <w:sz w:val="24"/>
          <w:szCs w:val="24"/>
          <w:bdr w:val="none" w:color="auto" w:sz="0" w:space="0"/>
          <w:shd w:val="clear" w:fill="FFFFFF"/>
        </w:rPr>
        <w:t>，占 100 %。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（三）支出决算情况说明</w:t>
      </w:r>
    </w:p>
    <w:p>
      <w:pPr>
        <w:widowControl/>
        <w:shd w:val="clear" w:color="auto" w:fill="FFFFFF"/>
        <w:snapToGrid w:val="0"/>
        <w:spacing w:line="560" w:lineRule="atLeast"/>
        <w:ind w:firstLine="560" w:firstLineChars="200"/>
        <w:jc w:val="left"/>
        <w:rPr>
          <w:rFonts w:hint="eastAsia" w:ascii="宋体" w:hAnsi="宋体" w:cs="宋体"/>
          <w:color w:val="333333"/>
          <w:kern w:val="0"/>
          <w:sz w:val="28"/>
          <w:szCs w:val="28"/>
        </w:rPr>
      </w:pPr>
      <w:r>
        <w:rPr>
          <w:rFonts w:hint="eastAsia" w:ascii="宋体" w:hAnsi="宋体" w:cs="宋体"/>
          <w:color w:val="333333"/>
          <w:kern w:val="0"/>
          <w:sz w:val="28"/>
          <w:szCs w:val="28"/>
        </w:rPr>
        <w:t>2017年总支出为25.36万元。比去年的17.39万元增加7.97万元，其中一般公共预算财政拨款支出24.38万元，具体构成如下：</w:t>
      </w:r>
    </w:p>
    <w:p>
      <w:pPr>
        <w:widowControl/>
        <w:shd w:val="clear" w:color="auto" w:fill="FFFFFF"/>
        <w:spacing w:line="360" w:lineRule="auto"/>
        <w:ind w:firstLine="560"/>
        <w:jc w:val="left"/>
        <w:rPr>
          <w:rFonts w:hint="eastAsia" w:ascii="宋体" w:hAnsi="宋体" w:cs="宋体"/>
          <w:color w:val="333333"/>
          <w:kern w:val="0"/>
          <w:sz w:val="28"/>
          <w:szCs w:val="28"/>
        </w:rPr>
      </w:pPr>
      <w:r>
        <w:rPr>
          <w:rFonts w:hint="eastAsia" w:ascii="宋体" w:hAnsi="宋体" w:cs="宋体"/>
          <w:color w:val="333333"/>
          <w:kern w:val="0"/>
          <w:sz w:val="28"/>
          <w:szCs w:val="28"/>
        </w:rPr>
        <w:t>（1）工资福利支出13.49万元。</w:t>
      </w:r>
    </w:p>
    <w:p>
      <w:pPr>
        <w:widowControl/>
        <w:shd w:val="clear" w:color="auto" w:fill="FFFFFF"/>
        <w:spacing w:line="360" w:lineRule="auto"/>
        <w:ind w:firstLine="560" w:firstLineChars="200"/>
        <w:jc w:val="left"/>
        <w:rPr>
          <w:rFonts w:hint="eastAsia" w:ascii="宋体" w:hAnsi="宋体" w:cs="宋体"/>
          <w:color w:val="333333"/>
          <w:kern w:val="0"/>
          <w:sz w:val="28"/>
          <w:szCs w:val="28"/>
        </w:rPr>
      </w:pPr>
      <w:r>
        <w:rPr>
          <w:rFonts w:hint="eastAsia" w:ascii="宋体" w:hAnsi="宋体" w:cs="宋体"/>
          <w:color w:val="333333"/>
          <w:kern w:val="0"/>
          <w:sz w:val="28"/>
          <w:szCs w:val="28"/>
        </w:rPr>
        <w:t>（2）商品和服务支出8.89万元。</w:t>
      </w:r>
    </w:p>
    <w:p>
      <w:pPr>
        <w:widowControl/>
        <w:shd w:val="clear" w:color="auto" w:fill="FFFFFF"/>
        <w:spacing w:line="360" w:lineRule="auto"/>
        <w:ind w:firstLine="420" w:firstLineChars="150"/>
        <w:jc w:val="left"/>
        <w:rPr>
          <w:rFonts w:hint="eastAsia" w:ascii="宋体" w:hAnsi="宋体" w:cs="宋体"/>
          <w:color w:val="333333"/>
          <w:kern w:val="0"/>
          <w:sz w:val="28"/>
          <w:szCs w:val="28"/>
        </w:rPr>
      </w:pPr>
      <w:r>
        <w:rPr>
          <w:rFonts w:hint="eastAsia" w:ascii="宋体" w:hAnsi="宋体" w:cs="宋体"/>
          <w:color w:val="333333"/>
          <w:kern w:val="0"/>
          <w:sz w:val="28"/>
          <w:szCs w:val="28"/>
        </w:rPr>
        <w:t>（3）对个人和家庭的补助支出1.01万元。</w:t>
      </w:r>
    </w:p>
    <w:p>
      <w:pPr>
        <w:widowControl/>
        <w:shd w:val="clear" w:color="auto" w:fill="FFFFFF"/>
        <w:spacing w:line="360" w:lineRule="auto"/>
        <w:ind w:firstLine="420" w:firstLineChars="150"/>
        <w:jc w:val="left"/>
        <w:rPr>
          <w:rFonts w:hint="eastAsia" w:ascii="宋体" w:hAnsi="宋体" w:cs="宋体"/>
          <w:color w:val="333333"/>
          <w:kern w:val="0"/>
          <w:sz w:val="28"/>
          <w:szCs w:val="28"/>
        </w:rPr>
      </w:pPr>
      <w:r>
        <w:rPr>
          <w:rFonts w:hint="eastAsia" w:ascii="宋体" w:hAnsi="宋体" w:cs="宋体"/>
          <w:color w:val="333333"/>
          <w:kern w:val="0"/>
          <w:sz w:val="28"/>
          <w:szCs w:val="28"/>
        </w:rPr>
        <w:t>（4）其他资本性支出0.99万元。</w:t>
      </w:r>
    </w:p>
    <w:p>
      <w:pPr>
        <w:widowControl/>
        <w:shd w:val="clear" w:color="auto" w:fill="FFFFFF"/>
        <w:snapToGrid w:val="0"/>
        <w:spacing w:line="560" w:lineRule="atLeast"/>
        <w:jc w:val="left"/>
        <w:rPr>
          <w:rFonts w:hint="eastAsia" w:ascii="宋体" w:hAnsi="宋体" w:cs="宋体"/>
          <w:color w:val="333333"/>
          <w:kern w:val="0"/>
          <w:sz w:val="28"/>
          <w:szCs w:val="2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（四）财政拨款收入支出决算总表说明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Fonts w:hint="eastAsia" w:ascii="微软雅黑" w:hAnsi="微软雅黑" w:eastAsia="微软雅黑" w:cs="微软雅黑"/>
          <w:b w:val="0"/>
          <w:i w:val="0"/>
          <w:caps w:val="0"/>
          <w:color w:val="333333"/>
          <w:spacing w:val="0"/>
          <w:sz w:val="24"/>
          <w:szCs w:val="24"/>
          <w:shd w:val="clear" w:fill="FFFFFF"/>
        </w:rPr>
      </w:pPr>
      <w:r>
        <w:rPr>
          <w:rFonts w:hint="eastAsia" w:ascii="微软雅黑" w:hAnsi="微软雅黑" w:eastAsia="微软雅黑" w:cs="微软雅黑"/>
          <w:b w:val="0"/>
          <w:i w:val="0"/>
          <w:caps w:val="0"/>
          <w:color w:val="333333"/>
          <w:spacing w:val="0"/>
          <w:sz w:val="24"/>
          <w:szCs w:val="24"/>
          <w:shd w:val="clear" w:fill="FFFFFF"/>
          <w:lang w:eastAsia="zh-CN"/>
        </w:rPr>
        <w:t>黄石港区团委</w:t>
      </w:r>
      <w:r>
        <w:rPr>
          <w:rFonts w:hint="eastAsia" w:ascii="微软雅黑" w:hAnsi="微软雅黑" w:eastAsia="微软雅黑" w:cs="微软雅黑"/>
          <w:b w:val="0"/>
          <w:i w:val="0"/>
          <w:caps w:val="0"/>
          <w:color w:val="333333"/>
          <w:spacing w:val="0"/>
          <w:sz w:val="24"/>
          <w:szCs w:val="24"/>
          <w:shd w:val="clear" w:fill="FFFFFF"/>
        </w:rPr>
        <w:t>2017年</w:t>
      </w:r>
      <w:r>
        <w:rPr>
          <w:rFonts w:hint="eastAsia" w:ascii="宋体" w:hAnsi="宋体" w:eastAsia="微软雅黑" w:cs="宋体"/>
          <w:color w:val="333333"/>
          <w:kern w:val="0"/>
          <w:sz w:val="28"/>
          <w:szCs w:val="28"/>
          <w:lang w:eastAsia="zh-CN"/>
        </w:rPr>
        <w:t>财政拨款</w:t>
      </w:r>
      <w:r>
        <w:rPr>
          <w:rFonts w:hint="eastAsia" w:ascii="宋体" w:hAnsi="宋体" w:cs="宋体"/>
          <w:color w:val="333333"/>
          <w:kern w:val="0"/>
          <w:sz w:val="28"/>
          <w:szCs w:val="28"/>
        </w:rPr>
        <w:t>25.36万元</w:t>
      </w:r>
      <w:r>
        <w:rPr>
          <w:rFonts w:hint="eastAsia" w:ascii="微软雅黑" w:hAnsi="微软雅黑" w:eastAsia="微软雅黑" w:cs="微软雅黑"/>
          <w:b w:val="0"/>
          <w:i w:val="0"/>
          <w:caps w:val="0"/>
          <w:color w:val="333333"/>
          <w:spacing w:val="0"/>
          <w:sz w:val="24"/>
          <w:szCs w:val="24"/>
          <w:shd w:val="clear" w:fill="FFFFFF"/>
        </w:rPr>
        <w:t>，占 100 %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（五）公共预算财政拨款支出决算情况说明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lang w:eastAsia="zh-CN"/>
        </w:rPr>
        <w:t>黄石港区团委</w:t>
      </w:r>
      <w:r>
        <w:rPr>
          <w:rFonts w:hint="eastAsia" w:ascii="微软雅黑" w:hAnsi="微软雅黑" w:eastAsia="微软雅黑" w:cs="微软雅黑"/>
          <w:b w:val="0"/>
          <w:i w:val="0"/>
          <w:caps w:val="0"/>
          <w:color w:val="333333"/>
          <w:spacing w:val="0"/>
          <w:sz w:val="24"/>
          <w:szCs w:val="24"/>
          <w:bdr w:val="none" w:color="auto" w:sz="0" w:space="0"/>
          <w:shd w:val="clear" w:fill="FFFFFF"/>
        </w:rPr>
        <w:t>2017年财政拨款总支出</w:t>
      </w:r>
      <w:r>
        <w:rPr>
          <w:rFonts w:hint="eastAsia" w:ascii="宋体" w:hAnsi="宋体" w:cs="宋体"/>
          <w:color w:val="333333"/>
          <w:kern w:val="0"/>
          <w:sz w:val="28"/>
          <w:szCs w:val="28"/>
        </w:rPr>
        <w:t>25.36</w:t>
      </w:r>
      <w:r>
        <w:rPr>
          <w:rFonts w:hint="eastAsia" w:ascii="微软雅黑" w:hAnsi="微软雅黑" w:eastAsia="微软雅黑" w:cs="微软雅黑"/>
          <w:b w:val="0"/>
          <w:i w:val="0"/>
          <w:caps w:val="0"/>
          <w:color w:val="333333"/>
          <w:spacing w:val="0"/>
          <w:sz w:val="24"/>
          <w:szCs w:val="24"/>
          <w:bdr w:val="none" w:color="auto" w:sz="0" w:space="0"/>
          <w:shd w:val="clear" w:fill="FFFFFF"/>
        </w:rPr>
        <w:t>万元，2017年部门本级决算公共预算财政拨款基本支出</w:t>
      </w:r>
      <w:r>
        <w:rPr>
          <w:rFonts w:hint="eastAsia" w:ascii="宋体" w:hAnsi="宋体" w:cs="宋体"/>
          <w:color w:val="333333"/>
          <w:kern w:val="0"/>
          <w:sz w:val="28"/>
          <w:szCs w:val="28"/>
        </w:rPr>
        <w:t>25.36</w:t>
      </w:r>
      <w:r>
        <w:rPr>
          <w:rFonts w:hint="eastAsia" w:ascii="微软雅黑" w:hAnsi="微软雅黑" w:eastAsia="微软雅黑" w:cs="微软雅黑"/>
          <w:b w:val="0"/>
          <w:i w:val="0"/>
          <w:caps w:val="0"/>
          <w:color w:val="333333"/>
          <w:spacing w:val="0"/>
          <w:sz w:val="24"/>
          <w:szCs w:val="24"/>
          <w:bdr w:val="none" w:color="auto" w:sz="0" w:space="0"/>
          <w:shd w:val="clear" w:fill="FFFFFF"/>
        </w:rPr>
        <w:t>万元。公共预算财政拨款支出按支出功能分类情况如下：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xml:space="preserve">一般公共服务支出类 </w:t>
      </w:r>
      <w:r>
        <w:rPr>
          <w:rFonts w:hint="eastAsia" w:ascii="微软雅黑" w:hAnsi="微软雅黑" w:eastAsia="微软雅黑" w:cs="微软雅黑"/>
          <w:b w:val="0"/>
          <w:i w:val="0"/>
          <w:caps w:val="0"/>
          <w:color w:val="333333"/>
          <w:spacing w:val="0"/>
          <w:sz w:val="24"/>
          <w:szCs w:val="24"/>
          <w:bdr w:val="none" w:color="auto" w:sz="0" w:space="0"/>
          <w:shd w:val="clear" w:fill="FFFFFF"/>
          <w:lang w:val="en-US" w:eastAsia="zh-CN"/>
        </w:rPr>
        <w:t>25.36</w:t>
      </w:r>
      <w:r>
        <w:rPr>
          <w:rFonts w:hint="eastAsia" w:ascii="微软雅黑" w:hAnsi="微软雅黑" w:eastAsia="微软雅黑" w:cs="微软雅黑"/>
          <w:b w:val="0"/>
          <w:i w:val="0"/>
          <w:caps w:val="0"/>
          <w:color w:val="333333"/>
          <w:spacing w:val="0"/>
          <w:sz w:val="24"/>
          <w:szCs w:val="24"/>
          <w:bdr w:val="none" w:color="auto" w:sz="0" w:space="0"/>
          <w:shd w:val="clear" w:fill="FFFFFF"/>
        </w:rPr>
        <w:t xml:space="preserve"> 万元，占本年支出</w:t>
      </w:r>
      <w:r>
        <w:rPr>
          <w:rFonts w:hint="eastAsia" w:ascii="微软雅黑" w:hAnsi="微软雅黑" w:eastAsia="微软雅黑" w:cs="微软雅黑"/>
          <w:b w:val="0"/>
          <w:i w:val="0"/>
          <w:caps w:val="0"/>
          <w:color w:val="333333"/>
          <w:spacing w:val="0"/>
          <w:sz w:val="24"/>
          <w:szCs w:val="24"/>
          <w:bdr w:val="none" w:color="auto" w:sz="0" w:space="0"/>
          <w:shd w:val="clear" w:fill="FFFFFF"/>
          <w:lang w:val="en-US" w:eastAsia="zh-CN"/>
        </w:rPr>
        <w:t>100</w:t>
      </w:r>
      <w:r>
        <w:rPr>
          <w:rFonts w:hint="eastAsia" w:ascii="微软雅黑" w:hAnsi="微软雅黑" w:eastAsia="微软雅黑" w:cs="微软雅黑"/>
          <w:b w:val="0"/>
          <w:i w:val="0"/>
          <w:caps w:val="0"/>
          <w:color w:val="333333"/>
          <w:spacing w:val="0"/>
          <w:sz w:val="24"/>
          <w:szCs w:val="24"/>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（六）公共预算财政拨款基本支出决算情况说明</w:t>
      </w:r>
    </w:p>
    <w:p>
      <w:pPr>
        <w:widowControl/>
        <w:shd w:val="clear" w:color="auto" w:fill="FFFFFF"/>
        <w:snapToGrid w:val="0"/>
        <w:spacing w:line="560" w:lineRule="atLeast"/>
        <w:ind w:firstLine="560" w:firstLineChars="200"/>
        <w:jc w:val="left"/>
        <w:rPr>
          <w:rFonts w:hint="eastAsia" w:ascii="宋体" w:hAnsi="宋体" w:cs="宋体"/>
          <w:color w:val="333333"/>
          <w:kern w:val="0"/>
          <w:sz w:val="28"/>
          <w:szCs w:val="28"/>
        </w:rPr>
      </w:pPr>
      <w:r>
        <w:rPr>
          <w:rFonts w:hint="eastAsia" w:ascii="宋体" w:hAnsi="宋体" w:cs="宋体"/>
          <w:color w:val="333333"/>
          <w:kern w:val="0"/>
          <w:sz w:val="28"/>
          <w:szCs w:val="28"/>
        </w:rPr>
        <w:t>2017年</w:t>
      </w:r>
      <w:r>
        <w:rPr>
          <w:rFonts w:hint="eastAsia" w:ascii="宋体" w:hAnsi="宋体" w:cs="宋体"/>
          <w:color w:val="333333"/>
          <w:kern w:val="0"/>
          <w:sz w:val="28"/>
          <w:szCs w:val="28"/>
          <w:lang w:eastAsia="zh-CN"/>
        </w:rPr>
        <w:t>基本</w:t>
      </w:r>
      <w:r>
        <w:rPr>
          <w:rFonts w:hint="eastAsia" w:ascii="宋体" w:hAnsi="宋体" w:cs="宋体"/>
          <w:color w:val="333333"/>
          <w:kern w:val="0"/>
          <w:sz w:val="28"/>
          <w:szCs w:val="28"/>
        </w:rPr>
        <w:t>支出为25.36万元。比去年的17.39万元增加7.97万元，其中一般公共预算财政拨款支出24.38万元，具体构成如下：</w:t>
      </w:r>
    </w:p>
    <w:p>
      <w:pPr>
        <w:widowControl/>
        <w:shd w:val="clear" w:color="auto" w:fill="FFFFFF"/>
        <w:spacing w:line="360" w:lineRule="auto"/>
        <w:ind w:firstLine="560"/>
        <w:jc w:val="left"/>
        <w:rPr>
          <w:rFonts w:hint="eastAsia" w:ascii="宋体" w:hAnsi="宋体" w:cs="宋体"/>
          <w:color w:val="333333"/>
          <w:kern w:val="0"/>
          <w:sz w:val="28"/>
          <w:szCs w:val="28"/>
        </w:rPr>
      </w:pPr>
      <w:r>
        <w:rPr>
          <w:rFonts w:hint="eastAsia" w:ascii="宋体" w:hAnsi="宋体" w:cs="宋体"/>
          <w:color w:val="333333"/>
          <w:kern w:val="0"/>
          <w:sz w:val="28"/>
          <w:szCs w:val="28"/>
        </w:rPr>
        <w:t>（1）工资福利支出13.49万元。</w:t>
      </w:r>
    </w:p>
    <w:p>
      <w:pPr>
        <w:widowControl/>
        <w:shd w:val="clear" w:color="auto" w:fill="FFFFFF"/>
        <w:spacing w:line="360" w:lineRule="auto"/>
        <w:ind w:firstLine="560" w:firstLineChars="200"/>
        <w:jc w:val="left"/>
        <w:rPr>
          <w:rFonts w:hint="eastAsia" w:ascii="宋体" w:hAnsi="宋体" w:cs="宋体"/>
          <w:color w:val="333333"/>
          <w:kern w:val="0"/>
          <w:sz w:val="28"/>
          <w:szCs w:val="28"/>
        </w:rPr>
      </w:pPr>
      <w:r>
        <w:rPr>
          <w:rFonts w:hint="eastAsia" w:ascii="宋体" w:hAnsi="宋体" w:cs="宋体"/>
          <w:color w:val="333333"/>
          <w:kern w:val="0"/>
          <w:sz w:val="28"/>
          <w:szCs w:val="28"/>
        </w:rPr>
        <w:t>（2）商品和服务支出8.89万元。</w:t>
      </w:r>
    </w:p>
    <w:p>
      <w:pPr>
        <w:widowControl/>
        <w:shd w:val="clear" w:color="auto" w:fill="FFFFFF"/>
        <w:spacing w:line="360" w:lineRule="auto"/>
        <w:ind w:firstLine="420" w:firstLineChars="150"/>
        <w:jc w:val="left"/>
        <w:rPr>
          <w:rFonts w:hint="eastAsia" w:ascii="宋体" w:hAnsi="宋体" w:cs="宋体"/>
          <w:color w:val="333333"/>
          <w:kern w:val="0"/>
          <w:sz w:val="28"/>
          <w:szCs w:val="28"/>
        </w:rPr>
      </w:pPr>
      <w:r>
        <w:rPr>
          <w:rFonts w:hint="eastAsia" w:ascii="宋体" w:hAnsi="宋体" w:cs="宋体"/>
          <w:color w:val="333333"/>
          <w:kern w:val="0"/>
          <w:sz w:val="28"/>
          <w:szCs w:val="28"/>
        </w:rPr>
        <w:t>（3）对个人和家庭的补助支出1.01万元。</w:t>
      </w:r>
    </w:p>
    <w:p>
      <w:pPr>
        <w:widowControl/>
        <w:shd w:val="clear" w:color="auto" w:fill="FFFFFF"/>
        <w:spacing w:line="360" w:lineRule="auto"/>
        <w:ind w:firstLine="420" w:firstLineChars="150"/>
        <w:jc w:val="left"/>
        <w:rPr>
          <w:rFonts w:hint="eastAsia" w:ascii="宋体" w:hAnsi="宋体" w:cs="宋体"/>
          <w:color w:val="333333"/>
          <w:kern w:val="0"/>
          <w:sz w:val="28"/>
          <w:szCs w:val="28"/>
        </w:rPr>
      </w:pPr>
      <w:r>
        <w:rPr>
          <w:rFonts w:hint="eastAsia" w:ascii="宋体" w:hAnsi="宋体" w:cs="宋体"/>
          <w:color w:val="333333"/>
          <w:kern w:val="0"/>
          <w:sz w:val="28"/>
          <w:szCs w:val="28"/>
        </w:rPr>
        <w:t>（4）其他资本性支出0.99万元。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（七）“三公”经费公共预算财政拨款支出决算情况说明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Fonts w:hint="eastAsia"/>
          <w:sz w:val="28"/>
          <w:szCs w:val="28"/>
        </w:rPr>
      </w:pPr>
      <w:r>
        <w:rPr>
          <w:rFonts w:hint="eastAsia"/>
          <w:sz w:val="28"/>
          <w:szCs w:val="28"/>
        </w:rPr>
        <w:t>今年无三公经费支出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（八）政府性基金预算财政拨款收入支出决算情况说明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lang w:eastAsia="zh-CN"/>
        </w:rPr>
        <w:t>黄石港区团委</w:t>
      </w:r>
      <w:r>
        <w:rPr>
          <w:rFonts w:hint="eastAsia" w:ascii="微软雅黑" w:hAnsi="微软雅黑" w:eastAsia="微软雅黑" w:cs="微软雅黑"/>
          <w:b w:val="0"/>
          <w:i w:val="0"/>
          <w:caps w:val="0"/>
          <w:color w:val="333333"/>
          <w:spacing w:val="0"/>
          <w:sz w:val="24"/>
          <w:szCs w:val="24"/>
          <w:bdr w:val="none" w:color="auto" w:sz="0" w:space="0"/>
          <w:shd w:val="clear" w:fill="FFFFFF"/>
        </w:rPr>
        <w:t>政府性基金支出0万元。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Style w:val="5"/>
          <w:rFonts w:hint="eastAsia" w:ascii="微软雅黑" w:hAnsi="微软雅黑" w:eastAsia="微软雅黑" w:cs="微软雅黑"/>
          <w:i w:val="0"/>
          <w:caps w:val="0"/>
          <w:color w:val="333333"/>
          <w:spacing w:val="0"/>
          <w:sz w:val="24"/>
          <w:szCs w:val="24"/>
          <w:bdr w:val="none" w:color="auto" w:sz="0" w:space="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Style w:val="5"/>
          <w:rFonts w:hint="eastAsia" w:ascii="微软雅黑" w:hAnsi="微软雅黑" w:eastAsia="微软雅黑" w:cs="微软雅黑"/>
          <w:i w:val="0"/>
          <w:caps w:val="0"/>
          <w:color w:val="333333"/>
          <w:spacing w:val="0"/>
          <w:sz w:val="24"/>
          <w:szCs w:val="24"/>
          <w:bdr w:val="none" w:color="auto" w:sz="0" w:space="0"/>
          <w:shd w:val="clear" w:fill="FFFFFF"/>
        </w:rPr>
        <w:t>第四部分</w:t>
      </w:r>
      <w:r>
        <w:rPr>
          <w:rStyle w:val="5"/>
          <w:rFonts w:hint="eastAsia" w:ascii="微软雅黑" w:hAnsi="微软雅黑" w:eastAsia="微软雅黑" w:cs="微软雅黑"/>
          <w:i w:val="0"/>
          <w:caps w:val="0"/>
          <w:color w:val="333333"/>
          <w:spacing w:val="0"/>
          <w:sz w:val="24"/>
          <w:szCs w:val="24"/>
          <w:bdr w:val="none" w:color="auto" w:sz="0" w:space="0"/>
          <w:shd w:val="clear" w:fill="FFFFFF"/>
          <w:lang w:val="en-US" w:eastAsia="zh-CN"/>
        </w:rPr>
        <w:t xml:space="preserve"> </w:t>
      </w:r>
      <w:bookmarkStart w:id="0" w:name="_GoBack"/>
      <w:bookmarkEnd w:id="0"/>
      <w:r>
        <w:rPr>
          <w:rStyle w:val="5"/>
          <w:rFonts w:hint="eastAsia" w:ascii="微软雅黑" w:hAnsi="微软雅黑" w:eastAsia="微软雅黑" w:cs="微软雅黑"/>
          <w:i w:val="0"/>
          <w:caps w:val="0"/>
          <w:color w:val="333333"/>
          <w:spacing w:val="0"/>
          <w:sz w:val="24"/>
          <w:szCs w:val="24"/>
          <w:bdr w:val="none" w:color="auto" w:sz="0" w:space="0"/>
          <w:shd w:val="clear" w:fill="FFFFFF"/>
        </w:rPr>
        <w:t>名词解释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一、财政补助收入：指县级财政当年拨付的资金。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二、其他收入：指除“财政拨款收入”、“上级补助收入”、“事业收入”、“经营收入”等以外的收入。主要是存款利息收入等。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三、年初结转和结余：指以前年度尚未完成、结转到本年按有关规定继续使用的资金。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四、一般公共服务（类）行政运行（项）：指县行政单位及参照公务员管理事业单位用于保障机构正常运行、开展日常工作的基本支出。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五、一般公共服务（类）一般行政管理事务（项）：指县行政单位及参照公务员管理事业单位用于开展立法调研、财政信息宣传、非税收入征管等未单独设置项级科目的专门性财政管理工作的项目支出。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六、一般公共服务（类）机关服务（项）：指县</w:t>
      </w:r>
      <w:r>
        <w:rPr>
          <w:rFonts w:hint="eastAsia" w:ascii="微软雅黑" w:hAnsi="微软雅黑" w:eastAsia="微软雅黑" w:cs="微软雅黑"/>
          <w:b w:val="0"/>
          <w:i w:val="0"/>
          <w:caps w:val="0"/>
          <w:color w:val="333333"/>
          <w:spacing w:val="0"/>
          <w:sz w:val="24"/>
          <w:szCs w:val="24"/>
          <w:bdr w:val="none" w:color="auto" w:sz="0" w:space="0"/>
          <w:shd w:val="clear" w:fill="FFFFFF"/>
          <w:lang w:eastAsia="zh-CN"/>
        </w:rPr>
        <w:t>黄石港区团委</w:t>
      </w:r>
      <w:r>
        <w:rPr>
          <w:rFonts w:hint="eastAsia" w:ascii="微软雅黑" w:hAnsi="微软雅黑" w:eastAsia="微软雅黑" w:cs="微软雅黑"/>
          <w:b w:val="0"/>
          <w:i w:val="0"/>
          <w:caps w:val="0"/>
          <w:color w:val="333333"/>
          <w:spacing w:val="0"/>
          <w:sz w:val="24"/>
          <w:szCs w:val="24"/>
          <w:bdr w:val="none" w:color="auto" w:sz="0" w:space="0"/>
          <w:shd w:val="clear" w:fill="FFFFFF"/>
        </w:rPr>
        <w:t>服务中心为机关提供办公楼日常维修、维护等后勤保障服务的支出。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七、一般公共服务（类）其他一般公共服务支出（款）其他一般公共服务支出（项）：指</w:t>
      </w:r>
      <w:r>
        <w:rPr>
          <w:rFonts w:hint="eastAsia" w:ascii="微软雅黑" w:hAnsi="微软雅黑" w:eastAsia="微软雅黑" w:cs="微软雅黑"/>
          <w:b w:val="0"/>
          <w:i w:val="0"/>
          <w:caps w:val="0"/>
          <w:color w:val="333333"/>
          <w:spacing w:val="0"/>
          <w:sz w:val="24"/>
          <w:szCs w:val="24"/>
          <w:bdr w:val="none" w:color="auto" w:sz="0" w:space="0"/>
          <w:shd w:val="clear" w:fill="FFFFFF"/>
          <w:lang w:eastAsia="zh-CN"/>
        </w:rPr>
        <w:t>黄石港区团委</w:t>
      </w:r>
      <w:r>
        <w:rPr>
          <w:rFonts w:hint="eastAsia" w:ascii="微软雅黑" w:hAnsi="微软雅黑" w:eastAsia="微软雅黑" w:cs="微软雅黑"/>
          <w:b w:val="0"/>
          <w:i w:val="0"/>
          <w:caps w:val="0"/>
          <w:color w:val="333333"/>
          <w:spacing w:val="0"/>
          <w:sz w:val="24"/>
          <w:szCs w:val="24"/>
          <w:bdr w:val="none" w:color="auto" w:sz="0" w:space="0"/>
          <w:shd w:val="clear" w:fill="FFFFFF"/>
        </w:rPr>
        <w:t>用于其他一般公共服务方面的支出。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八、教育（类）普通教育（款）高等教育（项）：指</w:t>
      </w:r>
      <w:r>
        <w:rPr>
          <w:rFonts w:hint="eastAsia" w:ascii="微软雅黑" w:hAnsi="微软雅黑" w:eastAsia="微软雅黑" w:cs="微软雅黑"/>
          <w:b w:val="0"/>
          <w:i w:val="0"/>
          <w:caps w:val="0"/>
          <w:color w:val="333333"/>
          <w:spacing w:val="0"/>
          <w:sz w:val="24"/>
          <w:szCs w:val="24"/>
          <w:bdr w:val="none" w:color="auto" w:sz="0" w:space="0"/>
          <w:shd w:val="clear" w:fill="FFFFFF"/>
          <w:lang w:eastAsia="zh-CN"/>
        </w:rPr>
        <w:t>黄石港区团委</w:t>
      </w:r>
      <w:r>
        <w:rPr>
          <w:rFonts w:hint="eastAsia" w:ascii="微软雅黑" w:hAnsi="微软雅黑" w:eastAsia="微软雅黑" w:cs="微软雅黑"/>
          <w:b w:val="0"/>
          <w:i w:val="0"/>
          <w:caps w:val="0"/>
          <w:color w:val="333333"/>
          <w:spacing w:val="0"/>
          <w:sz w:val="24"/>
          <w:szCs w:val="24"/>
          <w:bdr w:val="none" w:color="auto" w:sz="0" w:space="0"/>
          <w:shd w:val="clear" w:fill="FFFFFF"/>
        </w:rPr>
        <w:t>厅支持地方高校的重点发展和特色办学，组织专家对省属院校申报的建设规划和项目预算进行评审等相关工作的支出。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九、社会保障和就业(类)行政事业单位离退休（款）归口管理的行政单位离退休（项）：指</w:t>
      </w:r>
      <w:r>
        <w:rPr>
          <w:rFonts w:hint="eastAsia" w:ascii="微软雅黑" w:hAnsi="微软雅黑" w:eastAsia="微软雅黑" w:cs="微软雅黑"/>
          <w:b w:val="0"/>
          <w:i w:val="0"/>
          <w:caps w:val="0"/>
          <w:color w:val="333333"/>
          <w:spacing w:val="0"/>
          <w:sz w:val="24"/>
          <w:szCs w:val="24"/>
          <w:bdr w:val="none" w:color="auto" w:sz="0" w:space="0"/>
          <w:shd w:val="clear" w:fill="FFFFFF"/>
          <w:lang w:eastAsia="zh-CN"/>
        </w:rPr>
        <w:t>黄石港区团委</w:t>
      </w:r>
      <w:r>
        <w:rPr>
          <w:rFonts w:hint="eastAsia" w:ascii="微软雅黑" w:hAnsi="微软雅黑" w:eastAsia="微软雅黑" w:cs="微软雅黑"/>
          <w:b w:val="0"/>
          <w:i w:val="0"/>
          <w:caps w:val="0"/>
          <w:color w:val="333333"/>
          <w:spacing w:val="0"/>
          <w:sz w:val="24"/>
          <w:szCs w:val="24"/>
          <w:bdr w:val="none" w:color="auto" w:sz="0" w:space="0"/>
          <w:shd w:val="clear" w:fill="FFFFFF"/>
        </w:rPr>
        <w:t>用于离退休人员的支出、退休人员支出，以及提供管理服务工作的离退休干部处的支出。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十、社会保障和就业(类)行政事业单位离退休（款）其他行政事业单位离退休支出（项）：指</w:t>
      </w:r>
      <w:r>
        <w:rPr>
          <w:rFonts w:hint="eastAsia" w:ascii="微软雅黑" w:hAnsi="微软雅黑" w:eastAsia="微软雅黑" w:cs="微软雅黑"/>
          <w:b w:val="0"/>
          <w:i w:val="0"/>
          <w:caps w:val="0"/>
          <w:color w:val="333333"/>
          <w:spacing w:val="0"/>
          <w:sz w:val="24"/>
          <w:szCs w:val="24"/>
          <w:bdr w:val="none" w:color="auto" w:sz="0" w:space="0"/>
          <w:shd w:val="clear" w:fill="FFFFFF"/>
          <w:lang w:eastAsia="zh-CN"/>
        </w:rPr>
        <w:t>黄石港区团委</w:t>
      </w:r>
      <w:r>
        <w:rPr>
          <w:rFonts w:hint="eastAsia" w:ascii="微软雅黑" w:hAnsi="微软雅黑" w:eastAsia="微软雅黑" w:cs="微软雅黑"/>
          <w:b w:val="0"/>
          <w:i w:val="0"/>
          <w:caps w:val="0"/>
          <w:color w:val="333333"/>
          <w:spacing w:val="0"/>
          <w:sz w:val="24"/>
          <w:szCs w:val="24"/>
          <w:bdr w:val="none" w:color="auto" w:sz="0" w:space="0"/>
          <w:shd w:val="clear" w:fill="FFFFFF"/>
        </w:rPr>
        <w:t>用于离退休方面的其他支出。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十一、医疗卫生与计划生育（类）医疗保障（款）行政单位医疗（项）：指</w:t>
      </w:r>
      <w:r>
        <w:rPr>
          <w:rFonts w:hint="eastAsia" w:ascii="微软雅黑" w:hAnsi="微软雅黑" w:eastAsia="微软雅黑" w:cs="微软雅黑"/>
          <w:b w:val="0"/>
          <w:i w:val="0"/>
          <w:caps w:val="0"/>
          <w:color w:val="333333"/>
          <w:spacing w:val="0"/>
          <w:sz w:val="24"/>
          <w:szCs w:val="24"/>
          <w:bdr w:val="none" w:color="auto" w:sz="0" w:space="0"/>
          <w:shd w:val="clear" w:fill="FFFFFF"/>
          <w:lang w:eastAsia="zh-CN"/>
        </w:rPr>
        <w:t>黄石港区团委</w:t>
      </w:r>
      <w:r>
        <w:rPr>
          <w:rFonts w:hint="eastAsia" w:ascii="微软雅黑" w:hAnsi="微软雅黑" w:eastAsia="微软雅黑" w:cs="微软雅黑"/>
          <w:b w:val="0"/>
          <w:i w:val="0"/>
          <w:caps w:val="0"/>
          <w:color w:val="333333"/>
          <w:spacing w:val="0"/>
          <w:sz w:val="24"/>
          <w:szCs w:val="24"/>
          <w:bdr w:val="none" w:color="auto" w:sz="0" w:space="0"/>
          <w:shd w:val="clear" w:fill="FFFFFF"/>
        </w:rPr>
        <w:t>用于机关干部职工及离退休人员医疗方面的支出。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十二、住房保障（类）住房改革支出（款）购房补贴（项）：指按照相关住房分配货币化改革的政策规定和标准，对无房和住房未达标职工发放的住房分配货币化补贴资金。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十三、年末结转和结余：指本年度或以前年度预算安排、因客观条件发生变化无法按原计划实施，需要延迟到以后年度按有关规定继续使用的资金。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十四、基本支出：指为保障机构正常运转、完成日常工作任务而发生的人员支出（包括基本工资、津贴补贴等）和公用支出（包括办公费、水电费、邮电费、交通费、差旅费等）。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十五、项目支出：指在基本支出之外为完成特定行政任务和事业发展目标所发生的支出。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十六、“三公”经费：是指用财政拨款安排的因公出国（境）费、公务用车购置及运行维护费、公务接待费。</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818640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5"/>
    <w:basedOn w:val="1"/>
    <w:next w:val="1"/>
    <w:semiHidden/>
    <w:unhideWhenUsed/>
    <w:qFormat/>
    <w:uiPriority w:val="0"/>
    <w:pPr>
      <w:spacing w:before="0" w:beforeAutospacing="1" w:after="0" w:afterAutospacing="1"/>
      <w:jc w:val="left"/>
    </w:pPr>
    <w:rPr>
      <w:rFonts w:hint="eastAsia" w:ascii="宋体" w:hAnsi="宋体" w:eastAsia="宋体" w:cs="宋体"/>
      <w:b/>
      <w:kern w:val="0"/>
      <w:sz w:val="20"/>
      <w:szCs w:val="20"/>
      <w:lang w:val="en-US" w:eastAsia="zh-CN" w:bidi="ar"/>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Office_11.1.0.7849_F1E327BC-269C-435d-A152-05C5408002CA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gg</dc:creator>
  <cp:lastModifiedBy>侒靜啲喧嘩</cp:lastModifiedBy>
  <dcterms:modified xsi:type="dcterms:W3CDTF">2019-02-27T08:03:23Z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2052-11.1.0.7849</vt:lpwstr>
  </property>
</Properties>
</file>