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团委</w:t>
      </w:r>
      <w:r>
        <w:rPr>
          <w:rFonts w:ascii="微软雅黑" w:hAnsi="微软雅黑" w:eastAsia="微软雅黑" w:cs="微软雅黑"/>
          <w:color w:val="BC1010"/>
          <w:sz w:val="40"/>
          <w:szCs w:val="40"/>
          <w:shd w:val="clear" w:color="auto" w:fill="FFFFFF"/>
        </w:rPr>
        <w:t>2018</w:t>
      </w:r>
      <w:r>
        <w:rPr>
          <w:rFonts w:hint="eastAsia" w:ascii="微软雅黑" w:hAnsi="微软雅黑" w:eastAsia="微软雅黑" w:cs="微软雅黑"/>
          <w:color w:val="BC1010"/>
          <w:sz w:val="40"/>
          <w:szCs w:val="40"/>
          <w:shd w:val="clear" w:color="auto" w:fill="FFFFFF"/>
        </w:rPr>
        <w:t>年决算公开</w:t>
      </w:r>
    </w:p>
    <w:p>
      <w:pPr>
        <w:pStyle w:val="5"/>
        <w:widowControl/>
        <w:spacing w:before="76" w:beforeAutospacing="0" w:after="76" w:afterAutospacing="0" w:line="450" w:lineRule="atLeast"/>
        <w:ind w:firstLine="420"/>
        <w:jc w:val="center"/>
        <w:rPr>
          <w:color w:val="333333"/>
        </w:rPr>
      </w:pPr>
      <w:r>
        <w:rPr>
          <w:rStyle w:val="7"/>
          <w:rFonts w:hint="eastAsia" w:ascii="微软雅黑" w:hAnsi="微软雅黑" w:eastAsia="微软雅黑" w:cs="微软雅黑"/>
          <w:color w:val="333333"/>
          <w:shd w:val="clear" w:color="auto" w:fill="FFFFFF"/>
        </w:rPr>
        <w:t>黄石港区团委</w:t>
      </w:r>
      <w:r>
        <w:rPr>
          <w:rStyle w:val="7"/>
          <w:rFonts w:ascii="微软雅黑" w:hAnsi="微软雅黑" w:eastAsia="微软雅黑" w:cs="微软雅黑"/>
          <w:color w:val="333333"/>
          <w:shd w:val="clear" w:color="auto" w:fill="FFFFFF"/>
        </w:rPr>
        <w:t>2018</w:t>
      </w:r>
      <w:r>
        <w:rPr>
          <w:rStyle w:val="7"/>
          <w:rFonts w:hint="eastAsia" w:ascii="微软雅黑" w:hAnsi="微软雅黑" w:eastAsia="微软雅黑" w:cs="微软雅黑"/>
          <w:color w:val="333333"/>
          <w:shd w:val="clear" w:color="auto" w:fill="FFFFFF"/>
        </w:rPr>
        <w:t>年决算公开</w:t>
      </w:r>
    </w:p>
    <w:p>
      <w:pPr>
        <w:pStyle w:val="5"/>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w:t>
      </w:r>
      <w:r>
        <w:rPr>
          <w:rFonts w:ascii="微软雅黑" w:hAnsi="微软雅黑" w:eastAsia="微软雅黑" w:cs="微软雅黑"/>
          <w:color w:val="333333"/>
          <w:shd w:val="clear" w:color="auto" w:fill="FFFFFF"/>
        </w:rPr>
        <w:t xml:space="preserve">  </w:t>
      </w:r>
      <w:r>
        <w:rPr>
          <w:rFonts w:hint="eastAsia" w:ascii="微软雅黑" w:hAnsi="微软雅黑" w:eastAsia="微软雅黑" w:cs="微软雅黑"/>
          <w:color w:val="333333"/>
          <w:shd w:val="clear" w:color="auto" w:fill="FFFFFF"/>
        </w:rPr>
        <w:t>录</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第一部分</w:t>
      </w:r>
      <w:r>
        <w:rPr>
          <w:rFonts w:ascii="微软雅黑" w:hAnsi="微软雅黑" w:eastAsia="微软雅黑" w:cs="微软雅黑"/>
          <w:color w:val="333333"/>
          <w:shd w:val="clear" w:color="auto" w:fill="FFFFFF"/>
        </w:rPr>
        <w:t>:</w:t>
      </w:r>
      <w:r>
        <w:rPr>
          <w:rFonts w:hint="eastAsia" w:ascii="微软雅黑" w:hAnsi="微软雅黑" w:eastAsia="微软雅黑" w:cs="微软雅黑"/>
          <w:color w:val="333333"/>
          <w:shd w:val="clear" w:color="auto" w:fill="FFFFFF"/>
        </w:rPr>
        <w:t>部门基本情况</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一、部门主要职责</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二、部门决算单位构成</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第二部分</w:t>
      </w:r>
      <w:r>
        <w:rPr>
          <w:rFonts w:ascii="微软雅黑" w:hAnsi="微软雅黑" w:eastAsia="微软雅黑" w:cs="微软雅黑"/>
          <w:color w:val="333333"/>
          <w:shd w:val="clear" w:color="auto" w:fill="FFFFFF"/>
        </w:rPr>
        <w:t xml:space="preserve">: </w:t>
      </w:r>
      <w:r>
        <w:rPr>
          <w:rFonts w:hint="eastAsia" w:ascii="微软雅黑" w:hAnsi="微软雅黑" w:eastAsia="微软雅黑" w:cs="微软雅黑"/>
          <w:color w:val="333333"/>
          <w:shd w:val="clear" w:color="auto" w:fill="FFFFFF"/>
        </w:rPr>
        <w:t>部门</w:t>
      </w:r>
      <w:r>
        <w:rPr>
          <w:rFonts w:ascii="微软雅黑" w:hAnsi="微软雅黑" w:eastAsia="微软雅黑" w:cs="微软雅黑"/>
          <w:color w:val="333333"/>
          <w:shd w:val="clear" w:color="auto" w:fill="FFFFFF"/>
        </w:rPr>
        <w:t>2018</w:t>
      </w:r>
      <w:r>
        <w:rPr>
          <w:rFonts w:hint="eastAsia" w:ascii="微软雅黑" w:hAnsi="微软雅黑" w:eastAsia="微软雅黑" w:cs="微软雅黑"/>
          <w:color w:val="333333"/>
          <w:shd w:val="clear" w:color="auto" w:fill="FFFFFF"/>
        </w:rPr>
        <w:t>年部门决算表</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一、收入支出决算总表（表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二、收入决算表（表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三、支出决算表（表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四、财政拨款收入支出决算总表（表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五、一般公共预算财政拨款支出决算表（表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六、一般公共预算财政拨款基本支出决算表（表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七、一般公共预算财政拨款“三公”经费支出决算表（表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八、政府性基金预算财政拨款收入支出决算表（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第三部分：部门</w:t>
      </w:r>
      <w:r>
        <w:rPr>
          <w:rFonts w:ascii="微软雅黑" w:hAnsi="微软雅黑" w:eastAsia="微软雅黑" w:cs="微软雅黑"/>
          <w:color w:val="333333"/>
          <w:shd w:val="clear" w:color="auto" w:fill="FFFFFF"/>
        </w:rPr>
        <w:t>2018</w:t>
      </w:r>
      <w:r>
        <w:rPr>
          <w:rFonts w:hint="eastAsia" w:ascii="微软雅黑" w:hAnsi="微软雅黑" w:eastAsia="微软雅黑" w:cs="微软雅黑"/>
          <w:color w:val="333333"/>
          <w:shd w:val="clear" w:color="auto" w:fill="FFFFFF"/>
        </w:rPr>
        <w:t>年部门决算情况说明</w:t>
      </w:r>
    </w:p>
    <w:p>
      <w:pPr>
        <w:pStyle w:val="5"/>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一、预算执行情况分析</w:t>
      </w:r>
    </w:p>
    <w:p>
      <w:pPr>
        <w:pStyle w:val="5"/>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二、关于“三公”经费支出说明</w:t>
      </w:r>
    </w:p>
    <w:p>
      <w:pPr>
        <w:pStyle w:val="5"/>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三、关于机关运行经费支出说明</w:t>
      </w:r>
    </w:p>
    <w:p>
      <w:pPr>
        <w:pStyle w:val="5"/>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四、关于政府采购支出说明</w:t>
      </w:r>
    </w:p>
    <w:p>
      <w:pPr>
        <w:pStyle w:val="5"/>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五、关于国有资产占用情况说明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color w:val="333333"/>
          <w:shd w:val="clear" w:color="auto" w:fill="FFFFFF"/>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5"/>
        <w:widowControl/>
        <w:spacing w:before="76" w:beforeAutospacing="0" w:after="76" w:afterAutospacing="0" w:line="450" w:lineRule="atLeast"/>
        <w:ind w:firstLine="360" w:firstLineChars="150"/>
        <w:rPr>
          <w:color w:val="333333"/>
        </w:rPr>
      </w:pPr>
      <w:r>
        <w:rPr>
          <w:rFonts w:hint="eastAsia" w:ascii="微软雅黑" w:hAnsi="微软雅黑" w:eastAsia="微软雅黑" w:cs="微软雅黑"/>
          <w:color w:val="333333"/>
          <w:shd w:val="clear" w:color="auto" w:fill="FFFFFF"/>
        </w:rPr>
        <w:t>第四部分：名词解释</w:t>
      </w:r>
      <w:r>
        <w:rPr>
          <w:rFonts w:ascii="微软雅黑" w:hAnsi="微软雅黑" w:eastAsia="微软雅黑" w:cs="微软雅黑"/>
          <w:color w:val="333333"/>
          <w:shd w:val="clear" w:color="auto" w:fill="FFFFFF"/>
        </w:rPr>
        <w:t> </w:t>
      </w:r>
    </w:p>
    <w:p>
      <w:pPr>
        <w:pStyle w:val="5"/>
        <w:widowControl/>
        <w:spacing w:before="76" w:beforeAutospacing="0" w:after="76" w:afterAutospacing="0" w:line="450" w:lineRule="atLeast"/>
        <w:ind w:firstLine="420"/>
        <w:jc w:val="center"/>
        <w:rPr>
          <w:rStyle w:val="7"/>
          <w:rFonts w:ascii="微软雅黑" w:hAnsi="微软雅黑" w:eastAsia="微软雅黑" w:cs="微软雅黑"/>
          <w:color w:val="333333"/>
          <w:shd w:val="clear" w:color="auto" w:fill="FFFFFF"/>
        </w:rPr>
      </w:pPr>
    </w:p>
    <w:p>
      <w:pPr>
        <w:pStyle w:val="5"/>
        <w:widowControl/>
        <w:spacing w:before="76" w:beforeAutospacing="0" w:after="76" w:afterAutospacing="0" w:line="450" w:lineRule="atLeast"/>
        <w:ind w:firstLine="420"/>
        <w:jc w:val="center"/>
        <w:rPr>
          <w:color w:val="333333"/>
        </w:rPr>
      </w:pPr>
      <w:r>
        <w:rPr>
          <w:rStyle w:val="7"/>
          <w:rFonts w:ascii="微软雅黑" w:hAnsi="微软雅黑" w:eastAsia="微软雅黑" w:cs="微软雅黑"/>
          <w:color w:val="333333"/>
          <w:shd w:val="clear" w:color="auto" w:fill="FFFFFF"/>
        </w:rPr>
        <w:t>2018</w:t>
      </w:r>
      <w:r>
        <w:rPr>
          <w:rStyle w:val="7"/>
          <w:rFonts w:hint="eastAsia" w:ascii="微软雅黑" w:hAnsi="微软雅黑" w:eastAsia="微软雅黑" w:cs="微软雅黑"/>
          <w:color w:val="333333"/>
          <w:shd w:val="clear" w:color="auto" w:fill="FFFFFF"/>
        </w:rPr>
        <w:t>年部门决算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7"/>
          <w:rFonts w:hint="eastAsia" w:ascii="微软雅黑" w:hAnsi="微软雅黑" w:eastAsia="微软雅黑" w:cs="微软雅黑"/>
          <w:i w:val="0"/>
          <w:caps w:val="0"/>
          <w:color w:val="333333"/>
          <w:spacing w:val="0"/>
          <w:sz w:val="24"/>
          <w:szCs w:val="24"/>
          <w:shd w:val="clear" w:fill="FFFFFF"/>
          <w:lang w:eastAsia="zh-CN"/>
        </w:rPr>
        <w:t>第一部分</w:t>
      </w:r>
      <w:r>
        <w:rPr>
          <w:rStyle w:val="7"/>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shd w:val="clear" w:fill="FFFFFF"/>
        </w:rPr>
        <w:t>部门概况</w:t>
      </w:r>
    </w:p>
    <w:p>
      <w:pPr>
        <w:keepNext w:val="0"/>
        <w:keepLines w:val="0"/>
        <w:pageBreakBefore w:val="0"/>
        <w:widowControl w:val="0"/>
        <w:kinsoku/>
        <w:wordWrap/>
        <w:overflowPunct/>
        <w:topLinePunct w:val="0"/>
        <w:autoSpaceDE/>
        <w:autoSpaceDN/>
        <w:bidi w:val="0"/>
        <w:adjustRightInd/>
        <w:snapToGrid/>
        <w:spacing w:line="520" w:lineRule="exact"/>
        <w:ind w:firstLine="568" w:firstLineChars="200"/>
        <w:textAlignment w:val="auto"/>
        <w:rPr>
          <w:rFonts w:hint="eastAsia" w:asciiTheme="minorEastAsia" w:hAnsiTheme="minorEastAsia" w:eastAsiaTheme="minorEastAsia" w:cstheme="minorEastAsia"/>
          <w:b w:val="0"/>
          <w:bCs/>
          <w:color w:val="000000"/>
          <w:spacing w:val="2"/>
          <w:sz w:val="28"/>
          <w:szCs w:val="28"/>
        </w:rPr>
      </w:pPr>
      <w:r>
        <w:rPr>
          <w:rFonts w:hint="eastAsia" w:asciiTheme="minorEastAsia" w:hAnsiTheme="minorEastAsia" w:eastAsiaTheme="minorEastAsia" w:cstheme="minorEastAsia"/>
          <w:b w:val="0"/>
          <w:bCs/>
          <w:color w:val="000000"/>
          <w:spacing w:val="2"/>
          <w:sz w:val="28"/>
          <w:szCs w:val="28"/>
          <w:lang w:eastAsia="zh-CN"/>
        </w:rPr>
        <w:t>（一）</w:t>
      </w:r>
      <w:r>
        <w:rPr>
          <w:rFonts w:hint="eastAsia" w:asciiTheme="minorEastAsia" w:hAnsiTheme="minorEastAsia" w:eastAsiaTheme="minorEastAsia" w:cstheme="minorEastAsia"/>
          <w:b w:val="0"/>
          <w:bCs/>
          <w:color w:val="000000"/>
          <w:spacing w:val="2"/>
          <w:sz w:val="28"/>
          <w:szCs w:val="28"/>
        </w:rPr>
        <w:t>主要职能</w:t>
      </w:r>
    </w:p>
    <w:p>
      <w:pPr>
        <w:autoSpaceDE w:val="0"/>
        <w:autoSpaceDN w:val="0"/>
        <w:adjustRightInd w:val="0"/>
        <w:ind w:firstLine="560" w:firstLineChars="200"/>
        <w:jc w:val="left"/>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sz w:val="28"/>
          <w:szCs w:val="28"/>
        </w:rPr>
        <w:t>共青团黄石港区委位于黄石市磁湖路180号。共青团黄石港区委</w:t>
      </w:r>
      <w:r>
        <w:rPr>
          <w:rFonts w:hint="eastAsia" w:asciiTheme="minorEastAsia" w:hAnsiTheme="minorEastAsia" w:eastAsiaTheme="minorEastAsia" w:cstheme="minorEastAsia"/>
          <w:kern w:val="0"/>
          <w:sz w:val="28"/>
          <w:szCs w:val="28"/>
          <w:lang w:val="zh-CN"/>
        </w:rPr>
        <w:t>是中国共产党领导的一个由信仰共产主义的中国青年组成的群众性组织。共青团中央委员会受中共中央委员会领导，共青团的地方各级组织受同级党的委员会领导，同时受共青团上级组织领导。</w:t>
      </w:r>
    </w:p>
    <w:p>
      <w:pPr>
        <w:autoSpaceDE w:val="0"/>
        <w:autoSpaceDN w:val="0"/>
        <w:adjustRightInd w:val="0"/>
        <w:ind w:firstLine="560" w:firstLineChars="200"/>
        <w:jc w:val="left"/>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团区委办公室主要工作任务是：</w:t>
      </w:r>
    </w:p>
    <w:p>
      <w:pPr>
        <w:autoSpaceDE w:val="0"/>
        <w:autoSpaceDN w:val="0"/>
        <w:adjustRightInd w:val="0"/>
        <w:ind w:firstLine="560" w:firstLineChars="200"/>
        <w:jc w:val="left"/>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1.领导全区共青团工作、青年工作，领导和指导区青联、学联和少先队工作的职权，对全区性青少年社团组织进行指导和管理。 </w:t>
      </w:r>
    </w:p>
    <w:p>
      <w:pPr>
        <w:autoSpaceDE w:val="0"/>
        <w:autoSpaceDN w:val="0"/>
        <w:adjustRightInd w:val="0"/>
        <w:ind w:firstLine="560" w:firstLineChars="200"/>
        <w:jc w:val="left"/>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2.负责区未成年人保护委员会、区综治委预防青少年违法犯罪工作领导小组、区青年创业就业促进中心、区志愿者指导中心的日常工作。 </w:t>
      </w:r>
    </w:p>
    <w:p>
      <w:pPr>
        <w:autoSpaceDE w:val="0"/>
        <w:autoSpaceDN w:val="0"/>
        <w:adjustRightInd w:val="0"/>
        <w:ind w:firstLine="560" w:firstLineChars="200"/>
        <w:jc w:val="left"/>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3.负责指导并组织全区青少年的宣传文化、思想理论教育主题活动和青少年活动阵地建设；培养、选拔、表彰优秀青年的工作。 </w:t>
      </w:r>
    </w:p>
    <w:p>
      <w:pPr>
        <w:autoSpaceDE w:val="0"/>
        <w:autoSpaceDN w:val="0"/>
        <w:adjustRightInd w:val="0"/>
        <w:ind w:firstLine="560" w:firstLineChars="200"/>
        <w:jc w:val="left"/>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4.组织团员青年在全区经济、政治、社会、文化、生态文明建设中发挥生力军和突击队作用，完成区委、区政府和团市委部署的以青少年为主体的各项任务。 </w:t>
      </w:r>
    </w:p>
    <w:p>
      <w:pPr>
        <w:autoSpaceDE w:val="0"/>
        <w:autoSpaceDN w:val="0"/>
        <w:adjustRightInd w:val="0"/>
        <w:ind w:firstLine="560" w:firstLineChars="200"/>
        <w:jc w:val="left"/>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5.组织实施改善青少年群体民生、维护青少年合法权益的各项工作。 </w:t>
      </w:r>
    </w:p>
    <w:p>
      <w:pPr>
        <w:autoSpaceDE w:val="0"/>
        <w:autoSpaceDN w:val="0"/>
        <w:adjustRightInd w:val="0"/>
        <w:ind w:firstLine="560" w:firstLineChars="200"/>
        <w:jc w:val="left"/>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lang w:val="zh-CN"/>
        </w:rPr>
        <w:t>.负责全区团的组织建设，协助党组织管理、选拔和培训团干部和青少年工作者。 </w:t>
      </w:r>
    </w:p>
    <w:p>
      <w:pPr>
        <w:autoSpaceDE w:val="0"/>
        <w:autoSpaceDN w:val="0"/>
        <w:adjustRightInd w:val="0"/>
        <w:ind w:firstLine="560" w:firstLineChars="200"/>
        <w:jc w:val="left"/>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rPr>
        <w:t>7</w:t>
      </w:r>
      <w:r>
        <w:rPr>
          <w:rFonts w:hint="eastAsia" w:asciiTheme="minorEastAsia" w:hAnsiTheme="minorEastAsia" w:eastAsiaTheme="minorEastAsia" w:cstheme="minorEastAsia"/>
          <w:sz w:val="28"/>
          <w:szCs w:val="28"/>
          <w:lang w:val="zh-CN"/>
        </w:rPr>
        <w:t>.承办其他区委、区政府和团市委交办的有关事项。</w:t>
      </w:r>
    </w:p>
    <w:p>
      <w:pPr>
        <w:keepNext w:val="0"/>
        <w:keepLines w:val="0"/>
        <w:pageBreakBefore w:val="0"/>
        <w:widowControl w:val="0"/>
        <w:kinsoku/>
        <w:wordWrap/>
        <w:overflowPunct/>
        <w:topLinePunct w:val="0"/>
        <w:autoSpaceDE/>
        <w:autoSpaceDN/>
        <w:bidi w:val="0"/>
        <w:adjustRightInd/>
        <w:snapToGrid/>
        <w:spacing w:line="520" w:lineRule="exact"/>
        <w:ind w:firstLine="284" w:firstLineChars="100"/>
        <w:textAlignment w:val="auto"/>
        <w:rPr>
          <w:rFonts w:hint="eastAsia" w:asciiTheme="minorEastAsia" w:hAnsiTheme="minorEastAsia" w:eastAsiaTheme="minorEastAsia" w:cstheme="minorEastAsia"/>
          <w:b w:val="0"/>
          <w:bCs/>
          <w:color w:val="000000"/>
          <w:spacing w:val="2"/>
          <w:sz w:val="28"/>
          <w:szCs w:val="28"/>
          <w:lang w:eastAsia="zh-CN"/>
        </w:rPr>
      </w:pPr>
      <w:r>
        <w:rPr>
          <w:rFonts w:hint="eastAsia" w:asciiTheme="minorEastAsia" w:hAnsiTheme="minorEastAsia" w:eastAsiaTheme="minorEastAsia" w:cstheme="minorEastAsia"/>
          <w:b w:val="0"/>
          <w:bCs/>
          <w:color w:val="000000"/>
          <w:spacing w:val="2"/>
          <w:sz w:val="28"/>
          <w:szCs w:val="28"/>
          <w:lang w:eastAsia="zh-CN"/>
        </w:rPr>
        <w:t>（二）部门情况</w:t>
      </w:r>
    </w:p>
    <w:p>
      <w:pPr>
        <w:widowControl/>
        <w:shd w:val="clear" w:color="auto" w:fill="FFFFFF"/>
        <w:snapToGrid w:val="0"/>
        <w:spacing w:line="560" w:lineRule="atLeast"/>
        <w:ind w:firstLine="560" w:firstLineChars="200"/>
        <w:jc w:val="left"/>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28"/>
          <w:szCs w:val="28"/>
        </w:rPr>
        <w:t>下设办公室</w:t>
      </w:r>
      <w:r>
        <w:rPr>
          <w:rFonts w:hint="eastAsia" w:asciiTheme="minorEastAsia" w:hAnsiTheme="minorEastAsia" w:eastAsiaTheme="minorEastAsia" w:cstheme="minorEastAsia"/>
          <w:sz w:val="28"/>
          <w:szCs w:val="28"/>
          <w:lang w:eastAsia="zh-CN"/>
        </w:rPr>
        <w:t>。</w:t>
      </w:r>
    </w:p>
    <w:p>
      <w:pPr>
        <w:pStyle w:val="5"/>
        <w:widowControl/>
        <w:spacing w:before="76" w:beforeAutospacing="0" w:after="76" w:afterAutospacing="0" w:line="450" w:lineRule="atLeast"/>
        <w:ind w:firstLine="420"/>
        <w:rPr>
          <w:rStyle w:val="7"/>
          <w:rFonts w:hint="eastAsia" w:ascii="微软雅黑" w:hAnsi="微软雅黑" w:eastAsia="微软雅黑" w:cs="微软雅黑"/>
          <w:color w:val="333333"/>
          <w:shd w:val="clear" w:color="auto" w:fill="FFFFFF"/>
        </w:rPr>
      </w:pPr>
    </w:p>
    <w:p>
      <w:pPr>
        <w:pStyle w:val="5"/>
        <w:widowControl/>
        <w:spacing w:before="76" w:beforeAutospacing="0" w:after="76" w:afterAutospacing="0" w:line="450" w:lineRule="atLeast"/>
        <w:ind w:firstLine="420"/>
        <w:rPr>
          <w:rStyle w:val="7"/>
          <w:rFonts w:hint="eastAsia" w:ascii="微软雅黑" w:hAnsi="微软雅黑" w:eastAsia="微软雅黑" w:cs="微软雅黑"/>
          <w:color w:val="333333"/>
          <w:shd w:val="clear" w:color="auto" w:fill="FFFFFF"/>
        </w:rPr>
      </w:pPr>
    </w:p>
    <w:p>
      <w:pPr>
        <w:pStyle w:val="5"/>
        <w:widowControl/>
        <w:spacing w:before="76" w:beforeAutospacing="0" w:after="76" w:afterAutospacing="0" w:line="450" w:lineRule="atLeast"/>
        <w:ind w:firstLine="420"/>
        <w:rPr>
          <w:rStyle w:val="7"/>
          <w:rFonts w:hint="eastAsia" w:ascii="微软雅黑" w:hAnsi="微软雅黑" w:eastAsia="微软雅黑" w:cs="微软雅黑"/>
          <w:color w:val="333333"/>
          <w:shd w:val="clear" w:color="auto" w:fill="FFFFFF"/>
        </w:rPr>
      </w:pPr>
    </w:p>
    <w:p>
      <w:pPr>
        <w:pStyle w:val="5"/>
        <w:widowControl/>
        <w:spacing w:before="76" w:beforeAutospacing="0" w:after="76" w:afterAutospacing="0" w:line="450" w:lineRule="atLeast"/>
        <w:ind w:firstLine="420"/>
        <w:rPr>
          <w:rStyle w:val="7"/>
          <w:rFonts w:hint="eastAsia" w:ascii="微软雅黑" w:hAnsi="微软雅黑" w:eastAsia="微软雅黑" w:cs="微软雅黑"/>
          <w:color w:val="333333"/>
          <w:shd w:val="clear" w:color="auto" w:fill="FFFFFF"/>
        </w:rPr>
      </w:pPr>
    </w:p>
    <w:p>
      <w:pPr>
        <w:pStyle w:val="5"/>
        <w:widowControl/>
        <w:spacing w:before="76" w:beforeAutospacing="0" w:after="76" w:afterAutospacing="0" w:line="450" w:lineRule="atLeast"/>
        <w:ind w:firstLine="420"/>
        <w:rPr>
          <w:rStyle w:val="7"/>
          <w:rFonts w:hint="eastAsia" w:ascii="微软雅黑" w:hAnsi="微软雅黑" w:eastAsia="微软雅黑" w:cs="微软雅黑"/>
          <w:color w:val="333333"/>
          <w:shd w:val="clear" w:color="auto" w:fill="FFFFFF"/>
        </w:rPr>
      </w:pPr>
    </w:p>
    <w:p>
      <w:pPr>
        <w:pStyle w:val="5"/>
        <w:widowControl/>
        <w:spacing w:before="76" w:beforeAutospacing="0" w:after="76" w:afterAutospacing="0" w:line="450" w:lineRule="atLeast"/>
        <w:ind w:firstLine="420"/>
        <w:rPr>
          <w:rStyle w:val="7"/>
          <w:rFonts w:hint="eastAsia" w:ascii="微软雅黑" w:hAnsi="微软雅黑" w:eastAsia="微软雅黑" w:cs="微软雅黑"/>
          <w:color w:val="333333"/>
          <w:shd w:val="clear" w:color="auto" w:fill="FFFFFF"/>
        </w:rPr>
      </w:pP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b/>
          <w:bCs/>
          <w:lang w:eastAsia="zh-CN"/>
        </w:rPr>
        <w:t>第二部分：部门</w:t>
      </w:r>
      <w:r>
        <w:rPr>
          <w:rFonts w:hint="eastAsia" w:ascii="微软雅黑" w:hAnsi="微软雅黑" w:eastAsia="微软雅黑" w:cs="微软雅黑"/>
          <w:b/>
          <w:bCs/>
          <w:lang w:val="en-US" w:eastAsia="zh-CN"/>
        </w:rPr>
        <w:t>2018年部门决算表</w:t>
      </w:r>
      <w:r>
        <w:rPr>
          <w:color w:val="333333"/>
        </w:rPr>
        <w:drawing>
          <wp:inline distT="0" distB="0" distL="114300" distR="114300">
            <wp:extent cx="8710295" cy="4754245"/>
            <wp:effectExtent l="0" t="0" r="1460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8710295" cy="4754245"/>
                    </a:xfrm>
                    <a:prstGeom prst="rect">
                      <a:avLst/>
                    </a:prstGeom>
                    <a:noFill/>
                    <a:ln>
                      <a:noFill/>
                    </a:ln>
                  </pic:spPr>
                </pic:pic>
              </a:graphicData>
            </a:graphic>
          </wp:inline>
        </w:drawing>
      </w:r>
    </w:p>
    <w:p>
      <w:pPr>
        <w:pStyle w:val="5"/>
        <w:widowControl/>
        <w:spacing w:before="76" w:beforeAutospacing="0" w:after="76" w:afterAutospacing="0" w:line="450" w:lineRule="atLeast"/>
        <w:jc w:val="both"/>
      </w:pPr>
      <w:r>
        <w:drawing>
          <wp:inline distT="0" distB="0" distL="114300" distR="114300">
            <wp:extent cx="8773160" cy="2352675"/>
            <wp:effectExtent l="0" t="0" r="889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8773160" cy="2352675"/>
                    </a:xfrm>
                    <a:prstGeom prst="rect">
                      <a:avLst/>
                    </a:prstGeom>
                    <a:noFill/>
                    <a:ln>
                      <a:noFill/>
                    </a:ln>
                  </pic:spPr>
                </pic:pic>
              </a:graphicData>
            </a:graphic>
          </wp:inline>
        </w:drawing>
      </w:r>
    </w:p>
    <w:p>
      <w:pPr>
        <w:pStyle w:val="5"/>
        <w:widowControl/>
        <w:spacing w:before="76" w:beforeAutospacing="0" w:after="76" w:afterAutospacing="0" w:line="450" w:lineRule="atLeast"/>
        <w:ind w:firstLine="420"/>
        <w:jc w:val="center"/>
      </w:pPr>
    </w:p>
    <w:p>
      <w:pPr>
        <w:pStyle w:val="5"/>
        <w:widowControl/>
        <w:spacing w:before="76" w:beforeAutospacing="0" w:after="76" w:afterAutospacing="0" w:line="450" w:lineRule="atLeast"/>
        <w:ind w:firstLine="420"/>
        <w:jc w:val="center"/>
      </w:pPr>
    </w:p>
    <w:p>
      <w:pPr>
        <w:pStyle w:val="5"/>
        <w:widowControl/>
        <w:spacing w:before="76" w:beforeAutospacing="0" w:after="76" w:afterAutospacing="0" w:line="450" w:lineRule="atLeast"/>
        <w:jc w:val="both"/>
        <w:rPr>
          <w:color w:val="333333"/>
        </w:rPr>
      </w:pPr>
      <w:r>
        <w:rPr>
          <w:color w:val="333333"/>
        </w:rPr>
        <w:drawing>
          <wp:inline distT="0" distB="0" distL="114300" distR="114300">
            <wp:extent cx="8746490" cy="2114550"/>
            <wp:effectExtent l="0" t="0" r="16510" b="0"/>
            <wp:docPr id="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pic:cNvPicPr>
                      <a:picLocks noChangeAspect="1"/>
                    </pic:cNvPicPr>
                  </pic:nvPicPr>
                  <pic:blipFill>
                    <a:blip r:embed="rId8"/>
                    <a:stretch>
                      <a:fillRect/>
                    </a:stretch>
                  </pic:blipFill>
                  <pic:spPr>
                    <a:xfrm>
                      <a:off x="0" y="0"/>
                      <a:ext cx="8746490" cy="2114550"/>
                    </a:xfrm>
                    <a:prstGeom prst="rect">
                      <a:avLst/>
                    </a:prstGeom>
                    <a:noFill/>
                    <a:ln>
                      <a:noFill/>
                    </a:ln>
                  </pic:spPr>
                </pic:pic>
              </a:graphicData>
            </a:graphic>
          </wp:inline>
        </w:drawing>
      </w:r>
    </w:p>
    <w:p>
      <w:pPr>
        <w:pStyle w:val="5"/>
        <w:widowControl/>
        <w:spacing w:before="76" w:beforeAutospacing="0" w:after="76" w:afterAutospacing="0" w:line="450" w:lineRule="atLeast"/>
        <w:jc w:val="both"/>
        <w:rPr>
          <w:color w:val="333333"/>
        </w:rPr>
      </w:pPr>
      <w:r>
        <w:drawing>
          <wp:inline distT="0" distB="0" distL="114300" distR="114300">
            <wp:extent cx="8763000" cy="5347970"/>
            <wp:effectExtent l="0" t="0" r="0" b="508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9"/>
                    <a:stretch>
                      <a:fillRect/>
                    </a:stretch>
                  </pic:blipFill>
                  <pic:spPr>
                    <a:xfrm>
                      <a:off x="0" y="0"/>
                      <a:ext cx="8763000" cy="5347970"/>
                    </a:xfrm>
                    <a:prstGeom prst="rect">
                      <a:avLst/>
                    </a:prstGeom>
                    <a:noFill/>
                    <a:ln>
                      <a:noFill/>
                    </a:ln>
                  </pic:spPr>
                </pic:pic>
              </a:graphicData>
            </a:graphic>
          </wp:inline>
        </w:drawing>
      </w:r>
    </w:p>
    <w:p>
      <w:pPr>
        <w:pStyle w:val="5"/>
        <w:widowControl/>
        <w:spacing w:before="76" w:beforeAutospacing="0" w:after="76" w:afterAutospacing="0" w:line="450" w:lineRule="atLeast"/>
        <w:ind w:firstLine="420"/>
        <w:jc w:val="center"/>
        <w:rPr>
          <w:color w:val="333333"/>
        </w:rPr>
      </w:pPr>
      <w:r>
        <w:rPr>
          <w:color w:val="333333"/>
        </w:rPr>
        <w:drawing>
          <wp:inline distT="0" distB="0" distL="114300" distR="114300">
            <wp:extent cx="8274050" cy="3819525"/>
            <wp:effectExtent l="0" t="0" r="12700" b="9525"/>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10"/>
                    <a:stretch>
                      <a:fillRect/>
                    </a:stretch>
                  </pic:blipFill>
                  <pic:spPr>
                    <a:xfrm>
                      <a:off x="0" y="0"/>
                      <a:ext cx="8274050" cy="3819525"/>
                    </a:xfrm>
                    <a:prstGeom prst="rect">
                      <a:avLst/>
                    </a:prstGeom>
                    <a:noFill/>
                    <a:ln>
                      <a:noFill/>
                    </a:ln>
                  </pic:spPr>
                </pic:pic>
              </a:graphicData>
            </a:graphic>
          </wp:inline>
        </w:drawing>
      </w:r>
    </w:p>
    <w:p>
      <w:pPr>
        <w:pStyle w:val="5"/>
        <w:widowControl/>
        <w:spacing w:before="76" w:beforeAutospacing="0" w:after="76" w:afterAutospacing="0" w:line="450" w:lineRule="atLeast"/>
        <w:jc w:val="both"/>
        <w:rPr>
          <w:color w:val="333333"/>
        </w:rPr>
      </w:pPr>
      <w:r>
        <w:rPr>
          <w:color w:val="333333"/>
        </w:rPr>
        <w:drawing>
          <wp:inline distT="0" distB="0" distL="114300" distR="114300">
            <wp:extent cx="8754745" cy="5267325"/>
            <wp:effectExtent l="0" t="0" r="8255" b="9525"/>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11"/>
                    <a:stretch>
                      <a:fillRect/>
                    </a:stretch>
                  </pic:blipFill>
                  <pic:spPr>
                    <a:xfrm>
                      <a:off x="0" y="0"/>
                      <a:ext cx="8754745" cy="5267325"/>
                    </a:xfrm>
                    <a:prstGeom prst="rect">
                      <a:avLst/>
                    </a:prstGeom>
                    <a:noFill/>
                    <a:ln>
                      <a:noFill/>
                    </a:ln>
                  </pic:spPr>
                </pic:pic>
              </a:graphicData>
            </a:graphic>
          </wp:inline>
        </w:drawing>
      </w:r>
    </w:p>
    <w:p>
      <w:pPr>
        <w:pStyle w:val="5"/>
        <w:widowControl/>
        <w:spacing w:before="76" w:beforeAutospacing="0" w:after="76" w:afterAutospacing="0" w:line="450" w:lineRule="atLeast"/>
        <w:jc w:val="both"/>
        <w:rPr>
          <w:color w:val="333333"/>
        </w:rPr>
      </w:pPr>
      <w:r>
        <w:rPr>
          <w:color w:val="333333"/>
        </w:rPr>
        <w:drawing>
          <wp:inline distT="0" distB="0" distL="114300" distR="114300">
            <wp:extent cx="8758555" cy="1838325"/>
            <wp:effectExtent l="0" t="0" r="4445" b="9525"/>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pic:cNvPicPr>
                      <a:picLocks noChangeAspect="1"/>
                    </pic:cNvPicPr>
                  </pic:nvPicPr>
                  <pic:blipFill>
                    <a:blip r:embed="rId12"/>
                    <a:stretch>
                      <a:fillRect/>
                    </a:stretch>
                  </pic:blipFill>
                  <pic:spPr>
                    <a:xfrm>
                      <a:off x="0" y="0"/>
                      <a:ext cx="8758555" cy="1838325"/>
                    </a:xfrm>
                    <a:prstGeom prst="rect">
                      <a:avLst/>
                    </a:prstGeom>
                    <a:noFill/>
                    <a:ln>
                      <a:noFill/>
                    </a:ln>
                  </pic:spPr>
                </pic:pic>
              </a:graphicData>
            </a:graphic>
          </wp:inline>
        </w:drawing>
      </w:r>
    </w:p>
    <w:p>
      <w:pPr>
        <w:pStyle w:val="5"/>
        <w:widowControl/>
        <w:spacing w:before="76" w:beforeAutospacing="0" w:after="76" w:afterAutospacing="0" w:line="450" w:lineRule="atLeast"/>
        <w:ind w:firstLine="420"/>
        <w:jc w:val="both"/>
        <w:rPr>
          <w:color w:val="333333"/>
        </w:rPr>
      </w:pPr>
    </w:p>
    <w:p>
      <w:pPr>
        <w:pStyle w:val="5"/>
        <w:widowControl/>
        <w:spacing w:before="76" w:beforeAutospacing="0" w:after="76" w:afterAutospacing="0" w:line="450" w:lineRule="atLeast"/>
        <w:jc w:val="both"/>
        <w:rPr>
          <w:color w:val="333333"/>
        </w:rPr>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pPr>
      <w:r>
        <w:rPr>
          <w:color w:val="333333"/>
        </w:rPr>
        <w:drawing>
          <wp:inline distT="0" distB="0" distL="114300" distR="114300">
            <wp:extent cx="8763000" cy="2566035"/>
            <wp:effectExtent l="0" t="0" r="0" b="5715"/>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pic:cNvPicPr>
                      <a:picLocks noChangeAspect="1"/>
                    </pic:cNvPicPr>
                  </pic:nvPicPr>
                  <pic:blipFill>
                    <a:blip r:embed="rId13"/>
                    <a:stretch>
                      <a:fillRect/>
                    </a:stretch>
                  </pic:blipFill>
                  <pic:spPr>
                    <a:xfrm>
                      <a:off x="0" y="0"/>
                      <a:ext cx="8763000" cy="2566035"/>
                    </a:xfrm>
                    <a:prstGeom prst="rect">
                      <a:avLst/>
                    </a:prstGeom>
                    <a:noFill/>
                    <a:ln>
                      <a:noFill/>
                    </a:ln>
                  </pic:spPr>
                </pic:pic>
              </a:graphicData>
            </a:graphic>
          </wp:inline>
        </w:drawing>
      </w:r>
    </w:p>
    <w:p>
      <w:pPr>
        <w:pStyle w:val="5"/>
        <w:widowControl/>
        <w:spacing w:before="76" w:beforeAutospacing="0" w:after="76" w:afterAutospacing="0" w:line="450" w:lineRule="atLeast"/>
        <w:ind w:firstLine="240" w:firstLineChars="100"/>
        <w:rPr>
          <w:color w:val="333333"/>
        </w:rPr>
      </w:pPr>
      <w:r>
        <w:rPr>
          <w:rStyle w:val="7"/>
          <w:rFonts w:hint="eastAsia" w:ascii="微软雅黑" w:hAnsi="微软雅黑" w:eastAsia="微软雅黑" w:cs="微软雅黑"/>
          <w:color w:val="333333"/>
          <w:shd w:val="clear" w:color="auto" w:fill="FFFFFF"/>
        </w:rPr>
        <w:t>第三部分</w:t>
      </w:r>
      <w:r>
        <w:rPr>
          <w:rStyle w:val="7"/>
          <w:rFonts w:ascii="微软雅黑" w:hAnsi="微软雅黑" w:eastAsia="微软雅黑" w:cs="微软雅黑"/>
          <w:color w:val="333333"/>
          <w:shd w:val="clear" w:color="auto" w:fill="FFFFFF"/>
        </w:rPr>
        <w:t xml:space="preserve"> 2018</w:t>
      </w:r>
      <w:r>
        <w:rPr>
          <w:rStyle w:val="7"/>
          <w:rFonts w:hint="eastAsia" w:ascii="微软雅黑" w:hAnsi="微软雅黑" w:eastAsia="微软雅黑" w:cs="微软雅黑"/>
          <w:color w:val="333333"/>
          <w:shd w:val="clear" w:color="auto" w:fill="FFFFFF"/>
        </w:rPr>
        <w:t>年部门决算情况说明</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b/>
          <w:bCs/>
          <w:color w:val="333333"/>
          <w:sz w:val="28"/>
          <w:szCs w:val="28"/>
          <w:shd w:val="clear" w:color="auto" w:fill="FFFFFF"/>
        </w:rPr>
      </w:pPr>
      <w:r>
        <w:rPr>
          <w:rFonts w:hint="eastAsia" w:asciiTheme="minorEastAsia" w:hAnsiTheme="minorEastAsia" w:eastAsiaTheme="minorEastAsia" w:cstheme="minorEastAsia"/>
          <w:b/>
          <w:bCs/>
          <w:color w:val="333333"/>
          <w:sz w:val="28"/>
          <w:szCs w:val="28"/>
          <w:shd w:val="clear" w:color="auto" w:fill="FFFFFF"/>
          <w:lang w:eastAsia="zh-CN"/>
        </w:rPr>
        <w:t>（一）</w:t>
      </w:r>
      <w:r>
        <w:rPr>
          <w:rFonts w:hint="eastAsia" w:asciiTheme="minorEastAsia" w:hAnsiTheme="minorEastAsia" w:eastAsiaTheme="minorEastAsia" w:cstheme="minorEastAsia"/>
          <w:b/>
          <w:bCs/>
          <w:color w:val="333333"/>
          <w:sz w:val="28"/>
          <w:szCs w:val="28"/>
          <w:shd w:val="clear" w:color="auto" w:fill="FFFFFF"/>
        </w:rPr>
        <w:t>预算执行情况分析</w:t>
      </w:r>
    </w:p>
    <w:p>
      <w:pPr>
        <w:shd w:val="clear" w:color="auto" w:fill="FFFFFF"/>
        <w:snapToGrid w:val="0"/>
        <w:spacing w:line="560" w:lineRule="atLeast"/>
        <w:ind w:firstLine="560" w:firstLineChars="20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1、收入分析：</w:t>
      </w:r>
    </w:p>
    <w:p>
      <w:pPr>
        <w:shd w:val="clear" w:color="auto" w:fill="FFFFFF"/>
        <w:snapToGrid w:val="0"/>
        <w:spacing w:line="560" w:lineRule="atLeast"/>
        <w:ind w:firstLine="560" w:firstLineChars="20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2018年总收入30.28万元。比去年的25.36万元增加4.92万元，其中全部为财政拨款收入。</w:t>
      </w:r>
    </w:p>
    <w:p>
      <w:pPr>
        <w:shd w:val="clear" w:color="auto" w:fill="FFFFFF"/>
        <w:snapToGrid w:val="0"/>
        <w:spacing w:line="560" w:lineRule="atLeast"/>
        <w:ind w:firstLine="560" w:firstLineChars="20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2、支出分析：</w:t>
      </w:r>
    </w:p>
    <w:p>
      <w:pPr>
        <w:shd w:val="clear" w:color="auto" w:fill="FFFFFF"/>
        <w:snapToGrid w:val="0"/>
        <w:spacing w:line="560" w:lineRule="atLeast"/>
        <w:ind w:firstLine="560" w:firstLineChars="20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2018年总支出为30.28万元。比去年的25.36万元增加4.92万元，其中一般公共预算财政拨款支出30.28万元。</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b/>
          <w:bCs/>
          <w:color w:val="333333"/>
          <w:sz w:val="28"/>
          <w:szCs w:val="28"/>
          <w:shd w:val="clear" w:color="auto" w:fill="FFFFFF"/>
          <w:lang w:eastAsia="zh-CN"/>
        </w:rPr>
      </w:pPr>
      <w:r>
        <w:rPr>
          <w:rFonts w:hint="eastAsia" w:asciiTheme="minorEastAsia" w:hAnsiTheme="minorEastAsia" w:eastAsiaTheme="minorEastAsia" w:cstheme="minorEastAsia"/>
          <w:b/>
          <w:bCs/>
          <w:color w:val="333333"/>
          <w:sz w:val="28"/>
          <w:szCs w:val="28"/>
          <w:shd w:val="clear" w:color="auto" w:fill="FFFFFF"/>
          <w:lang w:eastAsia="zh-CN"/>
        </w:rPr>
        <w:t>（二）关于“三公”经费支出说明</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lang w:eastAsia="zh-CN"/>
        </w:rPr>
      </w:pPr>
      <w:r>
        <w:rPr>
          <w:rFonts w:hint="eastAsia" w:asciiTheme="minorEastAsia" w:hAnsiTheme="minorEastAsia" w:eastAsiaTheme="minorEastAsia" w:cstheme="minorEastAsia"/>
          <w:color w:val="333333"/>
          <w:sz w:val="28"/>
          <w:szCs w:val="28"/>
        </w:rPr>
        <w:t>本年与去年均无三公经费支出</w:t>
      </w:r>
      <w:r>
        <w:rPr>
          <w:rFonts w:hint="eastAsia" w:asciiTheme="minorEastAsia" w:hAnsiTheme="minorEastAsia" w:eastAsiaTheme="minorEastAsia" w:cstheme="minorEastAsia"/>
          <w:color w:val="333333"/>
          <w:sz w:val="28"/>
          <w:szCs w:val="28"/>
          <w:lang w:eastAsia="zh-CN"/>
        </w:rPr>
        <w:t>。</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b/>
          <w:bCs/>
          <w:color w:val="333333"/>
          <w:sz w:val="28"/>
          <w:szCs w:val="28"/>
          <w:shd w:val="clear" w:color="auto" w:fill="FFFFFF"/>
          <w:lang w:eastAsia="zh-CN"/>
        </w:rPr>
      </w:pPr>
      <w:r>
        <w:rPr>
          <w:rFonts w:hint="eastAsia" w:asciiTheme="minorEastAsia" w:hAnsiTheme="minorEastAsia" w:eastAsiaTheme="minorEastAsia" w:cstheme="minorEastAsia"/>
          <w:b/>
          <w:bCs/>
          <w:color w:val="333333"/>
          <w:sz w:val="28"/>
          <w:szCs w:val="28"/>
          <w:shd w:val="clear" w:color="auto" w:fill="FFFFFF"/>
          <w:lang w:eastAsia="zh-CN"/>
        </w:rPr>
        <w:t>（三）关于机关运行经费支出说明</w:t>
      </w:r>
    </w:p>
    <w:p>
      <w:pPr>
        <w:shd w:val="clear" w:color="auto" w:fill="FFFFFF"/>
        <w:snapToGrid w:val="0"/>
        <w:spacing w:line="560" w:lineRule="atLeast"/>
        <w:ind w:firstLine="560" w:firstLineChars="200"/>
        <w:rPr>
          <w:rFonts w:hint="eastAsia" w:asciiTheme="minorEastAsia" w:hAnsiTheme="minorEastAsia" w:eastAsiaTheme="minorEastAsia" w:cstheme="minorEastAsia"/>
          <w:color w:val="333333"/>
          <w:sz w:val="28"/>
          <w:szCs w:val="28"/>
          <w:lang w:val="en-US" w:eastAsia="zh-CN"/>
        </w:rPr>
      </w:pPr>
      <w:r>
        <w:rPr>
          <w:rFonts w:hint="eastAsia" w:asciiTheme="minorEastAsia" w:hAnsiTheme="minorEastAsia" w:eastAsiaTheme="minorEastAsia" w:cstheme="minorEastAsia"/>
          <w:color w:val="333333"/>
          <w:sz w:val="28"/>
          <w:szCs w:val="28"/>
          <w:lang w:val="en-US" w:eastAsia="zh-CN"/>
        </w:rPr>
        <w:t>本部门2018年度机关运行经费支出14.76万元，其中：办公费3.31万元、印刷费0.57万元、差旅费0.35万元、会议费1.59万元、劳务费0.72万元、委托业务费6.57万元、工会经费0.22万元、福利费0.15万元、其他交通费用0.78万元、其他商品和服务支出0.36万元、资本性支出0.13万元。2018年度机关运行经费支出比去年数9.88万元增加4.88万元，增长49.39%。主要原因是：事务增加。</w:t>
      </w:r>
    </w:p>
    <w:p>
      <w:pPr>
        <w:shd w:val="clear" w:color="auto" w:fill="FFFFFF"/>
        <w:snapToGrid w:val="0"/>
        <w:spacing w:line="560" w:lineRule="atLeast"/>
        <w:ind w:firstLine="562" w:firstLineChars="200"/>
        <w:rPr>
          <w:rFonts w:hint="eastAsia" w:asciiTheme="minorEastAsia" w:hAnsiTheme="minorEastAsia" w:eastAsiaTheme="minorEastAsia" w:cstheme="minorEastAsia"/>
          <w:b/>
          <w:bCs/>
          <w:color w:val="333333"/>
          <w:sz w:val="28"/>
          <w:szCs w:val="28"/>
        </w:rPr>
      </w:pPr>
      <w:r>
        <w:rPr>
          <w:rFonts w:hint="eastAsia" w:asciiTheme="minorEastAsia" w:hAnsiTheme="minorEastAsia" w:eastAsiaTheme="minorEastAsia" w:cstheme="minorEastAsia"/>
          <w:b/>
          <w:bCs/>
          <w:color w:val="333333"/>
          <w:sz w:val="28"/>
          <w:szCs w:val="28"/>
          <w:lang w:eastAsia="zh-CN"/>
        </w:rPr>
        <w:t>（四）</w:t>
      </w:r>
      <w:r>
        <w:rPr>
          <w:rFonts w:hint="eastAsia" w:asciiTheme="minorEastAsia" w:hAnsiTheme="minorEastAsia" w:eastAsiaTheme="minorEastAsia" w:cstheme="minorEastAsia"/>
          <w:b/>
          <w:bCs/>
          <w:color w:val="333333"/>
          <w:sz w:val="28"/>
          <w:szCs w:val="28"/>
        </w:rPr>
        <w:t>关于政府采购支出说明</w:t>
      </w:r>
    </w:p>
    <w:p>
      <w:pPr>
        <w:shd w:val="clear" w:color="auto" w:fill="FFFFFF"/>
        <w:snapToGrid w:val="0"/>
        <w:spacing w:line="560" w:lineRule="atLeast"/>
        <w:ind w:firstLine="560" w:firstLineChars="20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本部门2018年度政府采购支出总额2.94万元，其中：政府采购货物支出2.94万元。</w:t>
      </w:r>
    </w:p>
    <w:p>
      <w:pPr>
        <w:shd w:val="clear" w:color="auto" w:fill="FFFFFF"/>
        <w:snapToGrid w:val="0"/>
        <w:spacing w:line="560" w:lineRule="atLeast"/>
        <w:ind w:firstLine="562" w:firstLineChars="200"/>
        <w:rPr>
          <w:rFonts w:hint="eastAsia" w:asciiTheme="minorEastAsia" w:hAnsiTheme="minorEastAsia" w:eastAsiaTheme="minorEastAsia" w:cstheme="minorEastAsia"/>
          <w:b/>
          <w:bCs/>
          <w:color w:val="333333"/>
          <w:sz w:val="28"/>
          <w:szCs w:val="28"/>
        </w:rPr>
      </w:pPr>
      <w:r>
        <w:rPr>
          <w:rFonts w:hint="eastAsia" w:asciiTheme="minorEastAsia" w:hAnsiTheme="minorEastAsia" w:eastAsiaTheme="minorEastAsia" w:cstheme="minorEastAsia"/>
          <w:b/>
          <w:bCs/>
          <w:color w:val="333333"/>
          <w:sz w:val="28"/>
          <w:szCs w:val="28"/>
          <w:lang w:eastAsia="zh-CN"/>
        </w:rPr>
        <w:t>（五）</w:t>
      </w:r>
      <w:r>
        <w:rPr>
          <w:rFonts w:hint="eastAsia" w:asciiTheme="minorEastAsia" w:hAnsiTheme="minorEastAsia" w:eastAsiaTheme="minorEastAsia" w:cstheme="minorEastAsia"/>
          <w:b/>
          <w:bCs/>
          <w:color w:val="333333"/>
          <w:sz w:val="28"/>
          <w:szCs w:val="28"/>
        </w:rPr>
        <w:t>关于国有资产占用情况说明</w:t>
      </w:r>
    </w:p>
    <w:p>
      <w:pPr>
        <w:shd w:val="clear" w:color="auto" w:fill="FFFFFF"/>
        <w:snapToGrid w:val="0"/>
        <w:spacing w:line="560" w:lineRule="atLeast"/>
        <w:ind w:firstLine="560" w:firstLineChars="20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截至2018年12月31日，本部门无公务用车。</w:t>
      </w:r>
    </w:p>
    <w:p>
      <w:pPr>
        <w:spacing w:line="560" w:lineRule="exact"/>
        <w:ind w:firstLine="570" w:firstLineChars="200"/>
        <w:rPr>
          <w:rFonts w:hint="eastAsia" w:asciiTheme="minorEastAsia" w:hAnsiTheme="minorEastAsia" w:eastAsiaTheme="minorEastAsia" w:cstheme="minorEastAsia"/>
          <w:b/>
          <w:bCs/>
          <w:color w:val="000000"/>
          <w:spacing w:val="2"/>
          <w:sz w:val="28"/>
          <w:szCs w:val="28"/>
          <w:lang w:val="en-US" w:eastAsia="zh-CN"/>
        </w:rPr>
      </w:pPr>
      <w:r>
        <w:rPr>
          <w:rFonts w:hint="eastAsia" w:asciiTheme="minorEastAsia" w:hAnsiTheme="minorEastAsia" w:eastAsiaTheme="minorEastAsia" w:cstheme="minorEastAsia"/>
          <w:b/>
          <w:bCs/>
          <w:color w:val="000000"/>
          <w:spacing w:val="2"/>
          <w:sz w:val="28"/>
          <w:szCs w:val="28"/>
          <w:lang w:val="en-US" w:eastAsia="zh-CN"/>
        </w:rPr>
        <w:t>（六）重点绩效评价结果等预算绩效情况说明</w:t>
      </w:r>
    </w:p>
    <w:p>
      <w:pPr>
        <w:shd w:val="clear" w:color="auto" w:fill="FFFFFF"/>
        <w:snapToGrid w:val="0"/>
        <w:spacing w:line="560" w:lineRule="atLeast"/>
        <w:ind w:firstLine="560" w:firstLineChars="20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lang w:val="en-US" w:eastAsia="zh-CN"/>
        </w:rPr>
        <w:t>2018年， 根据预算绩效管理要求，我单位组织2018年度一般公共预算项目支出全面开展绩效自评，共涉及项目2个，资金6万元。 2018年项目资金投入6万元，已使用6万元，使用率100%。使用从评价结果看，项目立项程序完整、规范，预算执行及时、有效，绩效目标得到较好实现，绩效管理水平不断提高，绩效指标体系建设逐渐丰富和完善。</w:t>
      </w:r>
    </w:p>
    <w:p>
      <w:pPr>
        <w:shd w:val="clear" w:color="auto" w:fill="FFFFFF"/>
        <w:snapToGrid w:val="0"/>
        <w:spacing w:line="560" w:lineRule="atLeast"/>
        <w:ind w:firstLine="560" w:firstLineChars="200"/>
        <w:rPr>
          <w:rFonts w:hint="eastAsia" w:asciiTheme="minorEastAsia" w:hAnsiTheme="minorEastAsia" w:eastAsiaTheme="minorEastAsia" w:cstheme="minorEastAsia"/>
          <w:color w:val="333333"/>
          <w:sz w:val="28"/>
          <w:szCs w:val="28"/>
        </w:rPr>
      </w:pPr>
    </w:p>
    <w:p>
      <w:pPr>
        <w:shd w:val="clear" w:color="auto" w:fill="FFFFFF"/>
        <w:snapToGrid w:val="0"/>
        <w:spacing w:line="560" w:lineRule="atLeast"/>
        <w:ind w:firstLine="560" w:firstLineChars="200"/>
        <w:rPr>
          <w:rFonts w:hint="eastAsia" w:asciiTheme="minorEastAsia" w:hAnsiTheme="minorEastAsia" w:eastAsiaTheme="minorEastAsia" w:cstheme="minorEastAsia"/>
          <w:color w:val="333333"/>
          <w:sz w:val="28"/>
          <w:szCs w:val="28"/>
        </w:rPr>
      </w:pPr>
    </w:p>
    <w:p>
      <w:pPr>
        <w:shd w:val="clear" w:color="auto" w:fill="FFFFFF"/>
        <w:snapToGrid w:val="0"/>
        <w:spacing w:line="560" w:lineRule="atLeast"/>
        <w:rPr>
          <w:rFonts w:hint="eastAsia" w:asciiTheme="minorEastAsia" w:hAnsiTheme="minorEastAsia" w:eastAsiaTheme="minorEastAsia" w:cstheme="minorEastAsia"/>
          <w:color w:val="333333"/>
          <w:sz w:val="28"/>
          <w:szCs w:val="28"/>
        </w:rPr>
      </w:pPr>
    </w:p>
    <w:p>
      <w:pPr>
        <w:shd w:val="clear" w:color="auto" w:fill="FFFFFF"/>
        <w:snapToGrid w:val="0"/>
        <w:spacing w:line="560" w:lineRule="atLeast"/>
        <w:rPr>
          <w:rFonts w:hint="eastAsia" w:asciiTheme="minorEastAsia" w:hAnsiTheme="minorEastAsia" w:eastAsiaTheme="minorEastAsia" w:cstheme="minorEastAsia"/>
          <w:color w:val="333333"/>
          <w:sz w:val="28"/>
          <w:szCs w:val="28"/>
        </w:rPr>
      </w:pPr>
      <w:bookmarkStart w:id="0" w:name="_GoBack"/>
      <w:bookmarkEnd w:id="0"/>
    </w:p>
    <w:p>
      <w:pPr>
        <w:pStyle w:val="5"/>
        <w:widowControl/>
        <w:spacing w:before="76" w:beforeAutospacing="0" w:after="76" w:afterAutospacing="0" w:line="450" w:lineRule="atLeast"/>
        <w:ind w:firstLine="420"/>
        <w:rPr>
          <w:color w:val="333333"/>
        </w:rPr>
      </w:pPr>
      <w:r>
        <w:rPr>
          <w:rStyle w:val="7"/>
          <w:rFonts w:hint="eastAsia" w:ascii="微软雅黑" w:hAnsi="微软雅黑" w:eastAsia="微软雅黑" w:cs="微软雅黑"/>
          <w:color w:val="333333"/>
          <w:shd w:val="clear" w:color="auto" w:fill="FFFFFF"/>
        </w:rPr>
        <w:t>第四部分</w:t>
      </w:r>
      <w:r>
        <w:rPr>
          <w:rStyle w:val="7"/>
          <w:rFonts w:ascii="微软雅黑" w:hAnsi="微软雅黑" w:eastAsia="微软雅黑" w:cs="微软雅黑"/>
          <w:color w:val="333333"/>
          <w:shd w:val="clear" w:color="auto" w:fill="FFFFFF"/>
        </w:rPr>
        <w:t xml:space="preserve"> </w:t>
      </w:r>
      <w:r>
        <w:rPr>
          <w:rStyle w:val="7"/>
          <w:rFonts w:hint="eastAsia" w:ascii="微软雅黑" w:hAnsi="微软雅黑" w:eastAsia="微软雅黑" w:cs="微软雅黑"/>
          <w:color w:val="333333"/>
          <w:shd w:val="clear" w:color="auto" w:fill="FFFFFF"/>
        </w:rPr>
        <w:t>名词解释</w:t>
      </w:r>
    </w:p>
    <w:p>
      <w:pPr>
        <w:shd w:val="clear" w:color="auto" w:fill="FFFFFF"/>
        <w:snapToGrid w:val="0"/>
        <w:spacing w:line="560" w:lineRule="atLeast"/>
        <w:ind w:firstLine="560" w:firstLineChars="20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一、财政补助收入：指县级财政当年拨付的资金。</w:t>
      </w:r>
    </w:p>
    <w:p>
      <w:pPr>
        <w:shd w:val="clear" w:color="auto" w:fill="FFFFFF"/>
        <w:snapToGrid w:val="0"/>
        <w:spacing w:line="560" w:lineRule="atLeast"/>
        <w:ind w:firstLine="560" w:firstLineChars="20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二、其他收入：指除“财政拨款收入”、“上级补助收入”、“事业收入”、“经营收入”等以外的收入。主要是存款利息收入等。</w:t>
      </w:r>
    </w:p>
    <w:p>
      <w:pPr>
        <w:shd w:val="clear" w:color="auto" w:fill="FFFFFF"/>
        <w:snapToGrid w:val="0"/>
        <w:spacing w:line="560" w:lineRule="atLeast"/>
        <w:ind w:firstLine="560" w:firstLineChars="20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三、年初结转和结余：指以前年度尚未完成、结转到本年按有关规定继续使用的资金。</w:t>
      </w:r>
    </w:p>
    <w:p>
      <w:pPr>
        <w:shd w:val="clear" w:color="auto" w:fill="FFFFFF"/>
        <w:snapToGrid w:val="0"/>
        <w:spacing w:line="560" w:lineRule="atLeast"/>
        <w:ind w:firstLine="560" w:firstLineChars="20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四、一般公共服务（类）行政运行（项）：指县行政单位及参照公务员管理事业单位用于保障机构正常运行、开展日常工作的基本支出。</w:t>
      </w:r>
    </w:p>
    <w:p>
      <w:pPr>
        <w:shd w:val="clear" w:color="auto" w:fill="FFFFFF"/>
        <w:snapToGrid w:val="0"/>
        <w:spacing w:line="560" w:lineRule="atLeast"/>
        <w:ind w:firstLine="560" w:firstLineChars="20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五、一般公共服务（类）一般行政管理事务（项）：指县行政单位及参照公务员管理事业单位用于开展立法调研、财政信息宣传、非税收入征管等未单独设置项级科目的专门性财政管理工作的项目支出。</w:t>
      </w:r>
    </w:p>
    <w:p>
      <w:pPr>
        <w:shd w:val="clear" w:color="auto" w:fill="FFFFFF"/>
        <w:snapToGrid w:val="0"/>
        <w:spacing w:line="560" w:lineRule="atLeast"/>
        <w:ind w:firstLine="560" w:firstLineChars="20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六、一般公共服务（类）机关服务（项）：指黄石港区团委服务中心为机关提供办公楼日常维修、维护等后勤保障服务的支出。</w:t>
      </w:r>
    </w:p>
    <w:p>
      <w:pPr>
        <w:shd w:val="clear" w:color="auto" w:fill="FFFFFF"/>
        <w:snapToGrid w:val="0"/>
        <w:spacing w:line="560" w:lineRule="atLeast"/>
        <w:ind w:firstLine="560" w:firstLineChars="20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七、一般公共服务（类）其他一般公共服务支出（款）其他一般公共服务支出（项）：指黄石港区团委用于其他一般公共服务方面的支出。</w:t>
      </w:r>
    </w:p>
    <w:p>
      <w:pPr>
        <w:shd w:val="clear" w:color="auto" w:fill="FFFFFF"/>
        <w:snapToGrid w:val="0"/>
        <w:spacing w:line="560" w:lineRule="atLeast"/>
        <w:ind w:firstLine="560" w:firstLineChars="20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八、教育（类）普通教育（款）高等教育（项）：指黄石港区团委支持地方高校的重点发展和特色办学，组织专家对省属院校申报的建设规划和项目预算进行评审等相关工作的支出。</w:t>
      </w:r>
    </w:p>
    <w:p>
      <w:pPr>
        <w:shd w:val="clear" w:color="auto" w:fill="FFFFFF"/>
        <w:snapToGrid w:val="0"/>
        <w:spacing w:line="560" w:lineRule="atLeast"/>
        <w:ind w:firstLine="560" w:firstLineChars="20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九、社会保障和就业(类)行政事业单位离退休（款）归口管理的行政单位离退休（项）：指黄石港区团委用于离退休人员的支出、退休人员支出，以及提供管理服务工作的离退休干部处的支出。</w:t>
      </w:r>
    </w:p>
    <w:p>
      <w:pPr>
        <w:shd w:val="clear" w:color="auto" w:fill="FFFFFF"/>
        <w:snapToGrid w:val="0"/>
        <w:spacing w:line="560" w:lineRule="atLeast"/>
        <w:ind w:firstLine="560" w:firstLineChars="20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十、社会保障和就业(类)行政事业单位离退休（款）其他行政事业单位离退休支出（项）：指黄石港区团委用于离退休方面的其他支出。</w:t>
      </w:r>
    </w:p>
    <w:p>
      <w:pPr>
        <w:shd w:val="clear" w:color="auto" w:fill="FFFFFF"/>
        <w:snapToGrid w:val="0"/>
        <w:spacing w:line="560" w:lineRule="atLeast"/>
        <w:ind w:firstLine="560" w:firstLineChars="20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十一、医疗卫生与计划生育（类）医疗保障（款）行政单位医疗（项）：指黄石港区团委用于机关干部职工及离退休人员医疗方面的支出。</w:t>
      </w:r>
    </w:p>
    <w:p>
      <w:pPr>
        <w:shd w:val="clear" w:color="auto" w:fill="FFFFFF"/>
        <w:snapToGrid w:val="0"/>
        <w:spacing w:line="560" w:lineRule="atLeast"/>
        <w:ind w:firstLine="560" w:firstLineChars="20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十二、住房保障（类）住房改革支出（款）购房补贴（项）：指按照相关住房分配货币化改革的政策规定和标准，对无房和住房未达标职工发放的住房分配货币化补贴资金。</w:t>
      </w:r>
    </w:p>
    <w:p>
      <w:pPr>
        <w:shd w:val="clear" w:color="auto" w:fill="FFFFFF"/>
        <w:snapToGrid w:val="0"/>
        <w:spacing w:line="560" w:lineRule="atLeast"/>
        <w:ind w:firstLine="560" w:firstLineChars="20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十三、年末结转和结余：指本年度或以前年度预算安排、因客观条件发生变化无法按原计划实施，需要延迟到以后年度按有关规定继续使用的资金。</w:t>
      </w:r>
    </w:p>
    <w:p>
      <w:pPr>
        <w:shd w:val="clear" w:color="auto" w:fill="FFFFFF"/>
        <w:snapToGrid w:val="0"/>
        <w:spacing w:line="560" w:lineRule="atLeast"/>
        <w:ind w:firstLine="560" w:firstLineChars="20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十四、基本支出：指为保障机构正常运转、完成日常工作任务而发生的人员支出（包括基本工资、津贴补贴等）和公用支出（包括办公费、水电费、邮电费、交通费、差旅费等）。</w:t>
      </w:r>
    </w:p>
    <w:p>
      <w:pPr>
        <w:shd w:val="clear" w:color="auto" w:fill="FFFFFF"/>
        <w:snapToGrid w:val="0"/>
        <w:spacing w:line="560" w:lineRule="atLeast"/>
        <w:ind w:firstLine="560" w:firstLineChars="20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十五、项目支出：指在基本支出之外为完成特定行政任务和事业发展目标所发生的支出。</w:t>
      </w:r>
    </w:p>
    <w:p>
      <w:pPr>
        <w:shd w:val="clear" w:color="auto" w:fill="FFFFFF"/>
        <w:snapToGrid w:val="0"/>
        <w:spacing w:line="560" w:lineRule="atLeast"/>
        <w:ind w:firstLine="560" w:firstLineChars="20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十六、“三公”经费：是指用财政拨款安排的因公出国（境）费、公务用车购置及运行维护费、公务接待费。</w:t>
      </w:r>
    </w:p>
    <w:p>
      <w:pPr>
        <w:shd w:val="clear" w:color="auto" w:fill="FFFFFF"/>
        <w:snapToGrid w:val="0"/>
        <w:spacing w:line="560" w:lineRule="atLeast"/>
        <w:ind w:firstLine="560" w:firstLineChars="200"/>
        <w:rPr>
          <w:rFonts w:hint="eastAsia" w:asciiTheme="minorEastAsia" w:hAnsiTheme="minorEastAsia" w:eastAsiaTheme="minorEastAsia" w:cstheme="minorEastAsia"/>
          <w:color w:val="333333"/>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9D"/>
    <w:rsid w:val="00003724"/>
    <w:rsid w:val="0003459B"/>
    <w:rsid w:val="00096ED4"/>
    <w:rsid w:val="000E1F0D"/>
    <w:rsid w:val="001045FA"/>
    <w:rsid w:val="001453FD"/>
    <w:rsid w:val="00171B2E"/>
    <w:rsid w:val="001E0570"/>
    <w:rsid w:val="00254F86"/>
    <w:rsid w:val="002E74E0"/>
    <w:rsid w:val="00311EE4"/>
    <w:rsid w:val="003554E6"/>
    <w:rsid w:val="00356C09"/>
    <w:rsid w:val="003A1F77"/>
    <w:rsid w:val="00406F9D"/>
    <w:rsid w:val="00410020"/>
    <w:rsid w:val="00614D54"/>
    <w:rsid w:val="00641634"/>
    <w:rsid w:val="006C3D18"/>
    <w:rsid w:val="007B5A5D"/>
    <w:rsid w:val="007E7E03"/>
    <w:rsid w:val="00844A39"/>
    <w:rsid w:val="00891025"/>
    <w:rsid w:val="00903965"/>
    <w:rsid w:val="009E60AF"/>
    <w:rsid w:val="009F40F2"/>
    <w:rsid w:val="00A52897"/>
    <w:rsid w:val="00A71DD8"/>
    <w:rsid w:val="00B51705"/>
    <w:rsid w:val="00BE69A9"/>
    <w:rsid w:val="00C10C8F"/>
    <w:rsid w:val="00C5325F"/>
    <w:rsid w:val="00C574BC"/>
    <w:rsid w:val="00C60EDB"/>
    <w:rsid w:val="00D00F01"/>
    <w:rsid w:val="00D01C74"/>
    <w:rsid w:val="00D11DD8"/>
    <w:rsid w:val="00D2576F"/>
    <w:rsid w:val="00DD1DD0"/>
    <w:rsid w:val="00E36AB0"/>
    <w:rsid w:val="00E72F29"/>
    <w:rsid w:val="00EB3513"/>
    <w:rsid w:val="00EF5237"/>
    <w:rsid w:val="00EF6811"/>
    <w:rsid w:val="00F0000B"/>
    <w:rsid w:val="00F55144"/>
    <w:rsid w:val="00F964A1"/>
    <w:rsid w:val="00FD12F6"/>
    <w:rsid w:val="2B51336C"/>
    <w:rsid w:val="31087D6A"/>
    <w:rsid w:val="582162F4"/>
    <w:rsid w:val="6D5E5375"/>
    <w:rsid w:val="7818640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6">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kern w:val="0"/>
      <w:sz w:val="24"/>
    </w:rPr>
  </w:style>
  <w:style w:type="character" w:styleId="7">
    <w:name w:val="Strong"/>
    <w:basedOn w:val="6"/>
    <w:qFormat/>
    <w:uiPriority w:val="99"/>
    <w:rPr>
      <w:rFonts w:cs="Times New Roman"/>
      <w:b/>
    </w:rPr>
  </w:style>
  <w:style w:type="character" w:customStyle="1" w:styleId="9">
    <w:name w:val="Heading 5 Char"/>
    <w:basedOn w:val="6"/>
    <w:link w:val="2"/>
    <w:semiHidden/>
    <w:qFormat/>
    <w:locked/>
    <w:uiPriority w:val="99"/>
    <w:rPr>
      <w:rFonts w:ascii="Calibri" w:hAnsi="Calibri" w:cs="Times New Roman"/>
      <w:b/>
      <w:bCs/>
      <w:sz w:val="28"/>
      <w:szCs w:val="28"/>
    </w:rPr>
  </w:style>
  <w:style w:type="character" w:customStyle="1" w:styleId="10">
    <w:name w:val="Header Char"/>
    <w:basedOn w:val="6"/>
    <w:link w:val="4"/>
    <w:semiHidden/>
    <w:qFormat/>
    <w:locked/>
    <w:uiPriority w:val="99"/>
    <w:rPr>
      <w:rFonts w:ascii="Calibri" w:hAnsi="Calibri" w:cs="Times New Roman"/>
      <w:sz w:val="18"/>
      <w:szCs w:val="18"/>
    </w:rPr>
  </w:style>
  <w:style w:type="character" w:customStyle="1" w:styleId="11">
    <w:name w:val="Footer Char"/>
    <w:basedOn w:val="6"/>
    <w:link w:val="3"/>
    <w:semiHidden/>
    <w:qFormat/>
    <w:locked/>
    <w:uiPriority w:val="99"/>
    <w:rPr>
      <w:rFonts w:ascii="Calibri" w:hAnsi="Calibri" w:cs="Times New Roman"/>
      <w:sz w:val="18"/>
      <w:szCs w:val="18"/>
    </w:rPr>
  </w:style>
  <w:style w:type="paragraph" w:customStyle="1" w:styleId="12">
    <w:name w:val="正文缩进 + 首行缩进:  2 字符"/>
    <w:basedOn w:val="1"/>
    <w:uiPriority w:val="99"/>
    <w:pPr>
      <w:spacing w:line="560" w:lineRule="exact"/>
      <w:ind w:firstLine="640"/>
    </w:pPr>
    <w:rPr>
      <w:rFonts w:ascii="仿宋" w:hAnsi="仿宋" w:eastAsia="仿宋" w:cs="宋体"/>
      <w:sz w:val="32"/>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13</Pages>
  <Words>360</Words>
  <Characters>2058</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Administrator</cp:lastModifiedBy>
  <dcterms:modified xsi:type="dcterms:W3CDTF">2021-05-26T03:06:20Z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