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tabs>
          <w:tab w:val="left" w:pos="10980"/>
        </w:tabs>
        <w:spacing w:beforeAutospacing="0" w:after="375" w:afterAutospacing="0" w:line="450" w:lineRule="atLeast"/>
        <w:jc w:val="center"/>
        <w:rPr>
          <w:rFonts w:ascii="微软雅黑" w:hAnsi="微软雅黑" w:eastAsia="微软雅黑" w:cs="微软雅黑"/>
          <w:color w:val="BC1010"/>
          <w:sz w:val="40"/>
          <w:szCs w:val="40"/>
        </w:rPr>
      </w:pPr>
      <w:r>
        <w:rPr>
          <w:rFonts w:hint="eastAsia" w:ascii="微软雅黑" w:hAnsi="微软雅黑" w:eastAsia="微软雅黑" w:cs="微软雅黑"/>
          <w:color w:val="BC1010"/>
          <w:sz w:val="40"/>
          <w:szCs w:val="40"/>
          <w:shd w:val="clear" w:color="auto" w:fill="FFFFFF"/>
        </w:rPr>
        <w:t>团委</w:t>
      </w:r>
      <w:r>
        <w:rPr>
          <w:rFonts w:ascii="微软雅黑" w:hAnsi="微软雅黑" w:eastAsia="微软雅黑" w:cs="微软雅黑"/>
          <w:color w:val="BC1010"/>
          <w:sz w:val="40"/>
          <w:szCs w:val="40"/>
          <w:shd w:val="clear" w:color="auto" w:fill="FFFFFF"/>
        </w:rPr>
        <w:t>2020</w:t>
      </w:r>
      <w:r>
        <w:rPr>
          <w:rFonts w:hint="eastAsia" w:ascii="微软雅黑" w:hAnsi="微软雅黑" w:eastAsia="微软雅黑" w:cs="微软雅黑"/>
          <w:color w:val="BC1010"/>
          <w:sz w:val="40"/>
          <w:szCs w:val="40"/>
          <w:shd w:val="clear" w:color="auto" w:fill="FFFFFF"/>
        </w:rPr>
        <w:t>年决算公开</w:t>
      </w:r>
    </w:p>
    <w:p>
      <w:pPr>
        <w:pStyle w:val="5"/>
        <w:widowControl/>
        <w:spacing w:before="76" w:beforeAutospacing="0" w:after="76" w:afterAutospacing="0" w:line="450" w:lineRule="atLeast"/>
        <w:ind w:firstLine="420"/>
        <w:jc w:val="center"/>
        <w:rPr>
          <w:color w:val="333333"/>
        </w:rPr>
      </w:pPr>
      <w:r>
        <w:rPr>
          <w:rStyle w:val="8"/>
          <w:rFonts w:hint="eastAsia" w:ascii="微软雅黑" w:hAnsi="微软雅黑" w:eastAsia="微软雅黑" w:cs="微软雅黑"/>
          <w:color w:val="333333"/>
          <w:shd w:val="clear" w:color="auto" w:fill="FFFFFF"/>
        </w:rPr>
        <w:t>黄石港区团委</w:t>
      </w:r>
      <w:r>
        <w:rPr>
          <w:rStyle w:val="8"/>
          <w:rFonts w:ascii="微软雅黑" w:hAnsi="微软雅黑" w:eastAsia="微软雅黑" w:cs="微软雅黑"/>
          <w:color w:val="333333"/>
          <w:shd w:val="clear" w:color="auto" w:fill="FFFFFF"/>
        </w:rPr>
        <w:t>2020</w:t>
      </w:r>
      <w:r>
        <w:rPr>
          <w:rStyle w:val="8"/>
          <w:rFonts w:hint="eastAsia" w:ascii="微软雅黑" w:hAnsi="微软雅黑" w:eastAsia="微软雅黑" w:cs="微软雅黑"/>
          <w:color w:val="333333"/>
          <w:shd w:val="clear" w:color="auto" w:fill="FFFFFF"/>
        </w:rPr>
        <w:t>年决算公开</w:t>
      </w:r>
    </w:p>
    <w:p>
      <w:pPr>
        <w:pStyle w:val="5"/>
        <w:widowControl/>
        <w:spacing w:before="76" w:beforeAutospacing="0" w:after="76" w:afterAutospacing="0" w:line="450" w:lineRule="atLeast"/>
        <w:ind w:firstLine="420"/>
        <w:jc w:val="center"/>
        <w:rPr>
          <w:color w:val="333333"/>
        </w:rPr>
      </w:pPr>
      <w:r>
        <w:rPr>
          <w:rFonts w:hint="eastAsia" w:ascii="微软雅黑" w:hAnsi="微软雅黑" w:eastAsia="微软雅黑" w:cs="微软雅黑"/>
          <w:color w:val="333333"/>
          <w:shd w:val="clear" w:color="auto" w:fill="FFFFFF"/>
        </w:rPr>
        <w:t>目</w:t>
      </w:r>
      <w:r>
        <w:rPr>
          <w:rFonts w:ascii="微软雅黑" w:hAnsi="微软雅黑" w:eastAsia="微软雅黑" w:cs="微软雅黑"/>
          <w:color w:val="333333"/>
          <w:shd w:val="clear" w:color="auto" w:fill="FFFFFF"/>
        </w:rPr>
        <w:t xml:space="preserve">  </w:t>
      </w:r>
      <w:r>
        <w:rPr>
          <w:rFonts w:hint="eastAsia" w:ascii="微软雅黑" w:hAnsi="微软雅黑" w:eastAsia="微软雅黑" w:cs="微软雅黑"/>
          <w:color w:val="333333"/>
          <w:shd w:val="clear" w:color="auto" w:fill="FFFFFF"/>
        </w:rPr>
        <w:t>录</w:t>
      </w:r>
    </w:p>
    <w:p>
      <w:pPr>
        <w:pStyle w:val="5"/>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第一部分</w:t>
      </w:r>
      <w:r>
        <w:rPr>
          <w:rFonts w:ascii="微软雅黑" w:hAnsi="微软雅黑" w:eastAsia="微软雅黑" w:cs="微软雅黑"/>
          <w:color w:val="333333"/>
          <w:shd w:val="clear" w:color="auto" w:fill="FFFFFF"/>
        </w:rPr>
        <w:t>:</w:t>
      </w:r>
      <w:r>
        <w:rPr>
          <w:rFonts w:hint="eastAsia" w:ascii="微软雅黑" w:hAnsi="微软雅黑" w:eastAsia="微软雅黑" w:cs="微软雅黑"/>
          <w:color w:val="333333"/>
          <w:shd w:val="clear" w:color="auto" w:fill="FFFFFF"/>
        </w:rPr>
        <w:t>部门基本情况</w:t>
      </w:r>
    </w:p>
    <w:p>
      <w:pPr>
        <w:pStyle w:val="5"/>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一、部门主要职责</w:t>
      </w:r>
    </w:p>
    <w:p>
      <w:pPr>
        <w:pStyle w:val="5"/>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二、部门决算单位构成</w:t>
      </w:r>
    </w:p>
    <w:p>
      <w:pPr>
        <w:pStyle w:val="5"/>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第二部分</w:t>
      </w:r>
      <w:r>
        <w:rPr>
          <w:rFonts w:ascii="微软雅黑" w:hAnsi="微软雅黑" w:eastAsia="微软雅黑" w:cs="微软雅黑"/>
          <w:color w:val="333333"/>
          <w:shd w:val="clear" w:color="auto" w:fill="FFFFFF"/>
        </w:rPr>
        <w:t xml:space="preserve">: </w:t>
      </w:r>
      <w:r>
        <w:rPr>
          <w:rFonts w:hint="eastAsia" w:ascii="微软雅黑" w:hAnsi="微软雅黑" w:eastAsia="微软雅黑" w:cs="微软雅黑"/>
          <w:color w:val="333333"/>
          <w:shd w:val="clear" w:color="auto" w:fill="FFFFFF"/>
        </w:rPr>
        <w:t>部门</w:t>
      </w:r>
      <w:r>
        <w:rPr>
          <w:rFonts w:ascii="微软雅黑" w:hAnsi="微软雅黑" w:eastAsia="微软雅黑" w:cs="微软雅黑"/>
          <w:color w:val="333333"/>
          <w:shd w:val="clear" w:color="auto" w:fill="FFFFFF"/>
        </w:rPr>
        <w:t>2020</w:t>
      </w:r>
      <w:r>
        <w:rPr>
          <w:rFonts w:hint="eastAsia" w:ascii="微软雅黑" w:hAnsi="微软雅黑" w:eastAsia="微软雅黑" w:cs="微软雅黑"/>
          <w:color w:val="333333"/>
          <w:shd w:val="clear" w:color="auto" w:fill="FFFFFF"/>
        </w:rPr>
        <w:t>年部门决算表</w:t>
      </w:r>
    </w:p>
    <w:p>
      <w:pPr>
        <w:pStyle w:val="5"/>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一、收入支出决算总表（表</w:t>
      </w:r>
      <w:r>
        <w:rPr>
          <w:rFonts w:ascii="微软雅黑" w:hAnsi="微软雅黑" w:eastAsia="微软雅黑" w:cs="微软雅黑"/>
          <w:color w:val="333333"/>
          <w:shd w:val="clear" w:color="auto" w:fill="FFFFFF"/>
        </w:rPr>
        <w:t>1</w:t>
      </w:r>
      <w:r>
        <w:rPr>
          <w:rFonts w:hint="eastAsia" w:ascii="微软雅黑" w:hAnsi="微软雅黑" w:eastAsia="微软雅黑" w:cs="微软雅黑"/>
          <w:color w:val="333333"/>
          <w:shd w:val="clear" w:color="auto" w:fill="FFFFFF"/>
        </w:rPr>
        <w:t>）</w:t>
      </w:r>
    </w:p>
    <w:p>
      <w:pPr>
        <w:pStyle w:val="5"/>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二、收入决算表（表</w:t>
      </w:r>
      <w:r>
        <w:rPr>
          <w:rFonts w:ascii="微软雅黑" w:hAnsi="微软雅黑" w:eastAsia="微软雅黑" w:cs="微软雅黑"/>
          <w:color w:val="333333"/>
          <w:shd w:val="clear" w:color="auto" w:fill="FFFFFF"/>
        </w:rPr>
        <w:t>2</w:t>
      </w:r>
      <w:r>
        <w:rPr>
          <w:rFonts w:hint="eastAsia" w:ascii="微软雅黑" w:hAnsi="微软雅黑" w:eastAsia="微软雅黑" w:cs="微软雅黑"/>
          <w:color w:val="333333"/>
          <w:shd w:val="clear" w:color="auto" w:fill="FFFFFF"/>
        </w:rPr>
        <w:t>）</w:t>
      </w:r>
    </w:p>
    <w:p>
      <w:pPr>
        <w:pStyle w:val="5"/>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三、支出决算表（表</w:t>
      </w:r>
      <w:r>
        <w:rPr>
          <w:rFonts w:ascii="微软雅黑" w:hAnsi="微软雅黑" w:eastAsia="微软雅黑" w:cs="微软雅黑"/>
          <w:color w:val="333333"/>
          <w:shd w:val="clear" w:color="auto" w:fill="FFFFFF"/>
        </w:rPr>
        <w:t>3</w:t>
      </w:r>
      <w:r>
        <w:rPr>
          <w:rFonts w:hint="eastAsia" w:ascii="微软雅黑" w:hAnsi="微软雅黑" w:eastAsia="微软雅黑" w:cs="微软雅黑"/>
          <w:color w:val="333333"/>
          <w:shd w:val="clear" w:color="auto" w:fill="FFFFFF"/>
        </w:rPr>
        <w:t>）</w:t>
      </w:r>
    </w:p>
    <w:p>
      <w:pPr>
        <w:pStyle w:val="5"/>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四、财政拨款收入支出决算总表（表</w:t>
      </w:r>
      <w:r>
        <w:rPr>
          <w:rFonts w:ascii="微软雅黑" w:hAnsi="微软雅黑" w:eastAsia="微软雅黑" w:cs="微软雅黑"/>
          <w:color w:val="333333"/>
          <w:shd w:val="clear" w:color="auto" w:fill="FFFFFF"/>
        </w:rPr>
        <w:t>4</w:t>
      </w:r>
      <w:r>
        <w:rPr>
          <w:rFonts w:hint="eastAsia" w:ascii="微软雅黑" w:hAnsi="微软雅黑" w:eastAsia="微软雅黑" w:cs="微软雅黑"/>
          <w:color w:val="333333"/>
          <w:shd w:val="clear" w:color="auto" w:fill="FFFFFF"/>
        </w:rPr>
        <w:t>）</w:t>
      </w:r>
    </w:p>
    <w:p>
      <w:pPr>
        <w:pStyle w:val="5"/>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五、一般公共预算财政拨款支出决算表（表</w:t>
      </w:r>
      <w:r>
        <w:rPr>
          <w:rFonts w:ascii="微软雅黑" w:hAnsi="微软雅黑" w:eastAsia="微软雅黑" w:cs="微软雅黑"/>
          <w:color w:val="333333"/>
          <w:shd w:val="clear" w:color="auto" w:fill="FFFFFF"/>
        </w:rPr>
        <w:t>5</w:t>
      </w:r>
      <w:r>
        <w:rPr>
          <w:rFonts w:hint="eastAsia" w:ascii="微软雅黑" w:hAnsi="微软雅黑" w:eastAsia="微软雅黑" w:cs="微软雅黑"/>
          <w:color w:val="333333"/>
          <w:shd w:val="clear" w:color="auto" w:fill="FFFFFF"/>
        </w:rPr>
        <w:t>）</w:t>
      </w:r>
    </w:p>
    <w:p>
      <w:pPr>
        <w:pStyle w:val="5"/>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六、一般公共预算财政拨款基本支出决算表（表</w:t>
      </w:r>
      <w:r>
        <w:rPr>
          <w:rFonts w:ascii="微软雅黑" w:hAnsi="微软雅黑" w:eastAsia="微软雅黑" w:cs="微软雅黑"/>
          <w:color w:val="333333"/>
          <w:shd w:val="clear" w:color="auto" w:fill="FFFFFF"/>
        </w:rPr>
        <w:t>6</w:t>
      </w:r>
      <w:r>
        <w:rPr>
          <w:rFonts w:hint="eastAsia" w:ascii="微软雅黑" w:hAnsi="微软雅黑" w:eastAsia="微软雅黑" w:cs="微软雅黑"/>
          <w:color w:val="333333"/>
          <w:shd w:val="clear" w:color="auto" w:fill="FFFFFF"/>
        </w:rPr>
        <w:t>）</w:t>
      </w:r>
    </w:p>
    <w:p>
      <w:pPr>
        <w:pStyle w:val="5"/>
        <w:widowControl/>
        <w:spacing w:before="76" w:beforeAutospacing="0" w:after="76" w:afterAutospacing="0" w:line="450" w:lineRule="atLeast"/>
        <w:ind w:firstLine="420"/>
        <w:rPr>
          <w:rFonts w:hint="eastAsia"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七、一般公共预算财政拨款“三公”经费支出决算表（表</w:t>
      </w:r>
      <w:r>
        <w:rPr>
          <w:rFonts w:ascii="微软雅黑" w:hAnsi="微软雅黑" w:eastAsia="微软雅黑" w:cs="微软雅黑"/>
          <w:color w:val="333333"/>
          <w:shd w:val="clear" w:color="auto" w:fill="FFFFFF"/>
        </w:rPr>
        <w:t>7</w:t>
      </w:r>
      <w:r>
        <w:rPr>
          <w:rFonts w:hint="eastAsia" w:ascii="微软雅黑" w:hAnsi="微软雅黑" w:eastAsia="微软雅黑" w:cs="微软雅黑"/>
          <w:color w:val="333333"/>
          <w:shd w:val="clear" w:color="auto" w:fill="FFFFFF"/>
        </w:rPr>
        <w:t>）</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default" w:ascii="微软雅黑" w:hAnsi="微软雅黑" w:eastAsia="微软雅黑" w:cs="微软雅黑"/>
          <w:b w:val="0"/>
          <w:i w:val="0"/>
          <w:caps w:val="0"/>
          <w:color w:val="333333"/>
          <w:spacing w:val="0"/>
          <w:sz w:val="24"/>
          <w:szCs w:val="24"/>
          <w:shd w:val="clear" w:fill="FFFFFF"/>
          <w:lang w:val="en-US" w:eastAsia="zh-CN"/>
        </w:rPr>
      </w:pPr>
      <w:r>
        <w:rPr>
          <w:rFonts w:hint="eastAsia" w:ascii="微软雅黑" w:hAnsi="微软雅黑" w:eastAsia="微软雅黑" w:cs="微软雅黑"/>
          <w:b w:val="0"/>
          <w:i w:val="0"/>
          <w:caps w:val="0"/>
          <w:color w:val="333333"/>
          <w:spacing w:val="0"/>
          <w:sz w:val="24"/>
          <w:szCs w:val="24"/>
          <w:shd w:val="clear" w:fill="FFFFFF"/>
          <w:lang w:val="en-US" w:eastAsia="zh-CN"/>
        </w:rPr>
        <w:t>八、政府性基金预算财政拨款收入支出决算表（表8）</w:t>
      </w:r>
    </w:p>
    <w:p>
      <w:pPr>
        <w:pStyle w:val="5"/>
        <w:widowControl/>
        <w:spacing w:before="76" w:beforeAutospacing="0" w:after="76" w:afterAutospacing="0" w:line="450" w:lineRule="atLeast"/>
        <w:ind w:firstLine="480" w:firstLineChars="200"/>
        <w:rPr>
          <w:color w:val="333333"/>
        </w:rPr>
      </w:pPr>
      <w:r>
        <w:rPr>
          <w:rFonts w:hint="eastAsia" w:ascii="微软雅黑" w:hAnsi="微软雅黑" w:eastAsia="微软雅黑" w:cs="微软雅黑"/>
          <w:color w:val="333333"/>
          <w:shd w:val="clear" w:color="auto" w:fill="FFFFFF"/>
        </w:rPr>
        <w:t>第三部分：部门</w:t>
      </w:r>
      <w:r>
        <w:rPr>
          <w:rFonts w:ascii="微软雅黑" w:hAnsi="微软雅黑" w:eastAsia="微软雅黑" w:cs="微软雅黑"/>
          <w:color w:val="333333"/>
          <w:shd w:val="clear" w:color="auto" w:fill="FFFFFF"/>
        </w:rPr>
        <w:t>2020</w:t>
      </w:r>
      <w:r>
        <w:rPr>
          <w:rFonts w:hint="eastAsia" w:ascii="微软雅黑" w:hAnsi="微软雅黑" w:eastAsia="微软雅黑" w:cs="微软雅黑"/>
          <w:color w:val="333333"/>
          <w:shd w:val="clear" w:color="auto" w:fill="FFFFFF"/>
        </w:rPr>
        <w:t>年部门决算情况说明</w:t>
      </w:r>
    </w:p>
    <w:p>
      <w:pPr>
        <w:pStyle w:val="5"/>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一、预算执行情况分析</w:t>
      </w:r>
    </w:p>
    <w:p>
      <w:pPr>
        <w:pStyle w:val="5"/>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二、关于“三公”经费支出说明</w:t>
      </w:r>
    </w:p>
    <w:p>
      <w:pPr>
        <w:pStyle w:val="5"/>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三、关于机关运行经费支出说明</w:t>
      </w:r>
    </w:p>
    <w:p>
      <w:pPr>
        <w:pStyle w:val="5"/>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四、关于政府采购支出说明</w:t>
      </w:r>
    </w:p>
    <w:p>
      <w:pPr>
        <w:pStyle w:val="5"/>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五、关于国有资产占用情况说明</w:t>
      </w:r>
    </w:p>
    <w:p>
      <w:pPr>
        <w:pStyle w:val="5"/>
        <w:widowControl/>
        <w:spacing w:before="76" w:beforeAutospacing="0" w:after="76" w:afterAutospacing="0" w:line="450" w:lineRule="atLeast"/>
        <w:ind w:firstLine="420"/>
        <w:rPr>
          <w:rFonts w:hint="eastAsia"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六、重点绩效评价结果等预算绩效情况说明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lang w:val="en-US" w:eastAsia="zh-CN"/>
        </w:rPr>
      </w:pPr>
      <w:r>
        <w:rPr>
          <w:rFonts w:hint="eastAsia" w:ascii="微软雅黑" w:hAnsi="微软雅黑" w:eastAsia="微软雅黑" w:cs="微软雅黑"/>
          <w:b w:val="0"/>
          <w:i w:val="0"/>
          <w:caps w:val="0"/>
          <w:color w:val="333333"/>
          <w:spacing w:val="0"/>
          <w:sz w:val="24"/>
          <w:szCs w:val="24"/>
          <w:shd w:val="clear" w:fill="FFFFFF"/>
          <w:lang w:val="en-US" w:eastAsia="zh-CN"/>
        </w:rPr>
        <w:t>七、决算收支增减变化情况</w:t>
      </w:r>
    </w:p>
    <w:p>
      <w:pPr>
        <w:pStyle w:val="5"/>
        <w:widowControl/>
        <w:spacing w:before="76" w:beforeAutospacing="0" w:after="76" w:afterAutospacing="0" w:line="450" w:lineRule="atLeast"/>
        <w:ind w:firstLine="420"/>
        <w:rPr>
          <w:rFonts w:hint="eastAsia" w:ascii="微软雅黑" w:hAnsi="微软雅黑" w:eastAsia="微软雅黑" w:cs="微软雅黑"/>
          <w:color w:val="333333"/>
          <w:shd w:val="clear" w:color="auto" w:fill="FFFFFF"/>
        </w:rPr>
      </w:pPr>
    </w:p>
    <w:p>
      <w:pPr>
        <w:pStyle w:val="5"/>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p>
    <w:p>
      <w:pPr>
        <w:pStyle w:val="5"/>
        <w:widowControl/>
        <w:spacing w:before="76" w:beforeAutospacing="0" w:after="76" w:afterAutospacing="0" w:line="450" w:lineRule="atLeast"/>
        <w:ind w:firstLine="360" w:firstLineChars="150"/>
        <w:rPr>
          <w:color w:val="333333"/>
        </w:rPr>
      </w:pPr>
      <w:r>
        <w:rPr>
          <w:rFonts w:hint="eastAsia" w:ascii="微软雅黑" w:hAnsi="微软雅黑" w:eastAsia="微软雅黑" w:cs="微软雅黑"/>
          <w:color w:val="333333"/>
          <w:shd w:val="clear" w:color="auto" w:fill="FFFFFF"/>
        </w:rPr>
        <w:t>第四部分：名词解释</w:t>
      </w:r>
      <w:r>
        <w:rPr>
          <w:rFonts w:ascii="微软雅黑" w:hAnsi="微软雅黑" w:eastAsia="微软雅黑" w:cs="微软雅黑"/>
          <w:color w:val="333333"/>
          <w:shd w:val="clear" w:color="auto" w:fill="FFFFFF"/>
        </w:rPr>
        <w:t> </w:t>
      </w:r>
    </w:p>
    <w:p>
      <w:pPr>
        <w:pStyle w:val="5"/>
        <w:widowControl/>
        <w:spacing w:before="76" w:beforeAutospacing="0" w:after="76" w:afterAutospacing="0" w:line="450" w:lineRule="atLeast"/>
        <w:jc w:val="center"/>
        <w:rPr>
          <w:color w:val="333333"/>
        </w:rPr>
      </w:pPr>
      <w:r>
        <w:rPr>
          <w:rStyle w:val="8"/>
          <w:rFonts w:ascii="微软雅黑" w:hAnsi="微软雅黑" w:eastAsia="微软雅黑" w:cs="微软雅黑"/>
          <w:color w:val="333333"/>
          <w:shd w:val="clear" w:color="auto" w:fill="FFFFFF"/>
        </w:rPr>
        <w:t>2020</w:t>
      </w:r>
      <w:r>
        <w:rPr>
          <w:rStyle w:val="8"/>
          <w:rFonts w:hint="eastAsia" w:ascii="微软雅黑" w:hAnsi="微软雅黑" w:eastAsia="微软雅黑" w:cs="微软雅黑"/>
          <w:color w:val="333333"/>
          <w:shd w:val="clear" w:color="auto" w:fill="FFFFFF"/>
        </w:rPr>
        <w:t>年部门决算</w:t>
      </w:r>
    </w:p>
    <w:p>
      <w:pPr>
        <w:pStyle w:val="5"/>
        <w:widowControl/>
        <w:spacing w:before="76" w:beforeAutospacing="0" w:after="76" w:afterAutospacing="0" w:line="450" w:lineRule="atLeast"/>
        <w:ind w:firstLine="420"/>
        <w:rPr>
          <w:color w:val="333333"/>
        </w:rPr>
      </w:pPr>
      <w:r>
        <w:rPr>
          <w:rStyle w:val="8"/>
          <w:rFonts w:hint="eastAsia" w:ascii="微软雅黑" w:hAnsi="微软雅黑" w:eastAsia="微软雅黑" w:cs="微软雅黑"/>
          <w:color w:val="333333"/>
          <w:shd w:val="clear" w:color="auto" w:fill="FFFFFF"/>
        </w:rPr>
        <w:t>第一部分</w:t>
      </w:r>
      <w:r>
        <w:rPr>
          <w:rStyle w:val="8"/>
          <w:rFonts w:ascii="微软雅黑" w:hAnsi="微软雅黑" w:eastAsia="微软雅黑" w:cs="微软雅黑"/>
          <w:color w:val="333333"/>
          <w:shd w:val="clear" w:color="auto" w:fill="FFFFFF"/>
        </w:rPr>
        <w:t xml:space="preserve"> </w:t>
      </w:r>
      <w:r>
        <w:rPr>
          <w:rStyle w:val="8"/>
          <w:rFonts w:hint="eastAsia" w:ascii="微软雅黑" w:hAnsi="微软雅黑" w:eastAsia="微软雅黑" w:cs="微软雅黑"/>
          <w:color w:val="333333"/>
          <w:shd w:val="clear" w:color="auto" w:fill="FFFFFF"/>
        </w:rPr>
        <w:t>部门基本情况</w:t>
      </w:r>
    </w:p>
    <w:p>
      <w:pPr>
        <w:shd w:val="clear" w:color="auto" w:fill="FFFFFF"/>
        <w:snapToGrid w:val="0"/>
        <w:spacing w:line="560" w:lineRule="atLeast"/>
        <w:ind w:firstLine="562"/>
        <w:rPr>
          <w:rFonts w:ascii="宋体" w:hAnsi="宋体" w:cs="宋体"/>
          <w:sz w:val="28"/>
          <w:szCs w:val="28"/>
        </w:rPr>
      </w:pPr>
      <w:r>
        <w:rPr>
          <w:rFonts w:ascii="宋体" w:hAnsi="宋体" w:cs="宋体"/>
          <w:sz w:val="28"/>
          <w:szCs w:val="28"/>
        </w:rPr>
        <w:t>1</w:t>
      </w:r>
      <w:r>
        <w:rPr>
          <w:rFonts w:hint="eastAsia" w:ascii="宋体" w:hAnsi="宋体" w:cs="宋体"/>
          <w:sz w:val="28"/>
          <w:szCs w:val="28"/>
        </w:rPr>
        <w:t>、基本职能</w:t>
      </w:r>
      <w:r>
        <w:rPr>
          <w:rFonts w:ascii="宋体" w:hAnsi="宋体" w:cs="宋体"/>
          <w:sz w:val="28"/>
          <w:szCs w:val="28"/>
        </w:rPr>
        <w:t xml:space="preserve"> </w:t>
      </w:r>
    </w:p>
    <w:p>
      <w:pPr>
        <w:autoSpaceDE w:val="0"/>
        <w:autoSpaceDN w:val="0"/>
        <w:adjustRightInd w:val="0"/>
        <w:ind w:firstLine="560" w:firstLineChars="200"/>
        <w:rPr>
          <w:rFonts w:ascii="宋体"/>
          <w:sz w:val="28"/>
          <w:szCs w:val="28"/>
        </w:rPr>
      </w:pPr>
      <w:r>
        <w:rPr>
          <w:rFonts w:hint="eastAsia" w:ascii="宋体" w:hAnsi="宋体"/>
          <w:sz w:val="28"/>
          <w:szCs w:val="28"/>
        </w:rPr>
        <w:t>共青团黄石港区委位于黄石市磁湖路</w:t>
      </w:r>
      <w:r>
        <w:rPr>
          <w:rFonts w:ascii="宋体" w:hAnsi="宋体"/>
          <w:sz w:val="28"/>
          <w:szCs w:val="28"/>
        </w:rPr>
        <w:t>180</w:t>
      </w:r>
      <w:r>
        <w:rPr>
          <w:rFonts w:hint="eastAsia" w:ascii="宋体" w:hAnsi="宋体"/>
          <w:sz w:val="28"/>
          <w:szCs w:val="28"/>
        </w:rPr>
        <w:t>号。基本职能为：</w:t>
      </w:r>
    </w:p>
    <w:p>
      <w:pPr>
        <w:autoSpaceDE w:val="0"/>
        <w:autoSpaceDN w:val="0"/>
        <w:adjustRightInd w:val="0"/>
        <w:ind w:firstLine="280" w:firstLineChars="100"/>
        <w:rPr>
          <w:rFonts w:ascii="宋体"/>
          <w:sz w:val="28"/>
          <w:szCs w:val="28"/>
        </w:rPr>
      </w:pPr>
      <w:r>
        <w:rPr>
          <w:rFonts w:hint="eastAsia" w:ascii="宋体" w:hAnsi="宋体"/>
          <w:sz w:val="28"/>
          <w:szCs w:val="28"/>
        </w:rPr>
        <w:t>（一）领导全区共青团工作；负责区少先队工作委员会日常工作；指导全区青少年社会团体工作。</w:t>
      </w:r>
    </w:p>
    <w:p>
      <w:pPr>
        <w:autoSpaceDE w:val="0"/>
        <w:autoSpaceDN w:val="0"/>
        <w:adjustRightInd w:val="0"/>
        <w:ind w:firstLine="280" w:firstLineChars="100"/>
        <w:rPr>
          <w:rFonts w:ascii="宋体"/>
          <w:sz w:val="28"/>
          <w:szCs w:val="28"/>
        </w:rPr>
      </w:pPr>
      <w:r>
        <w:rPr>
          <w:rFonts w:hint="eastAsia" w:ascii="宋体" w:hAnsi="宋体"/>
          <w:sz w:val="28"/>
          <w:szCs w:val="28"/>
        </w:rPr>
        <w:t>（二）负责青少年思想政治引领工作，承担引导青少年听党话、跟党走的政治任务；指导并组织全区青少年思想理论教育、宣传文化活动和活动阵地建设；培养、选拔、表彰并推荐优秀青年，加强网上共青团工作，指导全区共青团用网、占网、建网。</w:t>
      </w:r>
    </w:p>
    <w:p>
      <w:pPr>
        <w:autoSpaceDE w:val="0"/>
        <w:autoSpaceDN w:val="0"/>
        <w:adjustRightInd w:val="0"/>
        <w:ind w:firstLine="280" w:firstLineChars="100"/>
        <w:rPr>
          <w:rFonts w:ascii="宋体"/>
          <w:sz w:val="28"/>
          <w:szCs w:val="28"/>
        </w:rPr>
      </w:pPr>
      <w:r>
        <w:rPr>
          <w:rFonts w:hint="eastAsia" w:ascii="宋体" w:hAnsi="宋体"/>
          <w:sz w:val="28"/>
          <w:szCs w:val="28"/>
        </w:rPr>
        <w:t>（三）协助区委、区政府有关部门做好中小学学生的教育管理工作，维护学校稳定和社会安定团结。</w:t>
      </w:r>
    </w:p>
    <w:p>
      <w:pPr>
        <w:autoSpaceDE w:val="0"/>
        <w:autoSpaceDN w:val="0"/>
        <w:adjustRightInd w:val="0"/>
        <w:ind w:firstLine="280" w:firstLineChars="100"/>
        <w:rPr>
          <w:rFonts w:ascii="宋体"/>
          <w:sz w:val="28"/>
          <w:szCs w:val="28"/>
        </w:rPr>
      </w:pPr>
      <w:r>
        <w:rPr>
          <w:rFonts w:hint="eastAsia" w:ascii="宋体" w:hAnsi="宋体"/>
          <w:sz w:val="28"/>
          <w:szCs w:val="28"/>
        </w:rPr>
        <w:t>（四）组织全区团员青年围绕中心、服务大局，在促进经济社会发展中发挥生力军和突击队作用，完成区委、区政府和团市委部署的以青少年为主体的各项任务。</w:t>
      </w:r>
    </w:p>
    <w:p>
      <w:pPr>
        <w:autoSpaceDE w:val="0"/>
        <w:autoSpaceDN w:val="0"/>
        <w:adjustRightInd w:val="0"/>
        <w:ind w:firstLine="280" w:firstLineChars="100"/>
        <w:rPr>
          <w:rFonts w:ascii="宋体"/>
          <w:sz w:val="28"/>
          <w:szCs w:val="28"/>
        </w:rPr>
      </w:pPr>
      <w:r>
        <w:rPr>
          <w:rFonts w:hint="eastAsia" w:ascii="宋体" w:hAnsi="宋体"/>
          <w:sz w:val="28"/>
          <w:szCs w:val="28"/>
        </w:rPr>
        <w:t>（五）参与促进青少年发展和权益维护的规划、法规、政策措施的起草和实施工作，协助或受区委、区政府委托处理、协调与青少年权益相关的事务；负责区未成年人保护委员会和区综治委预防青少年违法犯罪工作领导小组的日常工作。</w:t>
      </w:r>
    </w:p>
    <w:p>
      <w:pPr>
        <w:autoSpaceDE w:val="0"/>
        <w:autoSpaceDN w:val="0"/>
        <w:adjustRightInd w:val="0"/>
        <w:ind w:firstLine="280" w:firstLineChars="100"/>
        <w:rPr>
          <w:rFonts w:ascii="宋体"/>
          <w:sz w:val="28"/>
          <w:szCs w:val="28"/>
        </w:rPr>
      </w:pPr>
      <w:r>
        <w:rPr>
          <w:rFonts w:hint="eastAsia" w:ascii="宋体" w:hAnsi="宋体"/>
          <w:sz w:val="28"/>
          <w:szCs w:val="28"/>
        </w:rPr>
        <w:t>（六）负责全区团的建设，推进团的基层组织建设，扩大团组织有效覆盖面；协助党组织管理、选拔、培训团的干部，指导全区团员队伍建设，做好“推优”工作；指导全区青少年事务社会工作人才队伍建设。</w:t>
      </w:r>
    </w:p>
    <w:p>
      <w:pPr>
        <w:autoSpaceDE w:val="0"/>
        <w:autoSpaceDN w:val="0"/>
        <w:adjustRightInd w:val="0"/>
        <w:ind w:firstLine="280" w:firstLineChars="100"/>
        <w:rPr>
          <w:rFonts w:ascii="宋体"/>
          <w:sz w:val="28"/>
          <w:szCs w:val="28"/>
        </w:rPr>
      </w:pPr>
      <w:r>
        <w:rPr>
          <w:rFonts w:hint="eastAsia" w:ascii="宋体" w:hAnsi="宋体"/>
          <w:sz w:val="28"/>
          <w:szCs w:val="28"/>
        </w:rPr>
        <w:t>（七）负责全区青年统战和民族团结工作；负责开展全区青少年对外友好交流活动，开展对全区青年社会组织和新兴青年群体的联系服务和引导工作。</w:t>
      </w:r>
    </w:p>
    <w:p>
      <w:pPr>
        <w:autoSpaceDE w:val="0"/>
        <w:autoSpaceDN w:val="0"/>
        <w:adjustRightInd w:val="0"/>
        <w:ind w:firstLine="280" w:firstLineChars="100"/>
        <w:rPr>
          <w:rFonts w:ascii="宋体"/>
          <w:sz w:val="28"/>
          <w:szCs w:val="28"/>
        </w:rPr>
      </w:pPr>
      <w:r>
        <w:rPr>
          <w:rFonts w:hint="eastAsia" w:ascii="宋体" w:hAnsi="宋体"/>
          <w:sz w:val="28"/>
          <w:szCs w:val="28"/>
        </w:rPr>
        <w:t>（八）调查青年思想动态和青年工作状况，研究青年运动、青少年工作理论、青少年事业发展等问题，为区委、区政府决策提供依据。</w:t>
      </w:r>
    </w:p>
    <w:p>
      <w:pPr>
        <w:autoSpaceDE w:val="0"/>
        <w:autoSpaceDN w:val="0"/>
        <w:adjustRightInd w:val="0"/>
        <w:ind w:firstLine="280" w:firstLineChars="100"/>
        <w:rPr>
          <w:rFonts w:ascii="宋体" w:cs="宋体"/>
          <w:sz w:val="28"/>
          <w:szCs w:val="28"/>
          <w:lang w:val="zh-CN"/>
        </w:rPr>
      </w:pPr>
      <w:r>
        <w:rPr>
          <w:rFonts w:hint="eastAsia" w:ascii="宋体" w:hAnsi="宋体"/>
          <w:sz w:val="28"/>
          <w:szCs w:val="28"/>
        </w:rPr>
        <w:t>（九）完成上级交办的其他事项。</w:t>
      </w:r>
    </w:p>
    <w:p>
      <w:pPr>
        <w:wordWrap w:val="0"/>
        <w:spacing w:line="600" w:lineRule="atLeast"/>
        <w:ind w:firstLine="560" w:firstLineChars="200"/>
        <w:rPr>
          <w:rFonts w:ascii="宋体" w:cs="宋体"/>
          <w:color w:val="333333"/>
          <w:sz w:val="28"/>
          <w:szCs w:val="28"/>
        </w:rPr>
      </w:pPr>
      <w:r>
        <w:rPr>
          <w:rFonts w:ascii="宋体" w:hAnsi="宋体"/>
          <w:color w:val="333333"/>
          <w:sz w:val="28"/>
          <w:szCs w:val="28"/>
        </w:rPr>
        <w:t>2</w:t>
      </w:r>
      <w:r>
        <w:rPr>
          <w:rFonts w:hint="eastAsia" w:ascii="宋体" w:hAnsi="宋体"/>
          <w:color w:val="333333"/>
          <w:sz w:val="28"/>
          <w:szCs w:val="28"/>
        </w:rPr>
        <w:t>、</w:t>
      </w:r>
      <w:r>
        <w:rPr>
          <w:rFonts w:ascii="宋体"/>
          <w:color w:val="333333"/>
          <w:sz w:val="28"/>
          <w:szCs w:val="28"/>
        </w:rPr>
        <w:t> </w:t>
      </w:r>
      <w:r>
        <w:rPr>
          <w:rFonts w:hint="eastAsia" w:ascii="宋体" w:hAnsi="宋体" w:cs="宋体"/>
          <w:sz w:val="28"/>
          <w:szCs w:val="28"/>
        </w:rPr>
        <w:t>部门机构情况</w:t>
      </w:r>
    </w:p>
    <w:p>
      <w:pPr>
        <w:shd w:val="clear" w:color="auto" w:fill="FFFFFF"/>
        <w:snapToGrid w:val="0"/>
        <w:spacing w:line="560" w:lineRule="atLeast"/>
        <w:ind w:firstLine="560" w:firstLineChars="200"/>
        <w:rPr>
          <w:rFonts w:ascii="宋体" w:cs="宋体"/>
          <w:sz w:val="28"/>
          <w:szCs w:val="28"/>
        </w:rPr>
      </w:pPr>
      <w:r>
        <w:rPr>
          <w:rFonts w:hint="eastAsia" w:ascii="宋体" w:hAnsi="宋体" w:cs="Tahoma"/>
          <w:color w:val="333333"/>
          <w:sz w:val="28"/>
          <w:szCs w:val="28"/>
        </w:rPr>
        <w:t>设有机构：综合办公室</w:t>
      </w:r>
    </w:p>
    <w:p>
      <w:pPr>
        <w:shd w:val="clear" w:color="auto" w:fill="FFFFFF"/>
        <w:spacing w:line="560" w:lineRule="atLeast"/>
        <w:ind w:firstLine="560" w:firstLineChars="200"/>
        <w:rPr>
          <w:rFonts w:ascii="宋体" w:cs="宋体"/>
          <w:sz w:val="28"/>
          <w:szCs w:val="28"/>
        </w:rPr>
      </w:pPr>
      <w:r>
        <w:rPr>
          <w:rFonts w:ascii="宋体" w:hAnsi="宋体" w:cs="宋体"/>
          <w:sz w:val="28"/>
          <w:szCs w:val="28"/>
        </w:rPr>
        <w:t>3</w:t>
      </w:r>
      <w:r>
        <w:rPr>
          <w:rFonts w:hint="eastAsia" w:ascii="宋体" w:hAnsi="宋体" w:cs="宋体"/>
          <w:sz w:val="28"/>
          <w:szCs w:val="28"/>
        </w:rPr>
        <w:t>、人员情况</w:t>
      </w:r>
    </w:p>
    <w:p>
      <w:pPr>
        <w:ind w:firstLine="480"/>
        <w:rPr>
          <w:rFonts w:hint="eastAsia" w:ascii="宋体" w:hAnsi="宋体" w:cs="仿宋"/>
          <w:color w:val="000000"/>
          <w:sz w:val="28"/>
          <w:szCs w:val="28"/>
        </w:rPr>
      </w:pPr>
      <w:r>
        <w:rPr>
          <w:rFonts w:hint="eastAsia" w:ascii="宋体" w:hAnsi="宋体" w:cs="仿宋"/>
          <w:color w:val="000000"/>
          <w:sz w:val="28"/>
          <w:szCs w:val="28"/>
        </w:rPr>
        <w:t>本部门年末实有人数</w:t>
      </w:r>
      <w:r>
        <w:rPr>
          <w:rFonts w:ascii="宋体" w:hAnsi="宋体" w:cs="仿宋"/>
          <w:color w:val="000000"/>
          <w:sz w:val="28"/>
          <w:szCs w:val="28"/>
        </w:rPr>
        <w:t>1</w:t>
      </w:r>
      <w:r>
        <w:rPr>
          <w:rFonts w:hint="eastAsia" w:ascii="宋体" w:hAnsi="宋体" w:cs="仿宋"/>
          <w:color w:val="000000"/>
          <w:sz w:val="28"/>
          <w:szCs w:val="28"/>
        </w:rPr>
        <w:t>人，与去年相比无变化。</w:t>
      </w:r>
    </w:p>
    <w:p>
      <w:pPr>
        <w:pStyle w:val="5"/>
        <w:widowControl/>
        <w:spacing w:before="76" w:beforeAutospacing="0" w:after="76" w:afterAutospacing="0" w:line="450" w:lineRule="atLeast"/>
        <w:rPr>
          <w:rStyle w:val="8"/>
          <w:rFonts w:hint="eastAsia" w:ascii="微软雅黑" w:hAnsi="微软雅黑" w:eastAsia="微软雅黑" w:cs="微软雅黑"/>
          <w:color w:val="333333"/>
          <w:sz w:val="24"/>
          <w:szCs w:val="24"/>
          <w:shd w:val="clear" w:color="auto" w:fill="FFFFFF"/>
        </w:rPr>
      </w:pPr>
    </w:p>
    <w:p>
      <w:pPr>
        <w:pStyle w:val="5"/>
        <w:widowControl/>
        <w:spacing w:before="76" w:beforeAutospacing="0" w:after="76" w:afterAutospacing="0" w:line="450" w:lineRule="atLeast"/>
        <w:rPr>
          <w:rStyle w:val="8"/>
          <w:rFonts w:hint="eastAsia" w:ascii="微软雅黑" w:hAnsi="微软雅黑" w:eastAsia="微软雅黑" w:cs="微软雅黑"/>
          <w:color w:val="333333"/>
          <w:sz w:val="24"/>
          <w:szCs w:val="24"/>
          <w:shd w:val="clear" w:color="auto" w:fill="FFFFFF"/>
        </w:rPr>
      </w:pPr>
      <w:r>
        <w:rPr>
          <w:rStyle w:val="8"/>
          <w:rFonts w:hint="eastAsia" w:ascii="微软雅黑" w:hAnsi="微软雅黑" w:eastAsia="微软雅黑" w:cs="微软雅黑"/>
          <w:color w:val="333333"/>
          <w:sz w:val="24"/>
          <w:szCs w:val="24"/>
          <w:shd w:val="clear" w:color="auto" w:fill="FFFFFF"/>
        </w:rPr>
        <w:t>第二部分：部门2020年部门决算表</w:t>
      </w:r>
    </w:p>
    <w:tbl>
      <w:tblPr>
        <w:tblStyle w:val="6"/>
        <w:tblW w:w="10829" w:type="dxa"/>
        <w:tblInd w:w="0" w:type="dxa"/>
        <w:shd w:val="clear" w:color="auto" w:fill="auto"/>
        <w:tblLayout w:type="fixed"/>
        <w:tblCellMar>
          <w:top w:w="0" w:type="dxa"/>
          <w:left w:w="0" w:type="dxa"/>
          <w:bottom w:w="0" w:type="dxa"/>
          <w:right w:w="0" w:type="dxa"/>
        </w:tblCellMar>
      </w:tblPr>
      <w:tblGrid>
        <w:gridCol w:w="3998"/>
        <w:gridCol w:w="532"/>
        <w:gridCol w:w="1196"/>
        <w:gridCol w:w="3452"/>
        <w:gridCol w:w="490"/>
        <w:gridCol w:w="1161"/>
      </w:tblGrid>
      <w:tr>
        <w:tblPrEx>
          <w:shd w:val="clear" w:color="auto" w:fill="auto"/>
          <w:tblCellMar>
            <w:top w:w="0" w:type="dxa"/>
            <w:left w:w="0" w:type="dxa"/>
            <w:bottom w:w="0" w:type="dxa"/>
            <w:right w:w="0" w:type="dxa"/>
          </w:tblCellMar>
        </w:tblPrEx>
        <w:trPr>
          <w:trHeight w:val="375" w:hRule="atLeast"/>
        </w:trPr>
        <w:tc>
          <w:tcPr>
            <w:tcW w:w="10829" w:type="dxa"/>
            <w:gridSpan w:val="6"/>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ascii="黑体" w:hAnsi="宋体" w:eastAsia="黑体" w:cs="黑体"/>
                <w:i w:val="0"/>
                <w:color w:val="000000"/>
                <w:sz w:val="30"/>
                <w:szCs w:val="30"/>
                <w:u w:val="none"/>
              </w:rPr>
            </w:pPr>
            <w:r>
              <w:rPr>
                <w:rFonts w:hint="eastAsia" w:ascii="黑体" w:hAnsi="宋体" w:eastAsia="黑体" w:cs="黑体"/>
                <w:i w:val="0"/>
                <w:color w:val="000000"/>
                <w:kern w:val="0"/>
                <w:sz w:val="30"/>
                <w:szCs w:val="30"/>
                <w:u w:val="none"/>
                <w:lang w:val="en-US" w:eastAsia="zh-CN" w:bidi="ar"/>
              </w:rPr>
              <w:t>收入支出决算总表</w:t>
            </w:r>
          </w:p>
        </w:tc>
      </w:tr>
      <w:tr>
        <w:tblPrEx>
          <w:tblCellMar>
            <w:top w:w="0" w:type="dxa"/>
            <w:left w:w="0" w:type="dxa"/>
            <w:bottom w:w="0" w:type="dxa"/>
            <w:right w:w="0" w:type="dxa"/>
          </w:tblCellMar>
        </w:tblPrEx>
        <w:trPr>
          <w:trHeight w:val="300" w:hRule="atLeast"/>
        </w:trPr>
        <w:tc>
          <w:tcPr>
            <w:tcW w:w="3998"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532"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196"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3452"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490" w:type="dxa"/>
            <w:tcBorders>
              <w:top w:val="nil"/>
              <w:left w:val="nil"/>
              <w:bottom w:val="nil"/>
              <w:right w:val="nil"/>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18"/>
                <w:szCs w:val="18"/>
                <w:u w:val="none"/>
              </w:rPr>
            </w:pPr>
          </w:p>
        </w:tc>
        <w:tc>
          <w:tcPr>
            <w:tcW w:w="1161" w:type="dxa"/>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公开01表</w:t>
            </w:r>
          </w:p>
        </w:tc>
      </w:tr>
      <w:tr>
        <w:tblPrEx>
          <w:tblCellMar>
            <w:top w:w="0" w:type="dxa"/>
            <w:left w:w="0" w:type="dxa"/>
            <w:bottom w:w="0" w:type="dxa"/>
            <w:right w:w="0" w:type="dxa"/>
          </w:tblCellMar>
        </w:tblPrEx>
        <w:trPr>
          <w:trHeight w:val="300" w:hRule="atLeast"/>
        </w:trPr>
        <w:tc>
          <w:tcPr>
            <w:tcW w:w="4530" w:type="dxa"/>
            <w:gridSpan w:val="2"/>
            <w:tcBorders>
              <w:top w:val="nil"/>
              <w:left w:val="nil"/>
              <w:bottom w:val="single" w:color="000000" w:sz="4" w:space="0"/>
              <w:right w:val="nil"/>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18"/>
                <w:szCs w:val="18"/>
                <w:u w:val="none"/>
                <w:lang w:val="en-US" w:eastAsia="zh-CN" w:bidi="ar"/>
              </w:rPr>
              <w:t>部门：中国共产主义青年团湖北省黄石市黄石港区委员会</w:t>
            </w:r>
          </w:p>
        </w:tc>
        <w:tc>
          <w:tcPr>
            <w:tcW w:w="1196" w:type="dxa"/>
            <w:tcBorders>
              <w:top w:val="nil"/>
              <w:left w:val="nil"/>
              <w:bottom w:val="single" w:color="000000" w:sz="4" w:space="0"/>
              <w:right w:val="nil"/>
            </w:tcBorders>
            <w:shd w:val="clear" w:color="auto" w:fill="FFFFFF"/>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2020年度</w:t>
            </w:r>
          </w:p>
        </w:tc>
        <w:tc>
          <w:tcPr>
            <w:tcW w:w="3452" w:type="dxa"/>
            <w:tcBorders>
              <w:top w:val="nil"/>
              <w:left w:val="nil"/>
              <w:bottom w:val="single" w:color="000000" w:sz="4" w:space="0"/>
              <w:right w:val="nil"/>
            </w:tcBorders>
            <w:shd w:val="clear" w:color="auto" w:fill="FFFFFF"/>
            <w:noWrap/>
            <w:tcMar>
              <w:top w:w="15" w:type="dxa"/>
              <w:left w:w="15" w:type="dxa"/>
              <w:right w:w="15" w:type="dxa"/>
            </w:tcMar>
            <w:vAlign w:val="center"/>
          </w:tcPr>
          <w:p>
            <w:pPr>
              <w:jc w:val="center"/>
              <w:rPr>
                <w:rFonts w:hint="eastAsia" w:ascii="宋体" w:hAnsi="宋体" w:eastAsia="宋体" w:cs="宋体"/>
                <w:i w:val="0"/>
                <w:color w:val="000000"/>
                <w:sz w:val="18"/>
                <w:szCs w:val="18"/>
                <w:u w:val="none"/>
              </w:rPr>
            </w:pPr>
          </w:p>
        </w:tc>
        <w:tc>
          <w:tcPr>
            <w:tcW w:w="1651" w:type="dxa"/>
            <w:gridSpan w:val="2"/>
            <w:tcBorders>
              <w:top w:val="nil"/>
              <w:left w:val="nil"/>
              <w:bottom w:val="single" w:color="000000" w:sz="4" w:space="0"/>
              <w:right w:val="nil"/>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金额单位：万元</w:t>
            </w:r>
          </w:p>
        </w:tc>
      </w:tr>
      <w:tr>
        <w:tblPrEx>
          <w:tblCellMar>
            <w:top w:w="0" w:type="dxa"/>
            <w:left w:w="0" w:type="dxa"/>
            <w:bottom w:w="0" w:type="dxa"/>
            <w:right w:w="0" w:type="dxa"/>
          </w:tblCellMar>
        </w:tblPrEx>
        <w:trPr>
          <w:trHeight w:val="300" w:hRule="atLeast"/>
        </w:trPr>
        <w:tc>
          <w:tcPr>
            <w:tcW w:w="5726" w:type="dxa"/>
            <w:gridSpan w:val="3"/>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收入</w:t>
            </w:r>
          </w:p>
        </w:tc>
        <w:tc>
          <w:tcPr>
            <w:tcW w:w="5103" w:type="dxa"/>
            <w:gridSpan w:val="3"/>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支出</w:t>
            </w:r>
          </w:p>
        </w:tc>
      </w:tr>
      <w:tr>
        <w:tblPrEx>
          <w:tblCellMar>
            <w:top w:w="0" w:type="dxa"/>
            <w:left w:w="0" w:type="dxa"/>
            <w:bottom w:w="0" w:type="dxa"/>
            <w:right w:w="0" w:type="dxa"/>
          </w:tblCellMar>
        </w:tblPrEx>
        <w:trPr>
          <w:trHeight w:val="300" w:hRule="atLeast"/>
        </w:trPr>
        <w:tc>
          <w:tcPr>
            <w:tcW w:w="3998"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w:t>
            </w:r>
          </w:p>
        </w:tc>
        <w:tc>
          <w:tcPr>
            <w:tcW w:w="53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行次</w:t>
            </w:r>
          </w:p>
        </w:tc>
        <w:tc>
          <w:tcPr>
            <w:tcW w:w="119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w:t>
            </w:r>
          </w:p>
        </w:tc>
        <w:tc>
          <w:tcPr>
            <w:tcW w:w="345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w:t>
            </w:r>
          </w:p>
        </w:tc>
        <w:tc>
          <w:tcPr>
            <w:tcW w:w="49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行次</w:t>
            </w:r>
          </w:p>
        </w:tc>
        <w:tc>
          <w:tcPr>
            <w:tcW w:w="116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w:t>
            </w:r>
          </w:p>
        </w:tc>
      </w:tr>
      <w:tr>
        <w:tblPrEx>
          <w:tblCellMar>
            <w:top w:w="0" w:type="dxa"/>
            <w:left w:w="0" w:type="dxa"/>
            <w:bottom w:w="0" w:type="dxa"/>
            <w:right w:w="0" w:type="dxa"/>
          </w:tblCellMar>
        </w:tblPrEx>
        <w:trPr>
          <w:trHeight w:val="300" w:hRule="atLeast"/>
        </w:trPr>
        <w:tc>
          <w:tcPr>
            <w:tcW w:w="3998"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栏次</w:t>
            </w:r>
          </w:p>
        </w:tc>
        <w:tc>
          <w:tcPr>
            <w:tcW w:w="53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196"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345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栏次</w:t>
            </w:r>
          </w:p>
        </w:tc>
        <w:tc>
          <w:tcPr>
            <w:tcW w:w="49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center"/>
              <w:rPr>
                <w:rFonts w:hint="eastAsia" w:ascii="宋体" w:hAnsi="宋体" w:eastAsia="宋体" w:cs="宋体"/>
                <w:i w:val="0"/>
                <w:color w:val="000000"/>
                <w:sz w:val="20"/>
                <w:szCs w:val="20"/>
                <w:u w:val="none"/>
              </w:rPr>
            </w:pPr>
          </w:p>
        </w:tc>
        <w:tc>
          <w:tcPr>
            <w:tcW w:w="1161"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r>
      <w:tr>
        <w:tblPrEx>
          <w:tblCellMar>
            <w:top w:w="0" w:type="dxa"/>
            <w:left w:w="0" w:type="dxa"/>
            <w:bottom w:w="0" w:type="dxa"/>
            <w:right w:w="0" w:type="dxa"/>
          </w:tblCellMar>
        </w:tblPrEx>
        <w:trPr>
          <w:trHeight w:val="300" w:hRule="atLeast"/>
        </w:trPr>
        <w:tc>
          <w:tcPr>
            <w:tcW w:w="3998"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一、一般公共预算财政拨款收入</w:t>
            </w:r>
          </w:p>
        </w:tc>
        <w:tc>
          <w:tcPr>
            <w:tcW w:w="53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19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26.79</w:t>
            </w:r>
          </w:p>
        </w:tc>
        <w:tc>
          <w:tcPr>
            <w:tcW w:w="345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一、一般公共服务支出</w:t>
            </w:r>
          </w:p>
        </w:tc>
        <w:tc>
          <w:tcPr>
            <w:tcW w:w="49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32</w:t>
            </w:r>
          </w:p>
        </w:tc>
        <w:tc>
          <w:tcPr>
            <w:tcW w:w="116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26.79</w:t>
            </w:r>
          </w:p>
        </w:tc>
      </w:tr>
      <w:tr>
        <w:tblPrEx>
          <w:tblCellMar>
            <w:top w:w="0" w:type="dxa"/>
            <w:left w:w="0" w:type="dxa"/>
            <w:bottom w:w="0" w:type="dxa"/>
            <w:right w:w="0" w:type="dxa"/>
          </w:tblCellMar>
        </w:tblPrEx>
        <w:trPr>
          <w:trHeight w:val="300" w:hRule="atLeast"/>
        </w:trPr>
        <w:tc>
          <w:tcPr>
            <w:tcW w:w="3998"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二、政府性基金预算财政拨款收入</w:t>
            </w:r>
          </w:p>
        </w:tc>
        <w:tc>
          <w:tcPr>
            <w:tcW w:w="53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119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345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二、外交支出</w:t>
            </w:r>
          </w:p>
        </w:tc>
        <w:tc>
          <w:tcPr>
            <w:tcW w:w="49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33</w:t>
            </w:r>
          </w:p>
        </w:tc>
        <w:tc>
          <w:tcPr>
            <w:tcW w:w="116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3998"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三、国有资本经营预算财政拨款收入</w:t>
            </w:r>
          </w:p>
        </w:tc>
        <w:tc>
          <w:tcPr>
            <w:tcW w:w="53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c>
          <w:tcPr>
            <w:tcW w:w="119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345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三、国防支出</w:t>
            </w:r>
          </w:p>
        </w:tc>
        <w:tc>
          <w:tcPr>
            <w:tcW w:w="49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34</w:t>
            </w:r>
          </w:p>
        </w:tc>
        <w:tc>
          <w:tcPr>
            <w:tcW w:w="116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3998"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四、上级补助收入</w:t>
            </w:r>
          </w:p>
        </w:tc>
        <w:tc>
          <w:tcPr>
            <w:tcW w:w="53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119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345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四、公共安全支出</w:t>
            </w:r>
          </w:p>
        </w:tc>
        <w:tc>
          <w:tcPr>
            <w:tcW w:w="49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35</w:t>
            </w:r>
          </w:p>
        </w:tc>
        <w:tc>
          <w:tcPr>
            <w:tcW w:w="116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3998"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五、事业收入</w:t>
            </w:r>
          </w:p>
        </w:tc>
        <w:tc>
          <w:tcPr>
            <w:tcW w:w="53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w:t>
            </w:r>
          </w:p>
        </w:tc>
        <w:tc>
          <w:tcPr>
            <w:tcW w:w="119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345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五、教育支出</w:t>
            </w:r>
          </w:p>
        </w:tc>
        <w:tc>
          <w:tcPr>
            <w:tcW w:w="49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36</w:t>
            </w:r>
          </w:p>
        </w:tc>
        <w:tc>
          <w:tcPr>
            <w:tcW w:w="116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3998"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六、经营收入</w:t>
            </w:r>
          </w:p>
        </w:tc>
        <w:tc>
          <w:tcPr>
            <w:tcW w:w="53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w:t>
            </w:r>
          </w:p>
        </w:tc>
        <w:tc>
          <w:tcPr>
            <w:tcW w:w="119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345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六、科学技术支出</w:t>
            </w:r>
          </w:p>
        </w:tc>
        <w:tc>
          <w:tcPr>
            <w:tcW w:w="49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37</w:t>
            </w:r>
          </w:p>
        </w:tc>
        <w:tc>
          <w:tcPr>
            <w:tcW w:w="116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3998"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七、附属单位上缴收入</w:t>
            </w:r>
          </w:p>
        </w:tc>
        <w:tc>
          <w:tcPr>
            <w:tcW w:w="53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w:t>
            </w:r>
          </w:p>
        </w:tc>
        <w:tc>
          <w:tcPr>
            <w:tcW w:w="119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345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七、文化旅游体育与传媒支出</w:t>
            </w:r>
          </w:p>
        </w:tc>
        <w:tc>
          <w:tcPr>
            <w:tcW w:w="49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38</w:t>
            </w:r>
          </w:p>
        </w:tc>
        <w:tc>
          <w:tcPr>
            <w:tcW w:w="116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3998"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八、其他收入</w:t>
            </w:r>
          </w:p>
        </w:tc>
        <w:tc>
          <w:tcPr>
            <w:tcW w:w="53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w:t>
            </w:r>
          </w:p>
        </w:tc>
        <w:tc>
          <w:tcPr>
            <w:tcW w:w="119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345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八、社会保障和就业支出</w:t>
            </w:r>
          </w:p>
        </w:tc>
        <w:tc>
          <w:tcPr>
            <w:tcW w:w="49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w:t>
            </w:r>
          </w:p>
        </w:tc>
        <w:tc>
          <w:tcPr>
            <w:tcW w:w="116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3998"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53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w:t>
            </w:r>
          </w:p>
        </w:tc>
        <w:tc>
          <w:tcPr>
            <w:tcW w:w="119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45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九、卫生健康支出</w:t>
            </w:r>
          </w:p>
        </w:tc>
        <w:tc>
          <w:tcPr>
            <w:tcW w:w="49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40</w:t>
            </w:r>
          </w:p>
        </w:tc>
        <w:tc>
          <w:tcPr>
            <w:tcW w:w="116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3998"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53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w:t>
            </w:r>
          </w:p>
        </w:tc>
        <w:tc>
          <w:tcPr>
            <w:tcW w:w="119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45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十、节能环保支出</w:t>
            </w:r>
          </w:p>
        </w:tc>
        <w:tc>
          <w:tcPr>
            <w:tcW w:w="49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41</w:t>
            </w:r>
          </w:p>
        </w:tc>
        <w:tc>
          <w:tcPr>
            <w:tcW w:w="116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3998"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53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w:t>
            </w:r>
          </w:p>
        </w:tc>
        <w:tc>
          <w:tcPr>
            <w:tcW w:w="119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45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十一、城乡社区支出</w:t>
            </w:r>
          </w:p>
        </w:tc>
        <w:tc>
          <w:tcPr>
            <w:tcW w:w="49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42</w:t>
            </w:r>
          </w:p>
        </w:tc>
        <w:tc>
          <w:tcPr>
            <w:tcW w:w="116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3998"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53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w:t>
            </w:r>
          </w:p>
        </w:tc>
        <w:tc>
          <w:tcPr>
            <w:tcW w:w="119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45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十二、农林水支出</w:t>
            </w:r>
          </w:p>
        </w:tc>
        <w:tc>
          <w:tcPr>
            <w:tcW w:w="49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43</w:t>
            </w:r>
          </w:p>
        </w:tc>
        <w:tc>
          <w:tcPr>
            <w:tcW w:w="116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3998"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53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13</w:t>
            </w:r>
          </w:p>
        </w:tc>
        <w:tc>
          <w:tcPr>
            <w:tcW w:w="119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45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十三、交通运输支出</w:t>
            </w:r>
          </w:p>
        </w:tc>
        <w:tc>
          <w:tcPr>
            <w:tcW w:w="49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44</w:t>
            </w:r>
          </w:p>
        </w:tc>
        <w:tc>
          <w:tcPr>
            <w:tcW w:w="116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3998"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53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w:t>
            </w:r>
          </w:p>
        </w:tc>
        <w:tc>
          <w:tcPr>
            <w:tcW w:w="119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45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十四、资源勘探工业信息等支出</w:t>
            </w:r>
          </w:p>
        </w:tc>
        <w:tc>
          <w:tcPr>
            <w:tcW w:w="49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45</w:t>
            </w:r>
          </w:p>
        </w:tc>
        <w:tc>
          <w:tcPr>
            <w:tcW w:w="116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3998"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53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15</w:t>
            </w:r>
          </w:p>
        </w:tc>
        <w:tc>
          <w:tcPr>
            <w:tcW w:w="119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45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十五、商业服务业等支出</w:t>
            </w:r>
          </w:p>
        </w:tc>
        <w:tc>
          <w:tcPr>
            <w:tcW w:w="49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46</w:t>
            </w:r>
          </w:p>
        </w:tc>
        <w:tc>
          <w:tcPr>
            <w:tcW w:w="116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3998"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53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16</w:t>
            </w:r>
          </w:p>
        </w:tc>
        <w:tc>
          <w:tcPr>
            <w:tcW w:w="119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45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十六、金融支出</w:t>
            </w:r>
          </w:p>
        </w:tc>
        <w:tc>
          <w:tcPr>
            <w:tcW w:w="49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47</w:t>
            </w:r>
          </w:p>
        </w:tc>
        <w:tc>
          <w:tcPr>
            <w:tcW w:w="116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3998"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53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w:t>
            </w:r>
          </w:p>
        </w:tc>
        <w:tc>
          <w:tcPr>
            <w:tcW w:w="119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45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十七、援助其他地区支出</w:t>
            </w:r>
          </w:p>
        </w:tc>
        <w:tc>
          <w:tcPr>
            <w:tcW w:w="49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48</w:t>
            </w:r>
          </w:p>
        </w:tc>
        <w:tc>
          <w:tcPr>
            <w:tcW w:w="116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3998"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53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18</w:t>
            </w:r>
          </w:p>
        </w:tc>
        <w:tc>
          <w:tcPr>
            <w:tcW w:w="119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45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十八、自然资源海洋气象等支出</w:t>
            </w:r>
          </w:p>
        </w:tc>
        <w:tc>
          <w:tcPr>
            <w:tcW w:w="49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49</w:t>
            </w:r>
          </w:p>
        </w:tc>
        <w:tc>
          <w:tcPr>
            <w:tcW w:w="116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3998"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53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19</w:t>
            </w:r>
          </w:p>
        </w:tc>
        <w:tc>
          <w:tcPr>
            <w:tcW w:w="119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45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十九、住房保障支出</w:t>
            </w:r>
          </w:p>
        </w:tc>
        <w:tc>
          <w:tcPr>
            <w:tcW w:w="49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50</w:t>
            </w:r>
          </w:p>
        </w:tc>
        <w:tc>
          <w:tcPr>
            <w:tcW w:w="116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3998"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53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w:t>
            </w:r>
          </w:p>
        </w:tc>
        <w:tc>
          <w:tcPr>
            <w:tcW w:w="119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45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二十、粮油物资储备支出</w:t>
            </w:r>
          </w:p>
        </w:tc>
        <w:tc>
          <w:tcPr>
            <w:tcW w:w="49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51</w:t>
            </w:r>
          </w:p>
        </w:tc>
        <w:tc>
          <w:tcPr>
            <w:tcW w:w="116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3998"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53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21</w:t>
            </w:r>
          </w:p>
        </w:tc>
        <w:tc>
          <w:tcPr>
            <w:tcW w:w="119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45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二十一、国有资本经营预算支出</w:t>
            </w:r>
          </w:p>
        </w:tc>
        <w:tc>
          <w:tcPr>
            <w:tcW w:w="49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52</w:t>
            </w:r>
          </w:p>
        </w:tc>
        <w:tc>
          <w:tcPr>
            <w:tcW w:w="116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3998"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53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22</w:t>
            </w:r>
          </w:p>
        </w:tc>
        <w:tc>
          <w:tcPr>
            <w:tcW w:w="119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45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二十二、灾害防治及应急管理支出</w:t>
            </w:r>
          </w:p>
        </w:tc>
        <w:tc>
          <w:tcPr>
            <w:tcW w:w="49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53</w:t>
            </w:r>
          </w:p>
        </w:tc>
        <w:tc>
          <w:tcPr>
            <w:tcW w:w="116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3998"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53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23</w:t>
            </w:r>
          </w:p>
        </w:tc>
        <w:tc>
          <w:tcPr>
            <w:tcW w:w="119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45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二十三、其他支出</w:t>
            </w:r>
          </w:p>
        </w:tc>
        <w:tc>
          <w:tcPr>
            <w:tcW w:w="49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54</w:t>
            </w:r>
          </w:p>
        </w:tc>
        <w:tc>
          <w:tcPr>
            <w:tcW w:w="116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3998"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center"/>
              <w:rPr>
                <w:rFonts w:hint="eastAsia" w:ascii="宋体" w:hAnsi="宋体" w:eastAsia="宋体" w:cs="宋体"/>
                <w:b/>
                <w:i w:val="0"/>
                <w:color w:val="000000"/>
                <w:sz w:val="20"/>
                <w:szCs w:val="20"/>
                <w:u w:val="none"/>
              </w:rPr>
            </w:pPr>
          </w:p>
        </w:tc>
        <w:tc>
          <w:tcPr>
            <w:tcW w:w="53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24</w:t>
            </w:r>
          </w:p>
        </w:tc>
        <w:tc>
          <w:tcPr>
            <w:tcW w:w="119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45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二十四、债务还本支出</w:t>
            </w:r>
          </w:p>
        </w:tc>
        <w:tc>
          <w:tcPr>
            <w:tcW w:w="49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55</w:t>
            </w:r>
          </w:p>
        </w:tc>
        <w:tc>
          <w:tcPr>
            <w:tcW w:w="116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3998"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53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25</w:t>
            </w:r>
          </w:p>
        </w:tc>
        <w:tc>
          <w:tcPr>
            <w:tcW w:w="119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45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二十五、债务付息支出</w:t>
            </w:r>
          </w:p>
        </w:tc>
        <w:tc>
          <w:tcPr>
            <w:tcW w:w="49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56</w:t>
            </w:r>
          </w:p>
        </w:tc>
        <w:tc>
          <w:tcPr>
            <w:tcW w:w="116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3998"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53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26</w:t>
            </w:r>
          </w:p>
        </w:tc>
        <w:tc>
          <w:tcPr>
            <w:tcW w:w="119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45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二十六、抗疫特别国债安排的支出</w:t>
            </w:r>
          </w:p>
        </w:tc>
        <w:tc>
          <w:tcPr>
            <w:tcW w:w="49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57</w:t>
            </w:r>
          </w:p>
        </w:tc>
        <w:tc>
          <w:tcPr>
            <w:tcW w:w="116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3998"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本年收入合计</w:t>
            </w:r>
          </w:p>
        </w:tc>
        <w:tc>
          <w:tcPr>
            <w:tcW w:w="53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27</w:t>
            </w:r>
          </w:p>
        </w:tc>
        <w:tc>
          <w:tcPr>
            <w:tcW w:w="119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26.79</w:t>
            </w:r>
          </w:p>
        </w:tc>
        <w:tc>
          <w:tcPr>
            <w:tcW w:w="345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本年支出合计</w:t>
            </w:r>
          </w:p>
        </w:tc>
        <w:tc>
          <w:tcPr>
            <w:tcW w:w="49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58</w:t>
            </w:r>
          </w:p>
        </w:tc>
        <w:tc>
          <w:tcPr>
            <w:tcW w:w="116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26.79</w:t>
            </w:r>
          </w:p>
        </w:tc>
      </w:tr>
      <w:tr>
        <w:tblPrEx>
          <w:tblCellMar>
            <w:top w:w="0" w:type="dxa"/>
            <w:left w:w="0" w:type="dxa"/>
            <w:bottom w:w="0" w:type="dxa"/>
            <w:right w:w="0" w:type="dxa"/>
          </w:tblCellMar>
        </w:tblPrEx>
        <w:trPr>
          <w:trHeight w:val="300" w:hRule="atLeast"/>
        </w:trPr>
        <w:tc>
          <w:tcPr>
            <w:tcW w:w="3998"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使用非财政拨款结余</w:t>
            </w:r>
          </w:p>
        </w:tc>
        <w:tc>
          <w:tcPr>
            <w:tcW w:w="53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28</w:t>
            </w:r>
          </w:p>
        </w:tc>
        <w:tc>
          <w:tcPr>
            <w:tcW w:w="119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345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结余分配</w:t>
            </w:r>
          </w:p>
        </w:tc>
        <w:tc>
          <w:tcPr>
            <w:tcW w:w="49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59</w:t>
            </w:r>
          </w:p>
        </w:tc>
        <w:tc>
          <w:tcPr>
            <w:tcW w:w="116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3998"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年初结转和结余</w:t>
            </w:r>
          </w:p>
        </w:tc>
        <w:tc>
          <w:tcPr>
            <w:tcW w:w="53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29</w:t>
            </w:r>
          </w:p>
        </w:tc>
        <w:tc>
          <w:tcPr>
            <w:tcW w:w="119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345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年末结转和结余</w:t>
            </w:r>
          </w:p>
        </w:tc>
        <w:tc>
          <w:tcPr>
            <w:tcW w:w="49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60</w:t>
            </w:r>
          </w:p>
        </w:tc>
        <w:tc>
          <w:tcPr>
            <w:tcW w:w="116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CellMar>
            <w:top w:w="0" w:type="dxa"/>
            <w:left w:w="0" w:type="dxa"/>
            <w:bottom w:w="0" w:type="dxa"/>
            <w:right w:w="0" w:type="dxa"/>
          </w:tblCellMar>
        </w:tblPrEx>
        <w:trPr>
          <w:trHeight w:val="300" w:hRule="atLeast"/>
        </w:trPr>
        <w:tc>
          <w:tcPr>
            <w:tcW w:w="3998"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53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w:t>
            </w:r>
          </w:p>
        </w:tc>
        <w:tc>
          <w:tcPr>
            <w:tcW w:w="119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right"/>
              <w:rPr>
                <w:rFonts w:hint="eastAsia" w:ascii="宋体" w:hAnsi="宋体" w:eastAsia="宋体" w:cs="宋体"/>
                <w:i w:val="0"/>
                <w:color w:val="000000"/>
                <w:sz w:val="20"/>
                <w:szCs w:val="20"/>
                <w:u w:val="none"/>
              </w:rPr>
            </w:pPr>
          </w:p>
        </w:tc>
        <w:tc>
          <w:tcPr>
            <w:tcW w:w="345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c>
          <w:tcPr>
            <w:tcW w:w="49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61</w:t>
            </w:r>
          </w:p>
        </w:tc>
        <w:tc>
          <w:tcPr>
            <w:tcW w:w="116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jc w:val="left"/>
              <w:rPr>
                <w:rFonts w:hint="eastAsia" w:ascii="宋体" w:hAnsi="宋体" w:eastAsia="宋体" w:cs="宋体"/>
                <w:i w:val="0"/>
                <w:color w:val="000000"/>
                <w:sz w:val="20"/>
                <w:szCs w:val="20"/>
                <w:u w:val="none"/>
              </w:rPr>
            </w:pPr>
          </w:p>
        </w:tc>
      </w:tr>
      <w:tr>
        <w:tblPrEx>
          <w:tblCellMar>
            <w:top w:w="0" w:type="dxa"/>
            <w:left w:w="0" w:type="dxa"/>
            <w:bottom w:w="0" w:type="dxa"/>
            <w:right w:w="0" w:type="dxa"/>
          </w:tblCellMar>
        </w:tblPrEx>
        <w:trPr>
          <w:trHeight w:val="300" w:hRule="atLeast"/>
        </w:trPr>
        <w:tc>
          <w:tcPr>
            <w:tcW w:w="3998" w:type="dxa"/>
            <w:tcBorders>
              <w:top w:val="nil"/>
              <w:left w:val="single" w:color="000000" w:sz="4" w:space="0"/>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both"/>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总计</w:t>
            </w:r>
          </w:p>
        </w:tc>
        <w:tc>
          <w:tcPr>
            <w:tcW w:w="532" w:type="dxa"/>
            <w:tcBorders>
              <w:top w:val="nil"/>
              <w:left w:val="nil"/>
              <w:bottom w:val="single" w:color="000000" w:sz="12"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w:t>
            </w:r>
          </w:p>
        </w:tc>
        <w:tc>
          <w:tcPr>
            <w:tcW w:w="1196"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26.79</w:t>
            </w:r>
          </w:p>
        </w:tc>
        <w:tc>
          <w:tcPr>
            <w:tcW w:w="3452"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both"/>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总计</w:t>
            </w:r>
          </w:p>
        </w:tc>
        <w:tc>
          <w:tcPr>
            <w:tcW w:w="490" w:type="dxa"/>
            <w:tcBorders>
              <w:top w:val="nil"/>
              <w:left w:val="nil"/>
              <w:bottom w:val="single" w:color="000000" w:sz="4" w:space="0"/>
              <w:right w:val="single" w:color="000000" w:sz="4" w:space="0"/>
            </w:tcBorders>
            <w:shd w:val="clear" w:color="auto"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62</w:t>
            </w:r>
          </w:p>
        </w:tc>
        <w:tc>
          <w:tcPr>
            <w:tcW w:w="1161" w:type="dxa"/>
            <w:tcBorders>
              <w:top w:val="nil"/>
              <w:left w:val="nil"/>
              <w:bottom w:val="single" w:color="000000" w:sz="4" w:space="0"/>
              <w:right w:val="single" w:color="000000" w:sz="4" w:space="0"/>
            </w:tcBorders>
            <w:shd w:val="clear" w:color="auto" w:fill="FFFFFF"/>
            <w:noWrap/>
            <w:tcMar>
              <w:top w:w="15" w:type="dxa"/>
              <w:left w:w="15" w:type="dxa"/>
              <w:right w:w="15"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26.79</w:t>
            </w:r>
          </w:p>
        </w:tc>
      </w:tr>
      <w:tr>
        <w:tblPrEx>
          <w:tblCellMar>
            <w:top w:w="0" w:type="dxa"/>
            <w:left w:w="0" w:type="dxa"/>
            <w:bottom w:w="0" w:type="dxa"/>
            <w:right w:w="0" w:type="dxa"/>
          </w:tblCellMar>
        </w:tblPrEx>
        <w:trPr>
          <w:trHeight w:val="300" w:hRule="atLeast"/>
        </w:trPr>
        <w:tc>
          <w:tcPr>
            <w:tcW w:w="10829" w:type="dxa"/>
            <w:gridSpan w:val="6"/>
            <w:tcBorders>
              <w:top w:val="nil"/>
              <w:left w:val="nil"/>
              <w:bottom w:val="nil"/>
              <w:right w:val="nil"/>
            </w:tcBorders>
            <w:shd w:val="clear" w:color="auto" w:fill="FFFFFF"/>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注：本表反映部门本年度的总收支和年末结转结余情况。</w:t>
            </w:r>
          </w:p>
        </w:tc>
      </w:tr>
    </w:tbl>
    <w:p>
      <w:pPr>
        <w:pStyle w:val="5"/>
        <w:widowControl/>
        <w:spacing w:before="76" w:beforeAutospacing="0" w:after="76" w:afterAutospacing="0" w:line="450" w:lineRule="atLeast"/>
        <w:rPr>
          <w:rStyle w:val="8"/>
          <w:rFonts w:hint="eastAsia" w:ascii="微软雅黑" w:hAnsi="微软雅黑" w:eastAsia="微软雅黑" w:cs="微软雅黑"/>
          <w:color w:val="333333"/>
          <w:sz w:val="24"/>
          <w:szCs w:val="24"/>
          <w:shd w:val="clear" w:color="auto" w:fill="FFFFFF"/>
        </w:rPr>
      </w:pPr>
    </w:p>
    <w:p>
      <w:pPr>
        <w:pStyle w:val="5"/>
        <w:widowControl/>
        <w:spacing w:before="76" w:beforeAutospacing="0" w:after="76" w:afterAutospacing="0" w:line="450" w:lineRule="atLeast"/>
        <w:rPr>
          <w:color w:val="333333"/>
        </w:rPr>
      </w:pPr>
    </w:p>
    <w:p>
      <w:pPr>
        <w:pStyle w:val="5"/>
        <w:widowControl/>
        <w:spacing w:before="76" w:beforeAutospacing="0" w:after="76" w:afterAutospacing="0" w:line="450" w:lineRule="atLeast"/>
        <w:rPr>
          <w:color w:val="333333"/>
        </w:rPr>
      </w:pPr>
    </w:p>
    <w:p>
      <w:pPr>
        <w:pStyle w:val="5"/>
        <w:widowControl/>
        <w:spacing w:before="76" w:beforeAutospacing="0" w:after="76" w:afterAutospacing="0" w:line="450" w:lineRule="atLeast"/>
        <w:rPr>
          <w:color w:val="333333"/>
        </w:rPr>
      </w:pPr>
    </w:p>
    <w:p>
      <w:pPr>
        <w:bidi w:val="0"/>
      </w:pPr>
    </w:p>
    <w:p>
      <w:pPr>
        <w:bidi w:val="0"/>
      </w:pPr>
    </w:p>
    <w:p>
      <w:pPr>
        <w:bidi w:val="0"/>
      </w:pPr>
    </w:p>
    <w:p>
      <w:pPr>
        <w:bidi w:val="0"/>
      </w:pPr>
    </w:p>
    <w:p>
      <w:pPr>
        <w:bidi w:val="0"/>
      </w:pPr>
    </w:p>
    <w:p>
      <w:pPr>
        <w:bidi w:val="0"/>
      </w:pPr>
    </w:p>
    <w:p>
      <w:pPr>
        <w:bidi w:val="0"/>
      </w:pPr>
    </w:p>
    <w:p>
      <w:pPr>
        <w:bidi w:val="0"/>
      </w:pPr>
    </w:p>
    <w:p>
      <w:pPr>
        <w:bidi w:val="0"/>
      </w:pPr>
    </w:p>
    <w:p>
      <w:pPr>
        <w:bidi w:val="0"/>
      </w:pPr>
    </w:p>
    <w:p>
      <w:pPr>
        <w:bidi w:val="0"/>
      </w:pPr>
    </w:p>
    <w:p>
      <w:pPr>
        <w:tabs>
          <w:tab w:val="left" w:pos="8292"/>
        </w:tabs>
        <w:bidi w:val="0"/>
        <w:jc w:val="left"/>
        <w:rPr>
          <w:color w:val="333333"/>
        </w:rPr>
      </w:pPr>
      <w:r>
        <w:rPr>
          <w:color w:val="333333"/>
        </w:rPr>
        <w:drawing>
          <wp:inline distT="0" distB="0" distL="114300" distR="114300">
            <wp:extent cx="8801100" cy="2200275"/>
            <wp:effectExtent l="0" t="0" r="0" b="9525"/>
            <wp:docPr id="1"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pic:cNvPicPr>
                      <a:picLocks noChangeAspect="1"/>
                    </pic:cNvPicPr>
                  </pic:nvPicPr>
                  <pic:blipFill>
                    <a:blip r:embed="rId10"/>
                    <a:stretch>
                      <a:fillRect/>
                    </a:stretch>
                  </pic:blipFill>
                  <pic:spPr>
                    <a:xfrm>
                      <a:off x="0" y="0"/>
                      <a:ext cx="8801100" cy="2200275"/>
                    </a:xfrm>
                    <a:prstGeom prst="rect">
                      <a:avLst/>
                    </a:prstGeom>
                    <a:noFill/>
                    <a:ln>
                      <a:noFill/>
                    </a:ln>
                  </pic:spPr>
                </pic:pic>
              </a:graphicData>
            </a:graphic>
          </wp:inline>
        </w:drawing>
      </w:r>
    </w:p>
    <w:p>
      <w:pPr>
        <w:pStyle w:val="5"/>
        <w:widowControl/>
        <w:spacing w:before="76" w:beforeAutospacing="0" w:after="76" w:afterAutospacing="0" w:line="450" w:lineRule="atLeast"/>
        <w:rPr>
          <w:color w:val="333333"/>
        </w:rPr>
      </w:pPr>
    </w:p>
    <w:p>
      <w:pPr>
        <w:pStyle w:val="5"/>
        <w:widowControl/>
        <w:spacing w:before="76" w:beforeAutospacing="0" w:after="76" w:afterAutospacing="0" w:line="450" w:lineRule="atLeast"/>
        <w:rPr>
          <w:color w:val="333333"/>
        </w:rPr>
      </w:pPr>
    </w:p>
    <w:p>
      <w:pPr>
        <w:pStyle w:val="5"/>
        <w:widowControl/>
        <w:spacing w:before="76" w:beforeAutospacing="0" w:after="76" w:afterAutospacing="0" w:line="450" w:lineRule="atLeast"/>
        <w:rPr>
          <w:color w:val="333333"/>
        </w:rPr>
      </w:pPr>
    </w:p>
    <w:p>
      <w:pPr>
        <w:pStyle w:val="5"/>
        <w:widowControl/>
        <w:spacing w:before="76" w:beforeAutospacing="0" w:after="76" w:afterAutospacing="0" w:line="450" w:lineRule="atLeast"/>
        <w:rPr>
          <w:color w:val="333333"/>
        </w:rPr>
        <w:sectPr>
          <w:headerReference r:id="rId5" w:type="first"/>
          <w:footerReference r:id="rId8" w:type="first"/>
          <w:headerReference r:id="rId3" w:type="default"/>
          <w:footerReference r:id="rId6" w:type="default"/>
          <w:headerReference r:id="rId4" w:type="even"/>
          <w:footerReference r:id="rId7" w:type="even"/>
          <w:pgSz w:w="16838" w:h="11906" w:orient="landscape"/>
          <w:pgMar w:top="1800" w:right="1440" w:bottom="1800" w:left="1440" w:header="851" w:footer="992" w:gutter="0"/>
          <w:cols w:space="425" w:num="1"/>
          <w:docGrid w:type="lines" w:linePitch="312" w:charSpace="0"/>
        </w:sectPr>
      </w:pPr>
      <w:r>
        <w:rPr>
          <w:color w:val="333333"/>
        </w:rPr>
        <w:drawing>
          <wp:inline distT="0" distB="0" distL="114300" distR="114300">
            <wp:extent cx="8829675" cy="2124075"/>
            <wp:effectExtent l="0" t="0" r="9525" b="9525"/>
            <wp:docPr id="2"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3"/>
                    <pic:cNvPicPr>
                      <a:picLocks noChangeAspect="1"/>
                    </pic:cNvPicPr>
                  </pic:nvPicPr>
                  <pic:blipFill>
                    <a:blip r:embed="rId11"/>
                    <a:stretch>
                      <a:fillRect/>
                    </a:stretch>
                  </pic:blipFill>
                  <pic:spPr>
                    <a:xfrm>
                      <a:off x="0" y="0"/>
                      <a:ext cx="8829675" cy="2124075"/>
                    </a:xfrm>
                    <a:prstGeom prst="rect">
                      <a:avLst/>
                    </a:prstGeom>
                    <a:noFill/>
                    <a:ln>
                      <a:noFill/>
                    </a:ln>
                  </pic:spPr>
                </pic:pic>
              </a:graphicData>
            </a:graphic>
          </wp:inline>
        </w:drawing>
      </w:r>
    </w:p>
    <w:p>
      <w:pPr>
        <w:pStyle w:val="5"/>
        <w:widowControl/>
        <w:spacing w:before="76" w:beforeAutospacing="0" w:after="76" w:afterAutospacing="0" w:line="450" w:lineRule="atLeast"/>
        <w:ind w:firstLine="240" w:firstLineChars="100"/>
        <w:rPr>
          <w:rStyle w:val="8"/>
          <w:rFonts w:ascii="微软雅黑" w:hAnsi="微软雅黑" w:eastAsia="微软雅黑" w:cs="微软雅黑"/>
          <w:color w:val="333333"/>
          <w:shd w:val="clear" w:color="auto" w:fill="FFFFFF"/>
        </w:rPr>
      </w:pPr>
      <w:r>
        <w:rPr>
          <w:rStyle w:val="8"/>
          <w:rFonts w:ascii="微软雅黑" w:hAnsi="微软雅黑" w:eastAsia="微软雅黑" w:cs="微软雅黑"/>
          <w:color w:val="333333"/>
          <w:shd w:val="clear" w:color="auto" w:fill="FFFFFF"/>
        </w:rPr>
        <w:drawing>
          <wp:inline distT="0" distB="0" distL="114300" distR="114300">
            <wp:extent cx="7191375" cy="5238750"/>
            <wp:effectExtent l="0" t="0" r="9525" b="0"/>
            <wp:docPr id="3"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4"/>
                    <pic:cNvPicPr>
                      <a:picLocks noChangeAspect="1"/>
                    </pic:cNvPicPr>
                  </pic:nvPicPr>
                  <pic:blipFill>
                    <a:blip r:embed="rId12"/>
                    <a:stretch>
                      <a:fillRect/>
                    </a:stretch>
                  </pic:blipFill>
                  <pic:spPr>
                    <a:xfrm>
                      <a:off x="0" y="0"/>
                      <a:ext cx="7191375" cy="5238750"/>
                    </a:xfrm>
                    <a:prstGeom prst="rect">
                      <a:avLst/>
                    </a:prstGeom>
                    <a:noFill/>
                    <a:ln>
                      <a:noFill/>
                    </a:ln>
                  </pic:spPr>
                </pic:pic>
              </a:graphicData>
            </a:graphic>
          </wp:inline>
        </w:drawing>
      </w:r>
    </w:p>
    <w:p>
      <w:pPr>
        <w:pStyle w:val="5"/>
        <w:widowControl/>
        <w:spacing w:before="76" w:beforeAutospacing="0" w:after="76" w:afterAutospacing="0" w:line="450" w:lineRule="atLeast"/>
        <w:ind w:firstLine="240" w:firstLineChars="100"/>
        <w:rPr>
          <w:rStyle w:val="8"/>
          <w:rFonts w:ascii="微软雅黑" w:hAnsi="微软雅黑" w:eastAsia="微软雅黑" w:cs="微软雅黑"/>
          <w:color w:val="333333"/>
          <w:shd w:val="clear" w:color="auto" w:fill="FFFFFF"/>
        </w:rPr>
      </w:pPr>
      <w:r>
        <w:rPr>
          <w:rStyle w:val="8"/>
          <w:rFonts w:ascii="微软雅黑" w:hAnsi="微软雅黑" w:eastAsia="微软雅黑" w:cs="微软雅黑"/>
          <w:color w:val="333333"/>
          <w:shd w:val="clear" w:color="auto" w:fill="FFFFFF"/>
        </w:rPr>
        <w:drawing>
          <wp:inline distT="0" distB="0" distL="114300" distR="114300">
            <wp:extent cx="8782050" cy="2095500"/>
            <wp:effectExtent l="0" t="0" r="0" b="0"/>
            <wp:docPr id="4"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5"/>
                    <pic:cNvPicPr>
                      <a:picLocks noChangeAspect="1"/>
                    </pic:cNvPicPr>
                  </pic:nvPicPr>
                  <pic:blipFill>
                    <a:blip r:embed="rId13"/>
                    <a:stretch>
                      <a:fillRect/>
                    </a:stretch>
                  </pic:blipFill>
                  <pic:spPr>
                    <a:xfrm>
                      <a:off x="0" y="0"/>
                      <a:ext cx="8782050" cy="2095500"/>
                    </a:xfrm>
                    <a:prstGeom prst="rect">
                      <a:avLst/>
                    </a:prstGeom>
                    <a:noFill/>
                    <a:ln>
                      <a:noFill/>
                    </a:ln>
                  </pic:spPr>
                </pic:pic>
              </a:graphicData>
            </a:graphic>
          </wp:inline>
        </w:drawing>
      </w:r>
    </w:p>
    <w:p>
      <w:pPr>
        <w:pStyle w:val="5"/>
        <w:widowControl/>
        <w:spacing w:before="76" w:beforeAutospacing="0" w:after="76" w:afterAutospacing="0" w:line="450" w:lineRule="atLeast"/>
        <w:ind w:firstLine="240" w:firstLineChars="100"/>
        <w:rPr>
          <w:rStyle w:val="8"/>
          <w:rFonts w:ascii="微软雅黑" w:hAnsi="微软雅黑" w:eastAsia="微软雅黑" w:cs="微软雅黑"/>
          <w:color w:val="333333"/>
          <w:shd w:val="clear" w:color="auto" w:fill="FFFFFF"/>
        </w:rPr>
      </w:pPr>
    </w:p>
    <w:p>
      <w:pPr>
        <w:pStyle w:val="5"/>
        <w:widowControl/>
        <w:spacing w:before="76" w:beforeAutospacing="0" w:after="76" w:afterAutospacing="0" w:line="450" w:lineRule="atLeast"/>
        <w:ind w:firstLine="240" w:firstLineChars="100"/>
        <w:rPr>
          <w:rStyle w:val="8"/>
          <w:rFonts w:ascii="微软雅黑" w:hAnsi="微软雅黑" w:eastAsia="微软雅黑" w:cs="微软雅黑"/>
          <w:color w:val="333333"/>
          <w:shd w:val="clear" w:color="auto" w:fill="FFFFFF"/>
        </w:rPr>
      </w:pPr>
    </w:p>
    <w:p>
      <w:pPr>
        <w:pStyle w:val="5"/>
        <w:widowControl/>
        <w:spacing w:before="76" w:beforeAutospacing="0" w:after="76" w:afterAutospacing="0" w:line="450" w:lineRule="atLeast"/>
        <w:ind w:firstLine="240" w:firstLineChars="100"/>
        <w:rPr>
          <w:rStyle w:val="8"/>
          <w:rFonts w:ascii="微软雅黑" w:hAnsi="微软雅黑" w:eastAsia="微软雅黑" w:cs="微软雅黑"/>
          <w:color w:val="333333"/>
          <w:shd w:val="clear" w:color="auto" w:fill="FFFFFF"/>
        </w:rPr>
      </w:pPr>
    </w:p>
    <w:p>
      <w:pPr>
        <w:pStyle w:val="5"/>
        <w:widowControl/>
        <w:spacing w:before="76" w:beforeAutospacing="0" w:after="76" w:afterAutospacing="0" w:line="450" w:lineRule="atLeast"/>
        <w:ind w:firstLine="240" w:firstLineChars="100"/>
        <w:rPr>
          <w:rStyle w:val="8"/>
          <w:rFonts w:ascii="微软雅黑" w:hAnsi="微软雅黑" w:eastAsia="微软雅黑" w:cs="微软雅黑"/>
          <w:color w:val="333333"/>
          <w:shd w:val="clear" w:color="auto" w:fill="FFFFFF"/>
        </w:rPr>
      </w:pPr>
    </w:p>
    <w:p>
      <w:pPr>
        <w:pStyle w:val="5"/>
        <w:widowControl/>
        <w:spacing w:before="76" w:beforeAutospacing="0" w:after="76" w:afterAutospacing="0" w:line="450" w:lineRule="atLeast"/>
        <w:ind w:firstLine="240" w:firstLineChars="100"/>
        <w:rPr>
          <w:rStyle w:val="8"/>
          <w:rFonts w:ascii="微软雅黑" w:hAnsi="微软雅黑" w:eastAsia="微软雅黑" w:cs="微软雅黑"/>
          <w:color w:val="333333"/>
          <w:shd w:val="clear" w:color="auto" w:fill="FFFFFF"/>
        </w:rPr>
      </w:pPr>
    </w:p>
    <w:p>
      <w:pPr>
        <w:pStyle w:val="5"/>
        <w:widowControl/>
        <w:spacing w:before="76" w:beforeAutospacing="0" w:after="76" w:afterAutospacing="0" w:line="450" w:lineRule="atLeast"/>
        <w:ind w:firstLine="240" w:firstLineChars="100"/>
        <w:rPr>
          <w:rStyle w:val="8"/>
          <w:rFonts w:ascii="微软雅黑" w:hAnsi="微软雅黑" w:eastAsia="微软雅黑" w:cs="微软雅黑"/>
          <w:color w:val="333333"/>
          <w:shd w:val="clear" w:color="auto" w:fill="FFFFFF"/>
        </w:rPr>
      </w:pPr>
    </w:p>
    <w:p>
      <w:pPr>
        <w:pStyle w:val="5"/>
        <w:widowControl/>
        <w:spacing w:before="76" w:beforeAutospacing="0" w:after="76" w:afterAutospacing="0" w:line="450" w:lineRule="atLeast"/>
        <w:ind w:firstLine="240" w:firstLineChars="100"/>
        <w:rPr>
          <w:rStyle w:val="8"/>
          <w:rFonts w:ascii="微软雅黑" w:hAnsi="微软雅黑" w:eastAsia="微软雅黑" w:cs="微软雅黑"/>
          <w:color w:val="333333"/>
          <w:shd w:val="clear" w:color="auto" w:fill="FFFFFF"/>
        </w:rPr>
      </w:pPr>
    </w:p>
    <w:p>
      <w:pPr>
        <w:pStyle w:val="5"/>
        <w:widowControl/>
        <w:spacing w:before="76" w:beforeAutospacing="0" w:after="76" w:afterAutospacing="0" w:line="450" w:lineRule="atLeast"/>
        <w:ind w:firstLine="240" w:firstLineChars="100"/>
        <w:rPr>
          <w:rStyle w:val="8"/>
          <w:rFonts w:ascii="微软雅黑" w:hAnsi="微软雅黑" w:eastAsia="微软雅黑" w:cs="微软雅黑"/>
          <w:color w:val="333333"/>
          <w:shd w:val="clear" w:color="auto" w:fill="FFFFFF"/>
        </w:rPr>
      </w:pPr>
      <w:r>
        <w:rPr>
          <w:rStyle w:val="8"/>
          <w:rFonts w:ascii="微软雅黑" w:hAnsi="微软雅黑" w:eastAsia="微软雅黑" w:cs="微软雅黑"/>
          <w:color w:val="333333"/>
          <w:shd w:val="clear" w:color="auto" w:fill="FFFFFF"/>
        </w:rPr>
        <w:drawing>
          <wp:inline distT="0" distB="0" distL="114300" distR="114300">
            <wp:extent cx="8782050" cy="5172075"/>
            <wp:effectExtent l="0" t="0" r="0" b="9525"/>
            <wp:docPr id="5"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6"/>
                    <pic:cNvPicPr>
                      <a:picLocks noChangeAspect="1"/>
                    </pic:cNvPicPr>
                  </pic:nvPicPr>
                  <pic:blipFill>
                    <a:blip r:embed="rId14"/>
                    <a:stretch>
                      <a:fillRect/>
                    </a:stretch>
                  </pic:blipFill>
                  <pic:spPr>
                    <a:xfrm>
                      <a:off x="0" y="0"/>
                      <a:ext cx="8782050" cy="5172075"/>
                    </a:xfrm>
                    <a:prstGeom prst="rect">
                      <a:avLst/>
                    </a:prstGeom>
                    <a:noFill/>
                    <a:ln>
                      <a:noFill/>
                    </a:ln>
                  </pic:spPr>
                </pic:pic>
              </a:graphicData>
            </a:graphic>
          </wp:inline>
        </w:drawing>
      </w:r>
    </w:p>
    <w:p>
      <w:pPr>
        <w:pStyle w:val="5"/>
        <w:widowControl/>
        <w:spacing w:before="76" w:beforeAutospacing="0" w:after="76" w:afterAutospacing="0" w:line="450" w:lineRule="atLeast"/>
        <w:ind w:firstLine="240" w:firstLineChars="100"/>
        <w:rPr>
          <w:rStyle w:val="8"/>
          <w:rFonts w:ascii="微软雅黑" w:hAnsi="微软雅黑" w:eastAsia="微软雅黑" w:cs="微软雅黑"/>
          <w:color w:val="333333"/>
          <w:shd w:val="clear" w:color="auto" w:fill="FFFFFF"/>
        </w:rPr>
      </w:pPr>
    </w:p>
    <w:p>
      <w:pPr>
        <w:pStyle w:val="5"/>
        <w:widowControl/>
        <w:spacing w:before="76" w:beforeAutospacing="0" w:after="76" w:afterAutospacing="0" w:line="450" w:lineRule="atLeast"/>
        <w:ind w:firstLine="240" w:firstLineChars="100"/>
        <w:rPr>
          <w:rStyle w:val="8"/>
          <w:rFonts w:ascii="微软雅黑" w:hAnsi="微软雅黑" w:eastAsia="微软雅黑" w:cs="微软雅黑"/>
          <w:color w:val="333333"/>
          <w:shd w:val="clear" w:color="auto" w:fill="FFFFFF"/>
        </w:rPr>
      </w:pPr>
      <w:r>
        <w:rPr>
          <w:rStyle w:val="8"/>
          <w:rFonts w:ascii="微软雅黑" w:hAnsi="微软雅黑" w:eastAsia="微软雅黑" w:cs="微软雅黑"/>
          <w:color w:val="333333"/>
          <w:shd w:val="clear" w:color="auto" w:fill="FFFFFF"/>
        </w:rPr>
        <w:drawing>
          <wp:inline distT="0" distB="0" distL="114300" distR="114300">
            <wp:extent cx="8772525" cy="1962150"/>
            <wp:effectExtent l="0" t="0" r="9525" b="0"/>
            <wp:docPr id="6"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7"/>
                    <pic:cNvPicPr>
                      <a:picLocks noChangeAspect="1"/>
                    </pic:cNvPicPr>
                  </pic:nvPicPr>
                  <pic:blipFill>
                    <a:blip r:embed="rId15"/>
                    <a:stretch>
                      <a:fillRect/>
                    </a:stretch>
                  </pic:blipFill>
                  <pic:spPr>
                    <a:xfrm>
                      <a:off x="0" y="0"/>
                      <a:ext cx="8772525" cy="1962150"/>
                    </a:xfrm>
                    <a:prstGeom prst="rect">
                      <a:avLst/>
                    </a:prstGeom>
                    <a:noFill/>
                    <a:ln>
                      <a:noFill/>
                    </a:ln>
                  </pic:spPr>
                </pic:pic>
              </a:graphicData>
            </a:graphic>
          </wp:inline>
        </w:drawing>
      </w:r>
    </w:p>
    <w:p>
      <w:pPr>
        <w:pStyle w:val="5"/>
        <w:widowControl/>
        <w:spacing w:before="76" w:beforeAutospacing="0" w:after="76" w:afterAutospacing="0" w:line="450" w:lineRule="atLeast"/>
        <w:ind w:firstLine="240" w:firstLineChars="100"/>
        <w:rPr>
          <w:rStyle w:val="8"/>
          <w:rFonts w:hint="eastAsia" w:ascii="微软雅黑" w:hAnsi="微软雅黑" w:eastAsia="微软雅黑" w:cs="微软雅黑"/>
          <w:color w:val="333333"/>
          <w:shd w:val="clear" w:color="auto" w:fill="FFFFFF"/>
        </w:rPr>
      </w:pPr>
    </w:p>
    <w:tbl>
      <w:tblPr>
        <w:tblStyle w:val="6"/>
        <w:tblpPr w:leftFromText="180" w:rightFromText="180" w:vertAnchor="text" w:horzAnchor="page" w:tblpX="1535" w:tblpY="-4091"/>
        <w:tblOverlap w:val="never"/>
        <w:tblW w:w="13820" w:type="dxa"/>
        <w:tblInd w:w="0" w:type="dxa"/>
        <w:shd w:val="clear" w:color="auto" w:fill="auto"/>
        <w:tblLayout w:type="fixed"/>
        <w:tblCellMar>
          <w:top w:w="0" w:type="dxa"/>
          <w:left w:w="0" w:type="dxa"/>
          <w:bottom w:w="0" w:type="dxa"/>
          <w:right w:w="0" w:type="dxa"/>
        </w:tblCellMar>
      </w:tblPr>
      <w:tblGrid>
        <w:gridCol w:w="4240"/>
        <w:gridCol w:w="1329"/>
        <w:gridCol w:w="843"/>
        <w:gridCol w:w="843"/>
        <w:gridCol w:w="843"/>
        <w:gridCol w:w="843"/>
        <w:gridCol w:w="843"/>
        <w:gridCol w:w="4036"/>
      </w:tblGrid>
      <w:tr>
        <w:tblPrEx>
          <w:shd w:val="clear" w:color="auto" w:fill="auto"/>
          <w:tblCellMar>
            <w:top w:w="0" w:type="dxa"/>
            <w:left w:w="0" w:type="dxa"/>
            <w:bottom w:w="0" w:type="dxa"/>
            <w:right w:w="0" w:type="dxa"/>
          </w:tblCellMar>
        </w:tblPrEx>
        <w:trPr>
          <w:trHeight w:val="215" w:hRule="atLeast"/>
        </w:trPr>
        <w:tc>
          <w:tcPr>
            <w:tcW w:w="13820" w:type="dxa"/>
            <w:gridSpan w:val="8"/>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center"/>
              <w:textAlignment w:val="bottom"/>
              <w:rPr>
                <w:rFonts w:hint="eastAsia" w:ascii="宋体" w:hAnsi="宋体" w:eastAsia="宋体" w:cs="宋体"/>
                <w:i w:val="0"/>
                <w:color w:val="000000"/>
                <w:sz w:val="30"/>
                <w:szCs w:val="30"/>
                <w:u w:val="none"/>
              </w:rPr>
            </w:pPr>
            <w:r>
              <w:rPr>
                <w:rFonts w:hint="eastAsia" w:ascii="黑体" w:hAnsi="宋体" w:eastAsia="黑体" w:cs="黑体"/>
                <w:i w:val="0"/>
                <w:color w:val="000000"/>
                <w:kern w:val="0"/>
                <w:sz w:val="36"/>
                <w:szCs w:val="36"/>
                <w:u w:val="none"/>
                <w:lang w:val="en-US" w:eastAsia="zh-CN" w:bidi="ar"/>
              </w:rPr>
              <w:t>政府性基金预算财政拨款收入支出决算表</w:t>
            </w:r>
          </w:p>
        </w:tc>
      </w:tr>
      <w:tr>
        <w:tblPrEx>
          <w:tblCellMar>
            <w:top w:w="0" w:type="dxa"/>
            <w:left w:w="0" w:type="dxa"/>
            <w:bottom w:w="0" w:type="dxa"/>
            <w:right w:w="0" w:type="dxa"/>
          </w:tblCellMar>
        </w:tblPrEx>
        <w:trPr>
          <w:trHeight w:val="110" w:hRule="atLeast"/>
        </w:trPr>
        <w:tc>
          <w:tcPr>
            <w:tcW w:w="13820" w:type="dxa"/>
            <w:gridSpan w:val="8"/>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公开08表</w:t>
            </w:r>
          </w:p>
        </w:tc>
      </w:tr>
      <w:tr>
        <w:tblPrEx>
          <w:tblCellMar>
            <w:top w:w="0" w:type="dxa"/>
            <w:left w:w="0" w:type="dxa"/>
            <w:bottom w:w="0" w:type="dxa"/>
            <w:right w:w="0" w:type="dxa"/>
          </w:tblCellMar>
        </w:tblPrEx>
        <w:trPr>
          <w:trHeight w:val="110" w:hRule="atLeast"/>
        </w:trPr>
        <w:tc>
          <w:tcPr>
            <w:tcW w:w="5569" w:type="dxa"/>
            <w:gridSpan w:val="2"/>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r>
              <w:rPr>
                <w:rFonts w:hint="eastAsia" w:ascii="宋体" w:hAnsi="宋体" w:eastAsia="宋体" w:cs="宋体"/>
                <w:i w:val="0"/>
                <w:color w:val="000000"/>
                <w:kern w:val="0"/>
                <w:sz w:val="20"/>
                <w:szCs w:val="20"/>
                <w:u w:val="none"/>
                <w:lang w:val="en-US" w:eastAsia="zh-CN" w:bidi="ar"/>
              </w:rPr>
              <w:t>部门：</w:t>
            </w:r>
            <w:r>
              <w:rPr>
                <w:rFonts w:hint="eastAsia" w:ascii="宋体" w:hAnsi="宋体" w:cs="宋体"/>
                <w:i w:val="0"/>
                <w:color w:val="000000"/>
                <w:kern w:val="0"/>
                <w:sz w:val="20"/>
                <w:szCs w:val="20"/>
                <w:u w:val="none"/>
                <w:lang w:val="en-US" w:eastAsia="zh-CN" w:bidi="ar"/>
              </w:rPr>
              <w:t>中国共产主义青年团湖北省</w:t>
            </w:r>
            <w:r>
              <w:rPr>
                <w:rFonts w:hint="eastAsia" w:ascii="宋体" w:hAnsi="宋体" w:eastAsia="宋体" w:cs="宋体"/>
                <w:i w:val="0"/>
                <w:color w:val="000000"/>
                <w:kern w:val="0"/>
                <w:sz w:val="22"/>
                <w:szCs w:val="22"/>
                <w:u w:val="none"/>
                <w:lang w:val="en-US" w:eastAsia="zh-CN" w:bidi="ar"/>
              </w:rPr>
              <w:t>黄石市黄石港区</w:t>
            </w:r>
            <w:r>
              <w:rPr>
                <w:rFonts w:hint="eastAsia" w:ascii="宋体" w:hAnsi="宋体" w:cs="宋体"/>
                <w:i w:val="0"/>
                <w:color w:val="000000"/>
                <w:kern w:val="0"/>
                <w:sz w:val="22"/>
                <w:szCs w:val="22"/>
                <w:u w:val="none"/>
                <w:lang w:val="en-US" w:eastAsia="zh-CN" w:bidi="ar"/>
              </w:rPr>
              <w:t>委员会</w:t>
            </w:r>
          </w:p>
        </w:tc>
        <w:tc>
          <w:tcPr>
            <w:tcW w:w="8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8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8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8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8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4036" w:type="dxa"/>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金额单位：万元</w:t>
            </w:r>
          </w:p>
        </w:tc>
      </w:tr>
      <w:tr>
        <w:tblPrEx>
          <w:tblCellMar>
            <w:top w:w="0" w:type="dxa"/>
            <w:left w:w="0" w:type="dxa"/>
            <w:bottom w:w="0" w:type="dxa"/>
            <w:right w:w="0" w:type="dxa"/>
          </w:tblCellMar>
        </w:tblPrEx>
        <w:trPr>
          <w:trHeight w:val="114" w:hRule="atLeast"/>
        </w:trPr>
        <w:tc>
          <w:tcPr>
            <w:tcW w:w="5569" w:type="dxa"/>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w:t>
            </w:r>
          </w:p>
        </w:tc>
        <w:tc>
          <w:tcPr>
            <w:tcW w:w="843"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年初结转和结余</w:t>
            </w:r>
          </w:p>
        </w:tc>
        <w:tc>
          <w:tcPr>
            <w:tcW w:w="843"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本年收入</w:t>
            </w:r>
          </w:p>
        </w:tc>
        <w:tc>
          <w:tcPr>
            <w:tcW w:w="2529" w:type="dxa"/>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本年支出</w:t>
            </w:r>
          </w:p>
        </w:tc>
        <w:tc>
          <w:tcPr>
            <w:tcW w:w="4036"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年末结转和结余</w:t>
            </w:r>
          </w:p>
        </w:tc>
      </w:tr>
      <w:tr>
        <w:tblPrEx>
          <w:tblCellMar>
            <w:top w:w="0" w:type="dxa"/>
            <w:left w:w="0" w:type="dxa"/>
            <w:bottom w:w="0" w:type="dxa"/>
            <w:right w:w="0" w:type="dxa"/>
          </w:tblCellMar>
        </w:tblPrEx>
        <w:trPr>
          <w:trHeight w:val="312" w:hRule="atLeast"/>
        </w:trPr>
        <w:tc>
          <w:tcPr>
            <w:tcW w:w="4240"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功能分类科目编码</w:t>
            </w:r>
          </w:p>
        </w:tc>
        <w:tc>
          <w:tcPr>
            <w:tcW w:w="1329" w:type="dxa"/>
            <w:vMerge w:val="restar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科目名称</w:t>
            </w: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小计</w:t>
            </w:r>
          </w:p>
        </w:tc>
        <w:tc>
          <w:tcPr>
            <w:tcW w:w="84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基本支出</w:t>
            </w:r>
          </w:p>
        </w:tc>
        <w:tc>
          <w:tcPr>
            <w:tcW w:w="84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项目支出</w:t>
            </w:r>
          </w:p>
        </w:tc>
        <w:tc>
          <w:tcPr>
            <w:tcW w:w="4036"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312" w:hRule="atLeast"/>
        </w:trPr>
        <w:tc>
          <w:tcPr>
            <w:tcW w:w="4240"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329" w:type="dxa"/>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4036"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312" w:hRule="atLeast"/>
        </w:trPr>
        <w:tc>
          <w:tcPr>
            <w:tcW w:w="4240"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329" w:type="dxa"/>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4036"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114" w:hRule="atLeast"/>
        </w:trPr>
        <w:tc>
          <w:tcPr>
            <w:tcW w:w="5569" w:type="dxa"/>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栏次</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w:t>
            </w:r>
          </w:p>
        </w:tc>
        <w:tc>
          <w:tcPr>
            <w:tcW w:w="4036"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w:t>
            </w:r>
          </w:p>
        </w:tc>
      </w:tr>
      <w:tr>
        <w:tblPrEx>
          <w:tblCellMar>
            <w:top w:w="0" w:type="dxa"/>
            <w:left w:w="0" w:type="dxa"/>
            <w:bottom w:w="0" w:type="dxa"/>
            <w:right w:w="0" w:type="dxa"/>
          </w:tblCellMar>
        </w:tblPrEx>
        <w:trPr>
          <w:trHeight w:val="114" w:hRule="atLeast"/>
        </w:trPr>
        <w:tc>
          <w:tcPr>
            <w:tcW w:w="5569" w:type="dxa"/>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合计</w:t>
            </w: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lang w:val="en-US" w:eastAsia="zh-CN"/>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lang w:val="en-US" w:eastAsia="zh-CN"/>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lang w:val="en-US" w:eastAsia="zh-CN"/>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lang w:val="en-US" w:eastAsia="zh-CN"/>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lang w:val="en-US" w:eastAsia="zh-CN"/>
              </w:rPr>
            </w:pPr>
          </w:p>
        </w:tc>
        <w:tc>
          <w:tcPr>
            <w:tcW w:w="40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lang w:val="en-US" w:eastAsia="zh-CN"/>
              </w:rPr>
            </w:pPr>
          </w:p>
        </w:tc>
      </w:tr>
      <w:tr>
        <w:tblPrEx>
          <w:tblCellMar>
            <w:top w:w="0" w:type="dxa"/>
            <w:left w:w="0" w:type="dxa"/>
            <w:bottom w:w="0" w:type="dxa"/>
            <w:right w:w="0" w:type="dxa"/>
          </w:tblCellMar>
        </w:tblPrEx>
        <w:trPr>
          <w:trHeight w:val="114" w:hRule="atLeast"/>
        </w:trPr>
        <w:tc>
          <w:tcPr>
            <w:tcW w:w="4240"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13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40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114" w:hRule="atLeast"/>
        </w:trPr>
        <w:tc>
          <w:tcPr>
            <w:tcW w:w="13820" w:type="dxa"/>
            <w:gridSpan w:val="8"/>
            <w:tcBorders>
              <w:top w:val="nil"/>
              <w:left w:val="nil"/>
              <w:bottom w:val="nil"/>
              <w:right w:val="nil"/>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注：本表反映部门本年度政府性基金预算财政拨款收入、支出及结转和结余情况。</w:t>
            </w:r>
          </w:p>
        </w:tc>
      </w:tr>
    </w:tbl>
    <w:p>
      <w:pPr>
        <w:pStyle w:val="5"/>
        <w:widowControl/>
        <w:spacing w:before="76" w:beforeAutospacing="0" w:after="76" w:afterAutospacing="0" w:line="450" w:lineRule="atLeast"/>
        <w:ind w:firstLine="240" w:firstLineChars="100"/>
        <w:rPr>
          <w:rStyle w:val="8"/>
          <w:rFonts w:hint="eastAsia" w:ascii="微软雅黑" w:hAnsi="微软雅黑" w:eastAsia="微软雅黑" w:cs="微软雅黑"/>
          <w:color w:val="333333"/>
          <w:shd w:val="clear" w:color="auto" w:fill="FFFFFF"/>
        </w:rPr>
      </w:pPr>
    </w:p>
    <w:p>
      <w:pPr>
        <w:pStyle w:val="5"/>
        <w:widowControl/>
        <w:spacing w:before="76" w:beforeAutospacing="0" w:after="76" w:afterAutospacing="0" w:line="450" w:lineRule="atLeast"/>
        <w:ind w:firstLine="240" w:firstLineChars="100"/>
        <w:rPr>
          <w:color w:val="333333"/>
        </w:rPr>
      </w:pPr>
      <w:r>
        <w:rPr>
          <w:rStyle w:val="8"/>
          <w:rFonts w:hint="eastAsia" w:ascii="微软雅黑" w:hAnsi="微软雅黑" w:eastAsia="微软雅黑" w:cs="微软雅黑"/>
          <w:color w:val="333333"/>
          <w:shd w:val="clear" w:color="auto" w:fill="FFFFFF"/>
        </w:rPr>
        <w:t>第三部分</w:t>
      </w:r>
      <w:r>
        <w:rPr>
          <w:rStyle w:val="8"/>
          <w:rFonts w:ascii="微软雅黑" w:hAnsi="微软雅黑" w:eastAsia="微软雅黑" w:cs="微软雅黑"/>
          <w:color w:val="333333"/>
          <w:shd w:val="clear" w:color="auto" w:fill="FFFFFF"/>
        </w:rPr>
        <w:t xml:space="preserve"> 2020</w:t>
      </w:r>
      <w:r>
        <w:rPr>
          <w:rStyle w:val="8"/>
          <w:rFonts w:hint="eastAsia" w:ascii="微软雅黑" w:hAnsi="微软雅黑" w:eastAsia="微软雅黑" w:cs="微软雅黑"/>
          <w:color w:val="333333"/>
          <w:shd w:val="clear" w:color="auto" w:fill="FFFFFF"/>
        </w:rPr>
        <w:t>年部门决算情况说明</w:t>
      </w:r>
    </w:p>
    <w:p>
      <w:pPr>
        <w:pStyle w:val="5"/>
        <w:widowControl/>
        <w:spacing w:before="76" w:beforeAutospacing="0" w:after="76" w:afterAutospacing="0" w:line="450" w:lineRule="atLeast"/>
        <w:ind w:firstLine="420"/>
        <w:rPr>
          <w:rFonts w:ascii="宋体" w:cs="宋体"/>
          <w:b/>
          <w:bCs/>
          <w:color w:val="333333"/>
          <w:sz w:val="28"/>
          <w:szCs w:val="28"/>
          <w:shd w:val="clear" w:color="auto" w:fill="FFFFFF"/>
        </w:rPr>
      </w:pPr>
      <w:r>
        <w:rPr>
          <w:rFonts w:hint="eastAsia" w:ascii="宋体" w:hAnsi="宋体" w:cs="宋体"/>
          <w:b/>
          <w:bCs/>
          <w:color w:val="333333"/>
          <w:sz w:val="28"/>
          <w:szCs w:val="28"/>
          <w:shd w:val="clear" w:color="auto" w:fill="FFFFFF"/>
        </w:rPr>
        <w:t>（一）预算执行情况分析</w:t>
      </w:r>
    </w:p>
    <w:p>
      <w:pPr>
        <w:shd w:val="clear" w:color="auto" w:fill="FFFFFF"/>
        <w:snapToGrid w:val="0"/>
        <w:spacing w:line="560" w:lineRule="atLeast"/>
        <w:ind w:firstLine="560" w:firstLineChars="200"/>
        <w:rPr>
          <w:rFonts w:ascii="宋体" w:cs="宋体"/>
          <w:color w:val="333333"/>
          <w:sz w:val="28"/>
          <w:szCs w:val="28"/>
        </w:rPr>
      </w:pPr>
      <w:r>
        <w:rPr>
          <w:rFonts w:ascii="宋体" w:hAnsi="宋体" w:cs="宋体"/>
          <w:color w:val="333333"/>
          <w:sz w:val="28"/>
          <w:szCs w:val="28"/>
        </w:rPr>
        <w:t>1</w:t>
      </w:r>
      <w:r>
        <w:rPr>
          <w:rFonts w:hint="eastAsia" w:ascii="宋体" w:hAnsi="宋体" w:cs="宋体"/>
          <w:color w:val="333333"/>
          <w:sz w:val="28"/>
          <w:szCs w:val="28"/>
        </w:rPr>
        <w:t>、收入分析：</w:t>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本年总收入</w:t>
      </w:r>
      <w:r>
        <w:rPr>
          <w:rFonts w:ascii="宋体" w:hAnsi="宋体" w:cs="宋体"/>
          <w:color w:val="333333"/>
          <w:sz w:val="28"/>
          <w:szCs w:val="28"/>
        </w:rPr>
        <w:t>26.79</w:t>
      </w:r>
      <w:r>
        <w:rPr>
          <w:rFonts w:hint="eastAsia" w:ascii="宋体" w:hAnsi="宋体" w:cs="宋体"/>
          <w:color w:val="333333"/>
          <w:sz w:val="28"/>
          <w:szCs w:val="28"/>
        </w:rPr>
        <w:t>万元。比去年的</w:t>
      </w:r>
      <w:r>
        <w:rPr>
          <w:rFonts w:ascii="宋体" w:hAnsi="宋体" w:cs="宋体"/>
          <w:color w:val="333333"/>
          <w:sz w:val="28"/>
          <w:szCs w:val="28"/>
        </w:rPr>
        <w:t>33.23</w:t>
      </w:r>
      <w:r>
        <w:rPr>
          <w:rFonts w:hint="eastAsia" w:ascii="宋体" w:hAnsi="宋体" w:cs="宋体"/>
          <w:color w:val="333333"/>
          <w:sz w:val="28"/>
          <w:szCs w:val="28"/>
        </w:rPr>
        <w:t>万元减少</w:t>
      </w:r>
      <w:r>
        <w:rPr>
          <w:rFonts w:ascii="宋体" w:hAnsi="宋体" w:cs="宋体"/>
          <w:color w:val="333333"/>
          <w:sz w:val="28"/>
          <w:szCs w:val="28"/>
        </w:rPr>
        <w:t>6.44</w:t>
      </w:r>
      <w:r>
        <w:rPr>
          <w:rFonts w:hint="eastAsia" w:ascii="宋体" w:hAnsi="宋体" w:cs="宋体"/>
          <w:color w:val="333333"/>
          <w:sz w:val="28"/>
          <w:szCs w:val="28"/>
        </w:rPr>
        <w:t>万元、减幅</w:t>
      </w:r>
      <w:r>
        <w:rPr>
          <w:rFonts w:ascii="宋体" w:hAnsi="宋体" w:cs="宋体"/>
          <w:color w:val="333333"/>
          <w:sz w:val="28"/>
          <w:szCs w:val="28"/>
        </w:rPr>
        <w:t>19.37%</w:t>
      </w:r>
      <w:r>
        <w:rPr>
          <w:rFonts w:hint="eastAsia" w:ascii="宋体" w:hAnsi="宋体" w:cs="宋体"/>
          <w:color w:val="333333"/>
          <w:sz w:val="28"/>
          <w:szCs w:val="28"/>
        </w:rPr>
        <w:t>，其主要原因为去年有召开区第二次少代会。</w:t>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其中全部为财政拨款收入。</w:t>
      </w:r>
    </w:p>
    <w:p>
      <w:pPr>
        <w:shd w:val="clear" w:color="auto" w:fill="FFFFFF"/>
        <w:snapToGrid w:val="0"/>
        <w:spacing w:line="560" w:lineRule="atLeast"/>
        <w:ind w:firstLine="560" w:firstLineChars="200"/>
        <w:rPr>
          <w:rFonts w:ascii="宋体" w:cs="宋体"/>
          <w:color w:val="333333"/>
          <w:sz w:val="28"/>
          <w:szCs w:val="28"/>
        </w:rPr>
      </w:pPr>
      <w:r>
        <w:rPr>
          <w:rFonts w:ascii="宋体" w:hAnsi="宋体" w:cs="宋体"/>
          <w:color w:val="333333"/>
          <w:sz w:val="28"/>
          <w:szCs w:val="28"/>
        </w:rPr>
        <w:t>2</w:t>
      </w:r>
      <w:r>
        <w:rPr>
          <w:rFonts w:hint="eastAsia" w:ascii="宋体" w:hAnsi="宋体" w:cs="宋体"/>
          <w:color w:val="333333"/>
          <w:sz w:val="28"/>
          <w:szCs w:val="28"/>
        </w:rPr>
        <w:t>、支出分析：</w:t>
      </w:r>
    </w:p>
    <w:p>
      <w:pPr>
        <w:shd w:val="clear" w:color="auto" w:fill="FFFFFF"/>
        <w:snapToGrid w:val="0"/>
        <w:spacing w:line="560" w:lineRule="atLeast"/>
        <w:ind w:left="279" w:leftChars="133" w:firstLine="280" w:firstLineChars="100"/>
        <w:rPr>
          <w:rFonts w:ascii="宋体" w:cs="宋体"/>
          <w:color w:val="333333"/>
          <w:sz w:val="28"/>
          <w:szCs w:val="28"/>
        </w:rPr>
      </w:pPr>
      <w:r>
        <w:rPr>
          <w:rFonts w:hint="eastAsia" w:ascii="宋体" w:hAnsi="宋体" w:cs="宋体"/>
          <w:color w:val="333333"/>
          <w:sz w:val="28"/>
          <w:szCs w:val="28"/>
        </w:rPr>
        <w:t>本年总支出为</w:t>
      </w:r>
      <w:r>
        <w:rPr>
          <w:rFonts w:ascii="宋体" w:hAnsi="宋体" w:cs="宋体"/>
          <w:color w:val="333333"/>
          <w:sz w:val="28"/>
          <w:szCs w:val="28"/>
        </w:rPr>
        <w:t>26.79</w:t>
      </w:r>
      <w:r>
        <w:rPr>
          <w:rFonts w:hint="eastAsia" w:ascii="宋体" w:hAnsi="宋体" w:cs="宋体"/>
          <w:color w:val="333333"/>
          <w:sz w:val="28"/>
          <w:szCs w:val="28"/>
        </w:rPr>
        <w:t>万元。比去年的</w:t>
      </w:r>
      <w:r>
        <w:rPr>
          <w:rFonts w:ascii="宋体" w:hAnsi="宋体" w:cs="宋体"/>
          <w:color w:val="333333"/>
          <w:sz w:val="28"/>
          <w:szCs w:val="28"/>
        </w:rPr>
        <w:t>33.23</w:t>
      </w:r>
      <w:r>
        <w:rPr>
          <w:rFonts w:hint="eastAsia" w:ascii="宋体" w:hAnsi="宋体" w:cs="宋体"/>
          <w:color w:val="333333"/>
          <w:sz w:val="28"/>
          <w:szCs w:val="28"/>
        </w:rPr>
        <w:t>万元减少</w:t>
      </w:r>
      <w:r>
        <w:rPr>
          <w:rFonts w:ascii="宋体" w:hAnsi="宋体" w:cs="宋体"/>
          <w:color w:val="333333"/>
          <w:sz w:val="28"/>
          <w:szCs w:val="28"/>
        </w:rPr>
        <w:t>6.44</w:t>
      </w:r>
      <w:r>
        <w:rPr>
          <w:rFonts w:hint="eastAsia" w:ascii="宋体" w:hAnsi="宋体" w:cs="宋体"/>
          <w:color w:val="333333"/>
          <w:sz w:val="28"/>
          <w:szCs w:val="28"/>
        </w:rPr>
        <w:t>万元、减幅</w:t>
      </w:r>
      <w:r>
        <w:rPr>
          <w:rFonts w:ascii="宋体" w:hAnsi="宋体" w:cs="宋体"/>
          <w:color w:val="333333"/>
          <w:sz w:val="28"/>
          <w:szCs w:val="28"/>
        </w:rPr>
        <w:t>19.37%</w:t>
      </w:r>
      <w:r>
        <w:rPr>
          <w:rFonts w:hint="eastAsia" w:ascii="宋体" w:hAnsi="宋体" w:cs="宋体"/>
          <w:color w:val="333333"/>
          <w:sz w:val="28"/>
          <w:szCs w:val="28"/>
        </w:rPr>
        <w:t>，其主要原因为去年有召开区二次少代会，其中一般公共预算财政拨款支出</w:t>
      </w:r>
      <w:r>
        <w:rPr>
          <w:rFonts w:ascii="宋体" w:hAnsi="宋体" w:cs="宋体"/>
          <w:color w:val="333333"/>
          <w:sz w:val="28"/>
          <w:szCs w:val="28"/>
        </w:rPr>
        <w:t>26.79</w:t>
      </w:r>
      <w:r>
        <w:rPr>
          <w:rFonts w:hint="eastAsia" w:ascii="宋体" w:hAnsi="宋体" w:cs="宋体"/>
          <w:color w:val="333333"/>
          <w:sz w:val="28"/>
          <w:szCs w:val="28"/>
        </w:rPr>
        <w:t>万元，具体构成如下：</w:t>
      </w:r>
    </w:p>
    <w:p>
      <w:pPr>
        <w:shd w:val="clear" w:color="auto" w:fill="FFFFFF"/>
        <w:snapToGrid w:val="0"/>
        <w:spacing w:line="560" w:lineRule="atLeast"/>
        <w:ind w:firstLine="560" w:firstLineChars="200"/>
        <w:rPr>
          <w:rFonts w:ascii="宋体" w:hAnsi="宋体" w:cs="宋体"/>
          <w:color w:val="333333"/>
          <w:sz w:val="28"/>
          <w:szCs w:val="28"/>
        </w:rPr>
      </w:pPr>
      <w:r>
        <w:rPr>
          <w:rFonts w:hint="eastAsia" w:ascii="宋体" w:hAnsi="宋体" w:cs="宋体"/>
          <w:color w:val="333333"/>
          <w:sz w:val="28"/>
          <w:szCs w:val="28"/>
        </w:rPr>
        <w:t>（</w:t>
      </w:r>
      <w:r>
        <w:rPr>
          <w:rFonts w:ascii="宋体" w:hAnsi="宋体" w:cs="宋体"/>
          <w:color w:val="333333"/>
          <w:sz w:val="28"/>
          <w:szCs w:val="28"/>
        </w:rPr>
        <w:t>1</w:t>
      </w:r>
      <w:r>
        <w:rPr>
          <w:rFonts w:hint="eastAsia" w:ascii="宋体" w:hAnsi="宋体" w:cs="宋体"/>
          <w:color w:val="333333"/>
          <w:sz w:val="28"/>
          <w:szCs w:val="28"/>
        </w:rPr>
        <w:t>）工资福利支出</w:t>
      </w:r>
      <w:r>
        <w:rPr>
          <w:rFonts w:ascii="宋体" w:hAnsi="宋体" w:cs="宋体"/>
          <w:color w:val="333333"/>
          <w:sz w:val="28"/>
          <w:szCs w:val="28"/>
        </w:rPr>
        <w:t>16.02</w:t>
      </w:r>
      <w:r>
        <w:rPr>
          <w:rFonts w:hint="eastAsia" w:ascii="宋体" w:hAnsi="宋体" w:cs="宋体"/>
          <w:color w:val="333333"/>
          <w:sz w:val="28"/>
          <w:szCs w:val="28"/>
        </w:rPr>
        <w:t>万元。占比</w:t>
      </w:r>
      <w:r>
        <w:rPr>
          <w:rFonts w:ascii="宋体" w:hAnsi="宋体" w:cs="宋体"/>
          <w:color w:val="333333"/>
          <w:sz w:val="28"/>
          <w:szCs w:val="28"/>
        </w:rPr>
        <w:t>59.80%</w:t>
      </w:r>
    </w:p>
    <w:p>
      <w:pPr>
        <w:shd w:val="clear" w:color="auto" w:fill="FFFFFF"/>
        <w:snapToGrid w:val="0"/>
        <w:spacing w:line="560" w:lineRule="atLeast"/>
        <w:ind w:firstLine="560" w:firstLineChars="200"/>
        <w:rPr>
          <w:rFonts w:ascii="宋体" w:hAnsi="宋体" w:cs="宋体"/>
          <w:color w:val="333333"/>
          <w:sz w:val="28"/>
          <w:szCs w:val="28"/>
        </w:rPr>
      </w:pPr>
      <w:r>
        <w:rPr>
          <w:rFonts w:hint="eastAsia" w:ascii="宋体" w:hAnsi="宋体" w:cs="宋体"/>
          <w:color w:val="333333"/>
          <w:sz w:val="28"/>
          <w:szCs w:val="28"/>
        </w:rPr>
        <w:t>（</w:t>
      </w:r>
      <w:r>
        <w:rPr>
          <w:rFonts w:ascii="宋体" w:hAnsi="宋体" w:cs="宋体"/>
          <w:color w:val="333333"/>
          <w:sz w:val="28"/>
          <w:szCs w:val="28"/>
        </w:rPr>
        <w:t>2</w:t>
      </w:r>
      <w:r>
        <w:rPr>
          <w:rFonts w:hint="eastAsia" w:ascii="宋体" w:hAnsi="宋体" w:cs="宋体"/>
          <w:color w:val="333333"/>
          <w:sz w:val="28"/>
          <w:szCs w:val="28"/>
        </w:rPr>
        <w:t>）商品和服务支出</w:t>
      </w:r>
      <w:r>
        <w:rPr>
          <w:rFonts w:ascii="宋体" w:hAnsi="宋体" w:cs="宋体"/>
          <w:color w:val="333333"/>
          <w:sz w:val="28"/>
          <w:szCs w:val="28"/>
        </w:rPr>
        <w:t>10.27</w:t>
      </w:r>
      <w:r>
        <w:rPr>
          <w:rFonts w:hint="eastAsia" w:ascii="宋体" w:hAnsi="宋体" w:cs="宋体"/>
          <w:color w:val="333333"/>
          <w:sz w:val="28"/>
          <w:szCs w:val="28"/>
        </w:rPr>
        <w:t>万元。占比</w:t>
      </w:r>
      <w:r>
        <w:rPr>
          <w:rFonts w:ascii="宋体" w:hAnsi="宋体" w:cs="宋体"/>
          <w:color w:val="333333"/>
          <w:sz w:val="28"/>
          <w:szCs w:val="28"/>
        </w:rPr>
        <w:t>38.34%</w:t>
      </w:r>
    </w:p>
    <w:p>
      <w:pPr>
        <w:shd w:val="clear" w:color="auto" w:fill="FFFFFF"/>
        <w:snapToGrid w:val="0"/>
        <w:spacing w:line="560" w:lineRule="atLeast"/>
        <w:ind w:firstLine="560" w:firstLineChars="200"/>
        <w:rPr>
          <w:rFonts w:ascii="宋体" w:hAnsi="宋体" w:cs="宋体"/>
          <w:color w:val="333333"/>
          <w:sz w:val="28"/>
          <w:szCs w:val="28"/>
        </w:rPr>
      </w:pPr>
      <w:r>
        <w:rPr>
          <w:rFonts w:hint="eastAsia" w:ascii="宋体" w:hAnsi="宋体" w:cs="宋体"/>
          <w:color w:val="333333"/>
          <w:sz w:val="28"/>
          <w:szCs w:val="28"/>
        </w:rPr>
        <w:t>（</w:t>
      </w:r>
      <w:r>
        <w:rPr>
          <w:rFonts w:ascii="宋体" w:hAnsi="宋体" w:cs="宋体"/>
          <w:color w:val="333333"/>
          <w:sz w:val="28"/>
          <w:szCs w:val="28"/>
        </w:rPr>
        <w:t>3</w:t>
      </w:r>
      <w:r>
        <w:rPr>
          <w:rFonts w:hint="eastAsia" w:ascii="宋体" w:hAnsi="宋体" w:cs="宋体"/>
          <w:color w:val="333333"/>
          <w:sz w:val="28"/>
          <w:szCs w:val="28"/>
        </w:rPr>
        <w:t>）资本性支出</w:t>
      </w:r>
      <w:r>
        <w:rPr>
          <w:rFonts w:ascii="宋体" w:hAnsi="宋体" w:cs="宋体"/>
          <w:color w:val="333333"/>
          <w:sz w:val="28"/>
          <w:szCs w:val="28"/>
        </w:rPr>
        <w:t>0.5</w:t>
      </w:r>
      <w:r>
        <w:rPr>
          <w:rFonts w:hint="eastAsia" w:ascii="宋体" w:hAnsi="宋体" w:cs="宋体"/>
          <w:color w:val="333333"/>
          <w:sz w:val="28"/>
          <w:szCs w:val="28"/>
        </w:rPr>
        <w:t>万元。占比</w:t>
      </w:r>
      <w:r>
        <w:rPr>
          <w:rFonts w:ascii="宋体" w:hAnsi="宋体" w:cs="宋体"/>
          <w:color w:val="333333"/>
          <w:sz w:val="28"/>
          <w:szCs w:val="28"/>
        </w:rPr>
        <w:t>1.86%</w:t>
      </w:r>
    </w:p>
    <w:p>
      <w:pPr>
        <w:pStyle w:val="5"/>
        <w:widowControl/>
        <w:spacing w:before="76" w:beforeAutospacing="0" w:after="76" w:afterAutospacing="0" w:line="450" w:lineRule="atLeast"/>
        <w:ind w:firstLine="420"/>
        <w:rPr>
          <w:rFonts w:hint="eastAsia" w:ascii="宋体" w:hAnsi="宋体" w:cs="宋体"/>
          <w:b/>
          <w:bCs/>
          <w:color w:val="333333"/>
          <w:sz w:val="28"/>
          <w:szCs w:val="28"/>
          <w:shd w:val="clear" w:color="auto" w:fill="FFFFFF"/>
        </w:rPr>
      </w:pPr>
      <w:r>
        <w:rPr>
          <w:rFonts w:hint="eastAsia" w:ascii="宋体" w:hAnsi="宋体" w:cs="宋体"/>
          <w:b/>
          <w:bCs/>
          <w:color w:val="333333"/>
          <w:sz w:val="28"/>
          <w:szCs w:val="28"/>
          <w:shd w:val="clear" w:color="auto" w:fill="FFFFFF"/>
        </w:rPr>
        <w:t>（二）关于“三公”经费支出说明</w:t>
      </w:r>
    </w:p>
    <w:p>
      <w:pPr>
        <w:pStyle w:val="5"/>
        <w:widowControl/>
        <w:spacing w:before="76" w:beforeAutospacing="0" w:after="76" w:afterAutospacing="0" w:line="450" w:lineRule="atLeast"/>
        <w:ind w:firstLine="420"/>
        <w:rPr>
          <w:rFonts w:ascii="宋体" w:cs="宋体"/>
          <w:color w:val="333333"/>
          <w:sz w:val="28"/>
          <w:szCs w:val="28"/>
        </w:rPr>
      </w:pPr>
      <w:r>
        <w:rPr>
          <w:rFonts w:hint="eastAsia" w:ascii="宋体" w:hAnsi="宋体" w:cs="宋体"/>
          <w:color w:val="333333"/>
          <w:sz w:val="28"/>
          <w:szCs w:val="28"/>
        </w:rPr>
        <w:t>本年无三公经费支出。</w:t>
      </w:r>
    </w:p>
    <w:p>
      <w:pPr>
        <w:pStyle w:val="5"/>
        <w:widowControl/>
        <w:spacing w:before="76" w:beforeAutospacing="0" w:after="76" w:afterAutospacing="0" w:line="450" w:lineRule="atLeast"/>
        <w:ind w:firstLine="420"/>
        <w:rPr>
          <w:rFonts w:hint="eastAsia" w:ascii="宋体" w:hAnsi="宋体" w:cs="宋体"/>
          <w:b/>
          <w:bCs/>
          <w:color w:val="333333"/>
          <w:sz w:val="28"/>
          <w:szCs w:val="28"/>
          <w:shd w:val="clear" w:color="auto" w:fill="FFFFFF"/>
        </w:rPr>
      </w:pPr>
      <w:r>
        <w:rPr>
          <w:rFonts w:hint="eastAsia" w:ascii="宋体" w:hAnsi="宋体" w:cs="宋体"/>
          <w:b/>
          <w:bCs/>
          <w:color w:val="333333"/>
          <w:sz w:val="28"/>
          <w:szCs w:val="28"/>
          <w:shd w:val="clear" w:color="auto" w:fill="FFFFFF"/>
        </w:rPr>
        <w:t>（三）关于机关运行经费支出说明</w:t>
      </w:r>
    </w:p>
    <w:p>
      <w:pPr>
        <w:shd w:val="clear" w:color="auto" w:fill="FFFFFF"/>
        <w:spacing w:line="360" w:lineRule="auto"/>
        <w:ind w:left="279" w:leftChars="133" w:firstLine="420" w:firstLineChars="150"/>
        <w:rPr>
          <w:rFonts w:ascii="宋体" w:cs="宋体"/>
          <w:color w:val="333333"/>
          <w:sz w:val="28"/>
          <w:szCs w:val="28"/>
        </w:rPr>
      </w:pPr>
      <w:r>
        <w:rPr>
          <w:rFonts w:hint="eastAsia" w:ascii="宋体" w:hAnsi="宋体"/>
          <w:sz w:val="28"/>
          <w:szCs w:val="28"/>
        </w:rPr>
        <w:t>今年本部门机关运行经费</w:t>
      </w:r>
      <w:r>
        <w:rPr>
          <w:rFonts w:hint="eastAsia" w:ascii="宋体" w:hAnsi="宋体" w:cs="仿宋"/>
          <w:bCs/>
          <w:color w:val="000000"/>
          <w:sz w:val="28"/>
          <w:szCs w:val="28"/>
        </w:rPr>
        <w:t>支出</w:t>
      </w:r>
      <w:r>
        <w:rPr>
          <w:rFonts w:ascii="宋体" w:hAnsi="宋体" w:cs="仿宋"/>
          <w:bCs/>
          <w:color w:val="000000"/>
          <w:sz w:val="28"/>
          <w:szCs w:val="28"/>
        </w:rPr>
        <w:t>10.78</w:t>
      </w:r>
      <w:r>
        <w:rPr>
          <w:rFonts w:hint="eastAsia" w:ascii="宋体" w:hAnsi="宋体" w:cs="仿宋"/>
          <w:bCs/>
          <w:color w:val="000000"/>
          <w:sz w:val="28"/>
          <w:szCs w:val="28"/>
        </w:rPr>
        <w:t>万元，去年支出为</w:t>
      </w:r>
      <w:r>
        <w:rPr>
          <w:rFonts w:ascii="宋体" w:hAnsi="宋体" w:cs="仿宋"/>
          <w:bCs/>
          <w:color w:val="000000"/>
          <w:sz w:val="28"/>
          <w:szCs w:val="28"/>
        </w:rPr>
        <w:t>14.59</w:t>
      </w:r>
      <w:r>
        <w:rPr>
          <w:rFonts w:hint="eastAsia" w:ascii="宋体" w:hAnsi="宋体" w:cs="仿宋"/>
          <w:bCs/>
          <w:color w:val="000000"/>
          <w:sz w:val="28"/>
          <w:szCs w:val="28"/>
        </w:rPr>
        <w:t>万元，对比减少</w:t>
      </w:r>
      <w:r>
        <w:rPr>
          <w:rFonts w:ascii="宋体" w:hAnsi="宋体" w:cs="仿宋"/>
          <w:bCs/>
          <w:color w:val="000000"/>
          <w:sz w:val="28"/>
          <w:szCs w:val="28"/>
        </w:rPr>
        <w:t>3.81</w:t>
      </w:r>
      <w:r>
        <w:rPr>
          <w:rFonts w:hint="eastAsia" w:ascii="宋体" w:hAnsi="宋体" w:cs="仿宋"/>
          <w:bCs/>
          <w:color w:val="000000"/>
          <w:sz w:val="28"/>
          <w:szCs w:val="28"/>
        </w:rPr>
        <w:t>万元，主要原因为去年有召开区第二次少代会所致。</w:t>
      </w:r>
    </w:p>
    <w:p>
      <w:pPr>
        <w:pStyle w:val="5"/>
        <w:widowControl/>
        <w:spacing w:before="76" w:beforeAutospacing="0" w:after="76" w:afterAutospacing="0" w:line="450" w:lineRule="atLeast"/>
        <w:ind w:firstLine="420"/>
        <w:rPr>
          <w:rFonts w:hint="eastAsia" w:ascii="宋体" w:hAnsi="宋体" w:cs="宋体"/>
          <w:b/>
          <w:bCs/>
          <w:color w:val="333333"/>
          <w:sz w:val="28"/>
          <w:szCs w:val="28"/>
          <w:shd w:val="clear" w:color="auto" w:fill="FFFFFF"/>
        </w:rPr>
      </w:pPr>
      <w:r>
        <w:rPr>
          <w:rFonts w:hint="eastAsia" w:ascii="宋体" w:hAnsi="宋体" w:cs="宋体"/>
          <w:b/>
          <w:bCs/>
          <w:color w:val="333333"/>
          <w:sz w:val="28"/>
          <w:szCs w:val="28"/>
          <w:shd w:val="clear" w:color="auto" w:fill="FFFFFF"/>
        </w:rPr>
        <w:t>（四）关于政府采购支出说明</w:t>
      </w:r>
    </w:p>
    <w:p>
      <w:pPr>
        <w:ind w:firstLine="560" w:firstLineChars="200"/>
        <w:rPr>
          <w:rFonts w:ascii="宋体" w:cs="仿宋"/>
          <w:sz w:val="28"/>
          <w:szCs w:val="28"/>
        </w:rPr>
      </w:pPr>
      <w:r>
        <w:rPr>
          <w:rFonts w:hint="eastAsia" w:ascii="宋体" w:hAnsi="宋体" w:cs="仿宋"/>
          <w:bCs/>
          <w:sz w:val="28"/>
          <w:szCs w:val="28"/>
        </w:rPr>
        <w:t>本部门本年度政府采购总支出</w:t>
      </w:r>
      <w:r>
        <w:rPr>
          <w:rFonts w:ascii="宋体" w:hAnsi="宋体" w:cs="仿宋"/>
          <w:bCs/>
          <w:sz w:val="28"/>
          <w:szCs w:val="28"/>
        </w:rPr>
        <w:t>0.5</w:t>
      </w:r>
      <w:r>
        <w:rPr>
          <w:rFonts w:hint="eastAsia" w:ascii="宋体" w:hAnsi="宋体" w:cs="仿宋"/>
          <w:bCs/>
          <w:sz w:val="28"/>
          <w:szCs w:val="28"/>
        </w:rPr>
        <w:t>万元，其中采购货物支出</w:t>
      </w:r>
      <w:r>
        <w:rPr>
          <w:rFonts w:ascii="宋体" w:hAnsi="宋体" w:cs="仿宋"/>
          <w:bCs/>
          <w:sz w:val="28"/>
          <w:szCs w:val="28"/>
        </w:rPr>
        <w:t>0.50</w:t>
      </w:r>
      <w:r>
        <w:rPr>
          <w:rFonts w:hint="eastAsia" w:ascii="宋体" w:hAnsi="宋体" w:cs="仿宋"/>
          <w:bCs/>
          <w:sz w:val="28"/>
          <w:szCs w:val="28"/>
        </w:rPr>
        <w:t>万元。</w:t>
      </w:r>
    </w:p>
    <w:p>
      <w:pPr>
        <w:pStyle w:val="5"/>
        <w:widowControl/>
        <w:spacing w:before="76" w:beforeAutospacing="0" w:after="76" w:afterAutospacing="0" w:line="450" w:lineRule="atLeast"/>
        <w:ind w:firstLine="420"/>
        <w:rPr>
          <w:rFonts w:hint="eastAsia" w:ascii="宋体" w:hAnsi="宋体" w:cs="宋体"/>
          <w:b/>
          <w:bCs/>
          <w:color w:val="333333"/>
          <w:sz w:val="28"/>
          <w:szCs w:val="28"/>
          <w:shd w:val="clear" w:color="auto" w:fill="FFFFFF"/>
        </w:rPr>
      </w:pPr>
      <w:r>
        <w:rPr>
          <w:rFonts w:hint="eastAsia" w:ascii="宋体" w:hAnsi="宋体" w:cs="宋体"/>
          <w:b/>
          <w:bCs/>
          <w:color w:val="333333"/>
          <w:sz w:val="28"/>
          <w:szCs w:val="28"/>
          <w:shd w:val="clear" w:color="auto" w:fill="FFFFFF"/>
        </w:rPr>
        <w:t>（五）关于国有资产占用情况说明</w:t>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截至</w:t>
      </w:r>
      <w:r>
        <w:rPr>
          <w:rFonts w:ascii="宋体" w:hAnsi="宋体" w:cs="宋体"/>
          <w:color w:val="333333"/>
          <w:sz w:val="28"/>
          <w:szCs w:val="28"/>
        </w:rPr>
        <w:t>2020</w:t>
      </w:r>
      <w:r>
        <w:rPr>
          <w:rFonts w:hint="eastAsia" w:ascii="宋体" w:hAnsi="宋体" w:cs="宋体"/>
          <w:color w:val="333333"/>
          <w:sz w:val="28"/>
          <w:szCs w:val="28"/>
        </w:rPr>
        <w:t>年</w:t>
      </w:r>
      <w:r>
        <w:rPr>
          <w:rFonts w:ascii="宋体" w:hAnsi="宋体" w:cs="宋体"/>
          <w:color w:val="333333"/>
          <w:sz w:val="28"/>
          <w:szCs w:val="28"/>
        </w:rPr>
        <w:t>12</w:t>
      </w:r>
      <w:r>
        <w:rPr>
          <w:rFonts w:hint="eastAsia" w:ascii="宋体" w:hAnsi="宋体" w:cs="宋体"/>
          <w:color w:val="333333"/>
          <w:sz w:val="28"/>
          <w:szCs w:val="28"/>
        </w:rPr>
        <w:t>月</w:t>
      </w:r>
      <w:r>
        <w:rPr>
          <w:rFonts w:ascii="宋体" w:hAnsi="宋体" w:cs="宋体"/>
          <w:color w:val="333333"/>
          <w:sz w:val="28"/>
          <w:szCs w:val="28"/>
        </w:rPr>
        <w:t>31</w:t>
      </w:r>
      <w:r>
        <w:rPr>
          <w:rFonts w:hint="eastAsia" w:ascii="宋体" w:hAnsi="宋体" w:cs="宋体"/>
          <w:color w:val="333333"/>
          <w:sz w:val="28"/>
          <w:szCs w:val="28"/>
        </w:rPr>
        <w:t>日，本部门无公务用车。</w:t>
      </w:r>
    </w:p>
    <w:p>
      <w:pPr>
        <w:pStyle w:val="5"/>
        <w:widowControl/>
        <w:spacing w:before="76" w:beforeAutospacing="0" w:after="76" w:afterAutospacing="0" w:line="450" w:lineRule="atLeast"/>
        <w:ind w:firstLine="420"/>
        <w:rPr>
          <w:rFonts w:hint="eastAsia" w:ascii="宋体" w:hAnsi="宋体" w:cs="宋体"/>
          <w:b/>
          <w:bCs/>
          <w:color w:val="333333"/>
          <w:sz w:val="28"/>
          <w:szCs w:val="28"/>
          <w:shd w:val="clear" w:color="auto" w:fill="FFFFFF"/>
        </w:rPr>
      </w:pPr>
      <w:r>
        <w:rPr>
          <w:rFonts w:hint="eastAsia" w:ascii="宋体" w:hAnsi="宋体" w:cs="宋体"/>
          <w:b/>
          <w:bCs/>
          <w:color w:val="333333"/>
          <w:sz w:val="28"/>
          <w:szCs w:val="28"/>
          <w:shd w:val="clear" w:color="auto" w:fill="FFFFFF"/>
        </w:rPr>
        <w:t>（六）重点效绩评价结果等预算绩效情况说明</w:t>
      </w:r>
    </w:p>
    <w:p>
      <w:pPr>
        <w:shd w:val="clear" w:color="auto" w:fill="FFFFFF"/>
        <w:tabs>
          <w:tab w:val="left" w:pos="580"/>
        </w:tabs>
        <w:snapToGrid w:val="0"/>
        <w:spacing w:line="560" w:lineRule="atLeast"/>
        <w:ind w:firstLine="560" w:firstLineChars="200"/>
        <w:rPr>
          <w:rFonts w:hint="eastAsia" w:ascii="宋体" w:cs="宋体"/>
          <w:color w:val="333333"/>
          <w:sz w:val="28"/>
          <w:szCs w:val="28"/>
        </w:rPr>
      </w:pPr>
      <w:r>
        <w:rPr>
          <w:rFonts w:ascii="宋体" w:cs="宋体"/>
          <w:color w:val="333333"/>
          <w:sz w:val="28"/>
          <w:szCs w:val="28"/>
        </w:rPr>
        <w:t>2020</w:t>
      </w:r>
      <w:r>
        <w:rPr>
          <w:rFonts w:hint="eastAsia" w:ascii="宋体" w:cs="宋体"/>
          <w:color w:val="333333"/>
          <w:sz w:val="28"/>
          <w:szCs w:val="28"/>
        </w:rPr>
        <w:t>年，我部门本年度没有重点项目，因此未展开绩效评价。</w:t>
      </w:r>
    </w:p>
    <w:p>
      <w:pPr>
        <w:spacing w:line="440" w:lineRule="exact"/>
        <w:ind w:firstLine="562" w:firstLineChars="200"/>
        <w:rPr>
          <w:rFonts w:hint="eastAsia" w:ascii="宋体" w:hAnsi="宋体" w:cs="宋体"/>
          <w:b/>
          <w:bCs/>
          <w:sz w:val="28"/>
          <w:szCs w:val="28"/>
          <w:lang w:val="en-US" w:eastAsia="zh-CN"/>
        </w:rPr>
      </w:pPr>
    </w:p>
    <w:p>
      <w:pPr>
        <w:spacing w:line="440" w:lineRule="exact"/>
        <w:ind w:firstLine="562" w:firstLineChars="200"/>
        <w:rPr>
          <w:rFonts w:hint="eastAsia" w:ascii="宋体" w:hAnsi="宋体"/>
          <w:b/>
          <w:color w:val="FF6600"/>
          <w:spacing w:val="2"/>
          <w:sz w:val="28"/>
          <w:szCs w:val="28"/>
        </w:rPr>
      </w:pPr>
      <w:r>
        <w:rPr>
          <w:rFonts w:hint="eastAsia" w:ascii="宋体" w:hAnsi="宋体" w:cs="宋体"/>
          <w:b/>
          <w:bCs/>
          <w:sz w:val="28"/>
          <w:szCs w:val="28"/>
          <w:lang w:val="en-US" w:eastAsia="zh-CN"/>
        </w:rPr>
        <w:t>（七）</w:t>
      </w:r>
      <w:r>
        <w:rPr>
          <w:rFonts w:hint="eastAsia" w:ascii="宋体" w:hAnsi="宋体"/>
          <w:b/>
          <w:spacing w:val="2"/>
          <w:sz w:val="28"/>
          <w:szCs w:val="28"/>
        </w:rPr>
        <w:t>决算收支增减变化情况</w:t>
      </w:r>
    </w:p>
    <w:p>
      <w:pPr>
        <w:spacing w:line="440" w:lineRule="exact"/>
        <w:ind w:firstLine="568" w:firstLineChars="200"/>
        <w:rPr>
          <w:rFonts w:hint="eastAsia" w:ascii="宋体" w:hAnsi="宋体"/>
          <w:spacing w:val="2"/>
          <w:sz w:val="28"/>
          <w:szCs w:val="28"/>
        </w:rPr>
      </w:pPr>
      <w:r>
        <w:rPr>
          <w:rFonts w:hint="eastAsia" w:ascii="宋体" w:hAnsi="宋体"/>
          <w:spacing w:val="2"/>
          <w:sz w:val="28"/>
          <w:szCs w:val="28"/>
        </w:rPr>
        <w:t>1、收入增减变化情况</w:t>
      </w:r>
    </w:p>
    <w:p>
      <w:pPr>
        <w:widowControl/>
        <w:ind w:firstLine="568" w:firstLineChars="200"/>
        <w:rPr>
          <w:rFonts w:hint="eastAsia" w:ascii="宋体" w:hAnsi="宋体"/>
          <w:spacing w:val="2"/>
          <w:sz w:val="28"/>
          <w:szCs w:val="28"/>
        </w:rPr>
      </w:pPr>
      <w:r>
        <w:rPr>
          <w:rFonts w:hint="eastAsia" w:ascii="宋体" w:hAnsi="宋体"/>
          <w:spacing w:val="2"/>
          <w:sz w:val="28"/>
          <w:szCs w:val="28"/>
        </w:rPr>
        <w:t>2019年全年总收入</w:t>
      </w:r>
      <w:r>
        <w:rPr>
          <w:rFonts w:hint="eastAsia" w:ascii="宋体" w:hAnsi="宋体"/>
          <w:spacing w:val="2"/>
          <w:sz w:val="28"/>
          <w:szCs w:val="28"/>
          <w:lang w:val="en-US" w:eastAsia="zh-CN"/>
        </w:rPr>
        <w:t>38.35万</w:t>
      </w:r>
      <w:r>
        <w:rPr>
          <w:rFonts w:hint="eastAsia" w:ascii="宋体" w:hAnsi="宋体"/>
          <w:spacing w:val="2"/>
          <w:sz w:val="28"/>
          <w:szCs w:val="28"/>
        </w:rPr>
        <w:t>元,2020年全年总收入</w:t>
      </w:r>
      <w:r>
        <w:rPr>
          <w:rFonts w:hint="eastAsia" w:ascii="宋体" w:hAnsi="宋体"/>
          <w:spacing w:val="2"/>
          <w:sz w:val="28"/>
          <w:szCs w:val="28"/>
          <w:lang w:val="en-US" w:eastAsia="zh-CN"/>
        </w:rPr>
        <w:t>26.79万</w:t>
      </w:r>
      <w:r>
        <w:rPr>
          <w:rFonts w:hint="eastAsia" w:ascii="宋体" w:hAnsi="宋体"/>
          <w:spacing w:val="2"/>
          <w:sz w:val="28"/>
          <w:szCs w:val="28"/>
        </w:rPr>
        <w:t>元，同比上年</w:t>
      </w:r>
      <w:r>
        <w:rPr>
          <w:rFonts w:hint="eastAsia" w:ascii="宋体" w:hAnsi="宋体"/>
          <w:spacing w:val="2"/>
          <w:sz w:val="28"/>
          <w:szCs w:val="28"/>
          <w:lang w:eastAsia="zh-CN"/>
        </w:rPr>
        <w:t>减少</w:t>
      </w:r>
      <w:r>
        <w:rPr>
          <w:rFonts w:hint="eastAsia" w:ascii="宋体" w:hAnsi="宋体"/>
          <w:spacing w:val="2"/>
          <w:sz w:val="28"/>
          <w:szCs w:val="28"/>
          <w:lang w:val="en-US" w:eastAsia="zh-CN"/>
        </w:rPr>
        <w:t>11.56万</w:t>
      </w:r>
      <w:r>
        <w:rPr>
          <w:rFonts w:hint="eastAsia" w:ascii="宋体" w:hAnsi="宋体"/>
          <w:spacing w:val="2"/>
          <w:sz w:val="28"/>
          <w:szCs w:val="28"/>
        </w:rPr>
        <w:t>元，</w:t>
      </w:r>
      <w:r>
        <w:rPr>
          <w:rFonts w:hint="eastAsia" w:ascii="宋体" w:hAnsi="宋体"/>
          <w:spacing w:val="2"/>
          <w:sz w:val="28"/>
          <w:szCs w:val="28"/>
          <w:lang w:eastAsia="zh-CN"/>
        </w:rPr>
        <w:t>降低</w:t>
      </w:r>
      <w:r>
        <w:rPr>
          <w:rFonts w:hint="eastAsia" w:ascii="宋体" w:hAnsi="宋体"/>
          <w:spacing w:val="2"/>
          <w:sz w:val="28"/>
          <w:szCs w:val="28"/>
        </w:rPr>
        <w:t>幅度为</w:t>
      </w:r>
      <w:r>
        <w:rPr>
          <w:rFonts w:hint="eastAsia" w:ascii="宋体" w:hAnsi="宋体"/>
          <w:spacing w:val="2"/>
          <w:sz w:val="28"/>
          <w:szCs w:val="28"/>
          <w:lang w:val="en-US" w:eastAsia="zh-CN"/>
        </w:rPr>
        <w:t>30.14</w:t>
      </w:r>
      <w:r>
        <w:rPr>
          <w:rFonts w:hint="eastAsia" w:ascii="宋体" w:hAnsi="宋体"/>
          <w:spacing w:val="2"/>
          <w:sz w:val="28"/>
          <w:szCs w:val="28"/>
        </w:rPr>
        <w:t>%，原因是业务量</w:t>
      </w:r>
      <w:r>
        <w:rPr>
          <w:rFonts w:hint="eastAsia" w:ascii="宋体" w:hAnsi="宋体"/>
          <w:spacing w:val="2"/>
          <w:sz w:val="28"/>
          <w:szCs w:val="28"/>
          <w:lang w:eastAsia="zh-CN"/>
        </w:rPr>
        <w:t>减少</w:t>
      </w:r>
      <w:r>
        <w:rPr>
          <w:rFonts w:hint="eastAsia" w:ascii="宋体" w:hAnsi="宋体"/>
          <w:spacing w:val="2"/>
          <w:sz w:val="28"/>
          <w:szCs w:val="28"/>
        </w:rPr>
        <w:t>。</w:t>
      </w:r>
    </w:p>
    <w:p>
      <w:pPr>
        <w:spacing w:line="440" w:lineRule="exact"/>
        <w:ind w:firstLine="568" w:firstLineChars="200"/>
        <w:rPr>
          <w:rFonts w:hint="eastAsia" w:ascii="宋体" w:hAnsi="宋体"/>
          <w:spacing w:val="2"/>
          <w:sz w:val="28"/>
          <w:szCs w:val="28"/>
        </w:rPr>
      </w:pPr>
      <w:r>
        <w:rPr>
          <w:rFonts w:hint="eastAsia" w:ascii="宋体" w:hAnsi="宋体"/>
          <w:spacing w:val="2"/>
          <w:sz w:val="28"/>
          <w:szCs w:val="28"/>
        </w:rPr>
        <w:t>2、支出增减变化情况</w:t>
      </w:r>
    </w:p>
    <w:p>
      <w:pPr>
        <w:widowControl/>
        <w:ind w:firstLine="568" w:firstLineChars="200"/>
        <w:rPr>
          <w:rFonts w:hint="eastAsia" w:ascii="宋体" w:hAnsi="宋体"/>
          <w:spacing w:val="2"/>
          <w:sz w:val="28"/>
          <w:szCs w:val="28"/>
        </w:rPr>
      </w:pPr>
      <w:r>
        <w:rPr>
          <w:rFonts w:hint="eastAsia" w:ascii="宋体" w:hAnsi="宋体"/>
          <w:spacing w:val="2"/>
          <w:sz w:val="28"/>
          <w:szCs w:val="28"/>
        </w:rPr>
        <w:t>2019年全年总</w:t>
      </w:r>
      <w:r>
        <w:rPr>
          <w:rFonts w:hint="eastAsia" w:ascii="宋体" w:hAnsi="宋体"/>
          <w:spacing w:val="2"/>
          <w:sz w:val="28"/>
          <w:szCs w:val="28"/>
          <w:lang w:eastAsia="zh-CN"/>
        </w:rPr>
        <w:t>支出</w:t>
      </w:r>
      <w:r>
        <w:rPr>
          <w:rFonts w:hint="eastAsia" w:ascii="宋体" w:hAnsi="宋体"/>
          <w:spacing w:val="2"/>
          <w:sz w:val="28"/>
          <w:szCs w:val="28"/>
          <w:lang w:val="en-US" w:eastAsia="zh-CN"/>
        </w:rPr>
        <w:t>38.35万</w:t>
      </w:r>
      <w:r>
        <w:rPr>
          <w:rFonts w:hint="eastAsia" w:ascii="宋体" w:hAnsi="宋体"/>
          <w:spacing w:val="2"/>
          <w:sz w:val="28"/>
          <w:szCs w:val="28"/>
        </w:rPr>
        <w:t>元,2020年全年总</w:t>
      </w:r>
      <w:r>
        <w:rPr>
          <w:rFonts w:hint="eastAsia" w:ascii="宋体" w:hAnsi="宋体"/>
          <w:spacing w:val="2"/>
          <w:sz w:val="28"/>
          <w:szCs w:val="28"/>
          <w:lang w:eastAsia="zh-CN"/>
        </w:rPr>
        <w:t>支出</w:t>
      </w:r>
      <w:bookmarkStart w:id="0" w:name="_GoBack"/>
      <w:bookmarkEnd w:id="0"/>
      <w:r>
        <w:rPr>
          <w:rFonts w:hint="eastAsia" w:ascii="宋体" w:hAnsi="宋体"/>
          <w:spacing w:val="2"/>
          <w:sz w:val="28"/>
          <w:szCs w:val="28"/>
          <w:lang w:val="en-US" w:eastAsia="zh-CN"/>
        </w:rPr>
        <w:t>26.79万</w:t>
      </w:r>
      <w:r>
        <w:rPr>
          <w:rFonts w:hint="eastAsia" w:ascii="宋体" w:hAnsi="宋体"/>
          <w:spacing w:val="2"/>
          <w:sz w:val="28"/>
          <w:szCs w:val="28"/>
        </w:rPr>
        <w:t>元，同比上年</w:t>
      </w:r>
      <w:r>
        <w:rPr>
          <w:rFonts w:hint="eastAsia" w:ascii="宋体" w:hAnsi="宋体"/>
          <w:spacing w:val="2"/>
          <w:sz w:val="28"/>
          <w:szCs w:val="28"/>
          <w:lang w:eastAsia="zh-CN"/>
        </w:rPr>
        <w:t>减少</w:t>
      </w:r>
      <w:r>
        <w:rPr>
          <w:rFonts w:hint="eastAsia" w:ascii="宋体" w:hAnsi="宋体"/>
          <w:spacing w:val="2"/>
          <w:sz w:val="28"/>
          <w:szCs w:val="28"/>
          <w:lang w:val="en-US" w:eastAsia="zh-CN"/>
        </w:rPr>
        <w:t>11.56万</w:t>
      </w:r>
      <w:r>
        <w:rPr>
          <w:rFonts w:hint="eastAsia" w:ascii="宋体" w:hAnsi="宋体"/>
          <w:spacing w:val="2"/>
          <w:sz w:val="28"/>
          <w:szCs w:val="28"/>
        </w:rPr>
        <w:t>元，</w:t>
      </w:r>
      <w:r>
        <w:rPr>
          <w:rFonts w:hint="eastAsia" w:ascii="宋体" w:hAnsi="宋体"/>
          <w:spacing w:val="2"/>
          <w:sz w:val="28"/>
          <w:szCs w:val="28"/>
          <w:lang w:eastAsia="zh-CN"/>
        </w:rPr>
        <w:t>降低</w:t>
      </w:r>
      <w:r>
        <w:rPr>
          <w:rFonts w:hint="eastAsia" w:ascii="宋体" w:hAnsi="宋体"/>
          <w:spacing w:val="2"/>
          <w:sz w:val="28"/>
          <w:szCs w:val="28"/>
        </w:rPr>
        <w:t>幅度为</w:t>
      </w:r>
      <w:r>
        <w:rPr>
          <w:rFonts w:hint="eastAsia" w:ascii="宋体" w:hAnsi="宋体"/>
          <w:spacing w:val="2"/>
          <w:sz w:val="28"/>
          <w:szCs w:val="28"/>
          <w:lang w:val="en-US" w:eastAsia="zh-CN"/>
        </w:rPr>
        <w:t>30.14</w:t>
      </w:r>
      <w:r>
        <w:rPr>
          <w:rFonts w:hint="eastAsia" w:ascii="宋体" w:hAnsi="宋体"/>
          <w:spacing w:val="2"/>
          <w:sz w:val="28"/>
          <w:szCs w:val="28"/>
        </w:rPr>
        <w:t>%，原因是业务量</w:t>
      </w:r>
      <w:r>
        <w:rPr>
          <w:rFonts w:hint="eastAsia" w:ascii="宋体" w:hAnsi="宋体"/>
          <w:spacing w:val="2"/>
          <w:sz w:val="28"/>
          <w:szCs w:val="28"/>
          <w:lang w:eastAsia="zh-CN"/>
        </w:rPr>
        <w:t>减少</w:t>
      </w:r>
      <w:r>
        <w:rPr>
          <w:rFonts w:hint="eastAsia" w:ascii="宋体" w:hAnsi="宋体"/>
          <w:spacing w:val="2"/>
          <w:sz w:val="28"/>
          <w:szCs w:val="28"/>
        </w:rPr>
        <w:t>。</w:t>
      </w:r>
    </w:p>
    <w:p>
      <w:pPr>
        <w:shd w:val="clear" w:color="auto" w:fill="FFFFFF"/>
        <w:tabs>
          <w:tab w:val="left" w:pos="580"/>
        </w:tabs>
        <w:snapToGrid w:val="0"/>
        <w:spacing w:line="560" w:lineRule="atLeast"/>
        <w:ind w:firstLine="560" w:firstLineChars="200"/>
        <w:rPr>
          <w:rFonts w:hint="eastAsia" w:ascii="宋体" w:cs="宋体"/>
          <w:color w:val="333333"/>
          <w:sz w:val="28"/>
          <w:szCs w:val="28"/>
        </w:rPr>
      </w:pPr>
    </w:p>
    <w:p>
      <w:pPr>
        <w:pStyle w:val="5"/>
        <w:widowControl/>
        <w:spacing w:before="76" w:beforeAutospacing="0" w:after="76" w:afterAutospacing="0" w:line="450" w:lineRule="atLeast"/>
        <w:ind w:firstLine="240" w:firstLineChars="100"/>
        <w:rPr>
          <w:rStyle w:val="8"/>
          <w:rFonts w:hint="eastAsia" w:ascii="微软雅黑" w:hAnsi="微软雅黑" w:eastAsia="微软雅黑" w:cs="微软雅黑"/>
          <w:color w:val="333333"/>
          <w:sz w:val="24"/>
          <w:szCs w:val="24"/>
          <w:shd w:val="clear" w:color="auto" w:fill="FFFFFF"/>
        </w:rPr>
      </w:pPr>
      <w:r>
        <w:rPr>
          <w:rStyle w:val="8"/>
          <w:rFonts w:hint="eastAsia" w:ascii="微软雅黑" w:hAnsi="微软雅黑" w:eastAsia="微软雅黑" w:cs="微软雅黑"/>
          <w:color w:val="333333"/>
          <w:sz w:val="24"/>
          <w:szCs w:val="24"/>
          <w:shd w:val="clear" w:color="auto" w:fill="FFFFFF"/>
        </w:rPr>
        <w:t>第四部分 名词解释</w:t>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一、财政补助收入：指县级财政当年拨付的资金。</w:t>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二、其他收入：指除“财政拨款收入”、“上级补助收入”、“事业收入”、“经营收入”等以外的收入。主要是存款利息收入等。</w:t>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三、年初结转和结余：指以前年度尚未完成、结转到本年按有关规定继续使用的资金。</w:t>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四、一般公共服务（类）行政运行（项）：指县行政单位及参照公务员管理事业单位用于保障机构正常运行、开展日常工作的基本支出。</w:t>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五、一般公共服务（类）一般行政管理事务（项）：指县行政单位及参照公务员管理事业单位用于开展立法调研、财政信息宣传、非税收入征管等未单独设置项级科目的专门性财政管理工作的项目支出。</w:t>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六、一般公共服务（类）机关服务（项）：指黄石港区团委服务中心为机关提供办公楼日常维修、维护等后勤保障服务的支出。</w:t>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七、一般公共服务（类）其他一般公共服务支出（款）其他一般公共服务支出（项）：指黄石港区团委用于其他一般公共服务方面的支出。</w:t>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八、教育（类）普通教育（款）高等教育（项）：指黄石港区团委支持地方高校的重点发展和特色办学，组织专家对省属院校申报的建设规划和项目预算进行评审等相关工作的支出。</w:t>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九、社会保障和就业</w:t>
      </w:r>
      <w:r>
        <w:rPr>
          <w:rFonts w:ascii="宋体" w:hAnsi="宋体" w:cs="宋体"/>
          <w:color w:val="333333"/>
          <w:sz w:val="28"/>
          <w:szCs w:val="28"/>
        </w:rPr>
        <w:t>(</w:t>
      </w:r>
      <w:r>
        <w:rPr>
          <w:rFonts w:hint="eastAsia" w:ascii="宋体" w:hAnsi="宋体" w:cs="宋体"/>
          <w:color w:val="333333"/>
          <w:sz w:val="28"/>
          <w:szCs w:val="28"/>
        </w:rPr>
        <w:t>类</w:t>
      </w:r>
      <w:r>
        <w:rPr>
          <w:rFonts w:ascii="宋体" w:hAnsi="宋体" w:cs="宋体"/>
          <w:color w:val="333333"/>
          <w:sz w:val="28"/>
          <w:szCs w:val="28"/>
        </w:rPr>
        <w:t>)</w:t>
      </w:r>
      <w:r>
        <w:rPr>
          <w:rFonts w:hint="eastAsia" w:ascii="宋体" w:hAnsi="宋体" w:cs="宋体"/>
          <w:color w:val="333333"/>
          <w:sz w:val="28"/>
          <w:szCs w:val="28"/>
        </w:rPr>
        <w:t>行政事业单位离退休（款）归口管理的行政单位离退休（项）：指黄石港区团委用于离退休人员的支出、退休人员支出，以及提供管理服务工作的离退休干部处的支出。</w:t>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十、社会保障和就业</w:t>
      </w:r>
      <w:r>
        <w:rPr>
          <w:rFonts w:ascii="宋体" w:hAnsi="宋体" w:cs="宋体"/>
          <w:color w:val="333333"/>
          <w:sz w:val="28"/>
          <w:szCs w:val="28"/>
        </w:rPr>
        <w:t>(</w:t>
      </w:r>
      <w:r>
        <w:rPr>
          <w:rFonts w:hint="eastAsia" w:ascii="宋体" w:hAnsi="宋体" w:cs="宋体"/>
          <w:color w:val="333333"/>
          <w:sz w:val="28"/>
          <w:szCs w:val="28"/>
        </w:rPr>
        <w:t>类</w:t>
      </w:r>
      <w:r>
        <w:rPr>
          <w:rFonts w:ascii="宋体" w:hAnsi="宋体" w:cs="宋体"/>
          <w:color w:val="333333"/>
          <w:sz w:val="28"/>
          <w:szCs w:val="28"/>
        </w:rPr>
        <w:t>)</w:t>
      </w:r>
      <w:r>
        <w:rPr>
          <w:rFonts w:hint="eastAsia" w:ascii="宋体" w:hAnsi="宋体" w:cs="宋体"/>
          <w:color w:val="333333"/>
          <w:sz w:val="28"/>
          <w:szCs w:val="28"/>
        </w:rPr>
        <w:t>行政事业单位离退休（款）其他行政事业单位离退休支出（项）：指黄石港区团委用于离退休方面的其他支出。</w:t>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十一、医疗卫生与计划生育（类）医疗保障（款）行政单位医疗（项）：指黄石港区团委用于机关干部职工及离退休人员医疗方面的支出。</w:t>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十二、住房保障（类）住房改革支出（款）购房补贴（项）：指按照相关住房分配货币化改革的政策规定和标准，对无房和住房未达标职工发放的住房分配货币化补贴资金。</w:t>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十三、年末结转和结余：指本年度或以前年度预算安排、因客观条件发生变化无法按原计划实施，需要延迟到以后年度按有关规定继续使用的资金。</w:t>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十四、基本支出：指为保障机构正常运转、完成日常工作任务而发生的人员支出（包括基本工资、津贴补贴等）和公用支出（包括办公费、水电费、邮电费、交通费、差旅费等）。</w:t>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十五、项目支出：指在基本支出之外为完成特定行政任务和事业发展目标所发生的支出。</w:t>
      </w:r>
    </w:p>
    <w:p>
      <w:pPr>
        <w:shd w:val="clear" w:color="auto" w:fill="FFFFFF"/>
        <w:snapToGrid w:val="0"/>
        <w:spacing w:line="560" w:lineRule="atLeast"/>
        <w:ind w:firstLine="560" w:firstLineChars="200"/>
        <w:rPr>
          <w:rFonts w:ascii="宋体" w:cs="宋体"/>
          <w:color w:val="333333"/>
          <w:sz w:val="28"/>
          <w:szCs w:val="28"/>
        </w:rPr>
      </w:pPr>
      <w:r>
        <w:rPr>
          <w:rFonts w:hint="eastAsia" w:ascii="宋体" w:hAnsi="宋体" w:cs="宋体"/>
          <w:color w:val="333333"/>
          <w:sz w:val="28"/>
          <w:szCs w:val="28"/>
        </w:rPr>
        <w:t>十六、“三公”经费：是指用财政拨款安排的因公出国（境）费、公务用车购置及运行维护费、公务接待费。</w:t>
      </w:r>
    </w:p>
    <w:p>
      <w:pPr>
        <w:shd w:val="clear" w:color="auto" w:fill="FFFFFF"/>
        <w:snapToGrid w:val="0"/>
        <w:spacing w:line="560" w:lineRule="atLeast"/>
        <w:ind w:firstLine="560" w:firstLineChars="200"/>
        <w:rPr>
          <w:rFonts w:ascii="宋体" w:cs="宋体"/>
          <w:color w:val="333333"/>
          <w:sz w:val="28"/>
          <w:szCs w:val="28"/>
        </w:rPr>
      </w:pPr>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swiss"/>
    <w:pitch w:val="default"/>
    <w:sig w:usb0="80000287" w:usb1="280F3C52" w:usb2="00000016" w:usb3="00000000" w:csb0="0004001F" w:csb1="00000000"/>
  </w:font>
  <w:font w:name="Tahoma">
    <w:panose1 w:val="020B0604030504040204"/>
    <w:charset w:val="00"/>
    <w:family w:val="swiss"/>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06F9D"/>
    <w:rsid w:val="00003724"/>
    <w:rsid w:val="00033927"/>
    <w:rsid w:val="0003459B"/>
    <w:rsid w:val="00044488"/>
    <w:rsid w:val="00051EC6"/>
    <w:rsid w:val="0005342F"/>
    <w:rsid w:val="0006391E"/>
    <w:rsid w:val="00096ED4"/>
    <w:rsid w:val="000D23F8"/>
    <w:rsid w:val="000D3623"/>
    <w:rsid w:val="000E1F0D"/>
    <w:rsid w:val="000E29DB"/>
    <w:rsid w:val="000F3005"/>
    <w:rsid w:val="000F511C"/>
    <w:rsid w:val="001045FA"/>
    <w:rsid w:val="001453FD"/>
    <w:rsid w:val="00150497"/>
    <w:rsid w:val="00171B2E"/>
    <w:rsid w:val="001E0570"/>
    <w:rsid w:val="00254F86"/>
    <w:rsid w:val="002A5601"/>
    <w:rsid w:val="002C3F29"/>
    <w:rsid w:val="002C4FE0"/>
    <w:rsid w:val="002C5012"/>
    <w:rsid w:val="002E74E0"/>
    <w:rsid w:val="00311EE4"/>
    <w:rsid w:val="003554E6"/>
    <w:rsid w:val="00356C09"/>
    <w:rsid w:val="003772B8"/>
    <w:rsid w:val="00390DC4"/>
    <w:rsid w:val="003A1F77"/>
    <w:rsid w:val="003B25E0"/>
    <w:rsid w:val="003B4E73"/>
    <w:rsid w:val="00406F9D"/>
    <w:rsid w:val="00410020"/>
    <w:rsid w:val="0042273E"/>
    <w:rsid w:val="004A3262"/>
    <w:rsid w:val="004B48C5"/>
    <w:rsid w:val="004C391E"/>
    <w:rsid w:val="004C3C85"/>
    <w:rsid w:val="004D1B92"/>
    <w:rsid w:val="005A6E82"/>
    <w:rsid w:val="00614D54"/>
    <w:rsid w:val="00641634"/>
    <w:rsid w:val="00644703"/>
    <w:rsid w:val="00691AFD"/>
    <w:rsid w:val="006C3D18"/>
    <w:rsid w:val="007017B9"/>
    <w:rsid w:val="00727FFB"/>
    <w:rsid w:val="0075479C"/>
    <w:rsid w:val="00763CEA"/>
    <w:rsid w:val="007B5A5D"/>
    <w:rsid w:val="007E47CD"/>
    <w:rsid w:val="007E7E03"/>
    <w:rsid w:val="00844A39"/>
    <w:rsid w:val="0084566A"/>
    <w:rsid w:val="00845EE8"/>
    <w:rsid w:val="0085273F"/>
    <w:rsid w:val="00880D68"/>
    <w:rsid w:val="00891025"/>
    <w:rsid w:val="008C3873"/>
    <w:rsid w:val="00903965"/>
    <w:rsid w:val="00966623"/>
    <w:rsid w:val="00987C7D"/>
    <w:rsid w:val="009E60AF"/>
    <w:rsid w:val="009F40F2"/>
    <w:rsid w:val="00A0317D"/>
    <w:rsid w:val="00A10FEA"/>
    <w:rsid w:val="00A32111"/>
    <w:rsid w:val="00A52897"/>
    <w:rsid w:val="00A71DD8"/>
    <w:rsid w:val="00A830DA"/>
    <w:rsid w:val="00AC025E"/>
    <w:rsid w:val="00AD0F92"/>
    <w:rsid w:val="00AD2A79"/>
    <w:rsid w:val="00AE45BD"/>
    <w:rsid w:val="00AE59FD"/>
    <w:rsid w:val="00B30542"/>
    <w:rsid w:val="00B36D30"/>
    <w:rsid w:val="00B51705"/>
    <w:rsid w:val="00BE69A9"/>
    <w:rsid w:val="00BE7F55"/>
    <w:rsid w:val="00C10C8F"/>
    <w:rsid w:val="00C11E90"/>
    <w:rsid w:val="00C5325F"/>
    <w:rsid w:val="00C574BC"/>
    <w:rsid w:val="00C60EDB"/>
    <w:rsid w:val="00CA55D1"/>
    <w:rsid w:val="00CA7978"/>
    <w:rsid w:val="00CB33D6"/>
    <w:rsid w:val="00D00F01"/>
    <w:rsid w:val="00D01C74"/>
    <w:rsid w:val="00D06913"/>
    <w:rsid w:val="00D11DD8"/>
    <w:rsid w:val="00D2576F"/>
    <w:rsid w:val="00DD1DD0"/>
    <w:rsid w:val="00DD486F"/>
    <w:rsid w:val="00DE097F"/>
    <w:rsid w:val="00E03014"/>
    <w:rsid w:val="00E11F1F"/>
    <w:rsid w:val="00E2006A"/>
    <w:rsid w:val="00E234DD"/>
    <w:rsid w:val="00E36AB0"/>
    <w:rsid w:val="00E72F29"/>
    <w:rsid w:val="00EB3513"/>
    <w:rsid w:val="00EF48FF"/>
    <w:rsid w:val="00EF5237"/>
    <w:rsid w:val="00EF6811"/>
    <w:rsid w:val="00F0000B"/>
    <w:rsid w:val="00F452C1"/>
    <w:rsid w:val="00F55144"/>
    <w:rsid w:val="00F9505A"/>
    <w:rsid w:val="00F964A1"/>
    <w:rsid w:val="00FD12F6"/>
    <w:rsid w:val="07E3145A"/>
    <w:rsid w:val="0BC0109E"/>
    <w:rsid w:val="1A6C7384"/>
    <w:rsid w:val="2B51336C"/>
    <w:rsid w:val="31087D6A"/>
    <w:rsid w:val="55AE1211"/>
    <w:rsid w:val="582162F4"/>
    <w:rsid w:val="5AE103E6"/>
    <w:rsid w:val="78186405"/>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ocked="1"/>
    <w:lsdException w:qFormat="1" w:uiPriority="9" w:name="heading 2" w:locked="1"/>
    <w:lsdException w:qFormat="1" w:uiPriority="9" w:name="heading 3" w:locked="1"/>
    <w:lsdException w:qFormat="1" w:uiPriority="9" w:name="heading 4" w:locked="1"/>
    <w:lsdException w:qFormat="1" w:unhideWhenUsed="0" w:uiPriority="99" w:semiHidden="0" w:name="heading 5"/>
    <w:lsdException w:qFormat="1" w:uiPriority="9" w:name="heading 6" w:locked="1"/>
    <w:lsdException w:qFormat="1" w:uiPriority="9" w:name="heading 7" w:locked="1"/>
    <w:lsdException w:qFormat="1" w:uiPriority="9" w:name="heading 8" w:locked="1"/>
    <w:lsdException w:qFormat="1" w:uiPriority="9" w:name="heading 9" w:locked="1"/>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uiPriority="39" w:name="toc 1" w:locked="1"/>
    <w:lsdException w:uiPriority="39" w:name="toc 2" w:locked="1"/>
    <w:lsdException w:uiPriority="39" w:name="toc 3" w:locked="1"/>
    <w:lsdException w:uiPriority="39" w:name="toc 4" w:locked="1"/>
    <w:lsdException w:uiPriority="39" w:name="toc 5" w:locked="1"/>
    <w:lsdException w:uiPriority="39" w:name="toc 6" w:locked="1"/>
    <w:lsdException w:uiPriority="39" w:name="toc 7" w:locked="1"/>
    <w:lsdException w:uiPriority="39" w:name="toc 8" w:locked="1"/>
    <w:lsdException w:uiPriority="39" w:name="toc 9" w:locked="1"/>
    <w:lsdException w:uiPriority="99" w:name="Normal Indent" w:locked="1"/>
    <w:lsdException w:uiPriority="99" w:name="footnote text" w:locked="1"/>
    <w:lsdException w:uiPriority="99" w:name="annotation text" w:locked="1"/>
    <w:lsdException w:qFormat="1" w:unhideWhenUsed="0" w:uiPriority="99" w:semiHidden="0" w:name="header"/>
    <w:lsdException w:qFormat="1" w:unhideWhenUsed="0" w:uiPriority="99" w:semiHidden="0" w:name="footer"/>
    <w:lsdException w:uiPriority="99" w:name="index heading" w:locked="1"/>
    <w:lsdException w:qFormat="1" w:uiPriority="35" w:name="caption" w:locked="1"/>
    <w:lsdException w:uiPriority="99" w:name="table of figures" w:locked="1"/>
    <w:lsdException w:uiPriority="99" w:name="envelope address" w:locked="1"/>
    <w:lsdException w:uiPriority="99" w:name="envelope return" w:locked="1"/>
    <w:lsdException w:uiPriority="99" w:name="footnote reference" w:locked="1"/>
    <w:lsdException w:uiPriority="99" w:name="annotation reference" w:locked="1"/>
    <w:lsdException w:uiPriority="99" w:name="line number" w:locked="1"/>
    <w:lsdException w:uiPriority="99" w:name="page number" w:locked="1"/>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10" w:semiHidden="0" w:name="Title" w:locked="1"/>
    <w:lsdException w:uiPriority="99" w:name="Closing" w:locked="1"/>
    <w:lsdException w:uiPriority="99" w:name="Signature" w:locked="1"/>
    <w:lsdException w:qFormat="1" w:unhideWhenUsed="0" w:uiPriority="99" w:name="Default Paragraph Font"/>
    <w:lsdException w:uiPriority="99" w:name="Body Text" w:locked="1"/>
    <w:lsdException w:uiPriority="99" w:name="Body Text Indent" w:locked="1"/>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11" w:semiHidden="0" w:name="Subtitle" w:locked="1"/>
    <w:lsdException w:uiPriority="99" w:name="Salutation" w:locked="1"/>
    <w:lsdException w:uiPriority="99" w:name="Date" w:locked="1"/>
    <w:lsdException w:uiPriority="99" w:name="Body Text First Indent" w:locked="1"/>
    <w:lsdException w:uiPriority="99" w:name="Body Text First Indent 2" w:locked="1"/>
    <w:lsdException w:uiPriority="99" w:name="Note Heading" w:locked="1"/>
    <w:lsdException w:uiPriority="99" w:name="Body Text 2" w:locked="1"/>
    <w:lsdException w:uiPriority="99" w:name="Body Text 3" w:locked="1"/>
    <w:lsdException w:uiPriority="99" w:name="Body Text Indent 2" w:locked="1"/>
    <w:lsdException w:uiPriority="99" w:name="Body Text Indent 3" w:locked="1"/>
    <w:lsdException w:uiPriority="99" w:name="Block Text" w:locked="1"/>
    <w:lsdException w:uiPriority="99" w:name="Hyperlink" w:locked="1"/>
    <w:lsdException w:uiPriority="99" w:name="FollowedHyperlink" w:locked="1"/>
    <w:lsdException w:qFormat="1" w:unhideWhenUsed="0" w:uiPriority="99" w:semiHidden="0" w:name="Strong"/>
    <w:lsdException w:qFormat="1" w:unhideWhenUsed="0" w:uiPriority="20" w:semiHidden="0" w:name="Emphasis" w:locked="1"/>
    <w:lsdException w:uiPriority="99" w:name="Document Map" w:locked="1"/>
    <w:lsdException w:uiPriority="99" w:name="Plain Text" w:locked="1"/>
    <w:lsdException w:uiPriority="99" w:name="E-mail Signature" w:locked="1"/>
    <w:lsdException w:qFormat="1" w:unhideWhenUsed="0" w:uiPriority="99" w:semiHidden="0" w:name="Normal (Web)"/>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uiPriority="99" w:name="Balloon Text" w:locked="1"/>
    <w:lsdException w:unhideWhenUsed="0" w:uiPriority="59" w:semiHidden="0" w:name="Table Grid" w:locked="1"/>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9"/>
    <w:qFormat/>
    <w:uiPriority w:val="99"/>
    <w:pPr>
      <w:spacing w:beforeAutospacing="1" w:afterAutospacing="1"/>
      <w:jc w:val="left"/>
      <w:outlineLvl w:val="4"/>
    </w:pPr>
    <w:rPr>
      <w:rFonts w:ascii="宋体" w:hAnsi="宋体"/>
      <w:b/>
      <w:kern w:val="0"/>
      <w:sz w:val="20"/>
      <w:szCs w:val="20"/>
    </w:rPr>
  </w:style>
  <w:style w:type="character" w:default="1" w:styleId="7">
    <w:name w:val="Default Paragraph Font"/>
    <w:semiHidden/>
    <w:qFormat/>
    <w:uiPriority w:val="99"/>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0"/>
    <w:qFormat/>
    <w:uiPriority w:val="99"/>
    <w:pPr>
      <w:tabs>
        <w:tab w:val="center" w:pos="4153"/>
        <w:tab w:val="right" w:pos="8306"/>
      </w:tabs>
      <w:snapToGrid w:val="0"/>
      <w:jc w:val="left"/>
    </w:pPr>
    <w:rPr>
      <w:sz w:val="18"/>
      <w:szCs w:val="18"/>
    </w:rPr>
  </w:style>
  <w:style w:type="paragraph" w:styleId="4">
    <w:name w:val="header"/>
    <w:basedOn w:val="1"/>
    <w:link w:val="11"/>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99"/>
    <w:pPr>
      <w:spacing w:beforeAutospacing="1" w:afterAutospacing="1"/>
      <w:jc w:val="left"/>
    </w:pPr>
    <w:rPr>
      <w:kern w:val="0"/>
      <w:sz w:val="24"/>
    </w:rPr>
  </w:style>
  <w:style w:type="character" w:styleId="8">
    <w:name w:val="Strong"/>
    <w:basedOn w:val="7"/>
    <w:qFormat/>
    <w:uiPriority w:val="99"/>
    <w:rPr>
      <w:rFonts w:cs="Times New Roman"/>
      <w:b/>
    </w:rPr>
  </w:style>
  <w:style w:type="character" w:customStyle="1" w:styleId="9">
    <w:name w:val="Heading 5 Char"/>
    <w:basedOn w:val="7"/>
    <w:link w:val="2"/>
    <w:semiHidden/>
    <w:qFormat/>
    <w:locked/>
    <w:uiPriority w:val="99"/>
    <w:rPr>
      <w:rFonts w:ascii="Calibri" w:hAnsi="Calibri" w:cs="Times New Roman"/>
      <w:b/>
      <w:bCs/>
      <w:sz w:val="28"/>
      <w:szCs w:val="28"/>
    </w:rPr>
  </w:style>
  <w:style w:type="character" w:customStyle="1" w:styleId="10">
    <w:name w:val="Footer Char"/>
    <w:basedOn w:val="7"/>
    <w:link w:val="3"/>
    <w:semiHidden/>
    <w:locked/>
    <w:uiPriority w:val="99"/>
    <w:rPr>
      <w:rFonts w:ascii="Calibri" w:hAnsi="Calibri" w:cs="Times New Roman"/>
      <w:sz w:val="18"/>
      <w:szCs w:val="18"/>
    </w:rPr>
  </w:style>
  <w:style w:type="character" w:customStyle="1" w:styleId="11">
    <w:name w:val="Header Char"/>
    <w:basedOn w:val="7"/>
    <w:link w:val="4"/>
    <w:semiHidden/>
    <w:qFormat/>
    <w:locked/>
    <w:uiPriority w:val="99"/>
    <w:rPr>
      <w:rFonts w:ascii="Calibri" w:hAnsi="Calibri" w:cs="Times New Roman"/>
      <w:sz w:val="18"/>
      <w:szCs w:val="18"/>
    </w:rPr>
  </w:style>
  <w:style w:type="paragraph" w:customStyle="1" w:styleId="12">
    <w:name w:val="正文缩进 + 首行缩进:  2 字符"/>
    <w:basedOn w:val="1"/>
    <w:qFormat/>
    <w:uiPriority w:val="99"/>
    <w:pPr>
      <w:spacing w:line="560" w:lineRule="exact"/>
      <w:ind w:firstLine="640"/>
    </w:pPr>
    <w:rPr>
      <w:rFonts w:ascii="仿宋" w:hAnsi="仿宋" w:eastAsia="仿宋" w:cs="宋体"/>
      <w:sz w:val="32"/>
      <w:szCs w:val="20"/>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customXml" Target="../customXml/item1.xml"/><Relationship Id="rId15" Type="http://schemas.openxmlformats.org/officeDocument/2006/relationships/image" Target="media/image6.png"/><Relationship Id="rId14" Type="http://schemas.openxmlformats.org/officeDocument/2006/relationships/image" Target="media/image5.png"/><Relationship Id="rId13" Type="http://schemas.openxmlformats.org/officeDocument/2006/relationships/image" Target="media/image4.png"/><Relationship Id="rId12" Type="http://schemas.openxmlformats.org/officeDocument/2006/relationships/image" Target="media/image3.png"/><Relationship Id="rId11" Type="http://schemas.openxmlformats.org/officeDocument/2006/relationships/image" Target="media/image2.png"/><Relationship Id="rId10" Type="http://schemas.openxmlformats.org/officeDocument/2006/relationships/image" Target="media/image1.png"/><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Template>
  <Pages>16</Pages>
  <Words>396</Words>
  <Characters>2263</Characters>
  <Lines>0</Lines>
  <Paragraphs>0</Paragraphs>
  <TotalTime>0</TotalTime>
  <ScaleCrop>false</ScaleCrop>
  <LinksUpToDate>false</LinksUpToDate>
  <CharactersWithSpaces>0</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gg</dc:creator>
  <cp:lastModifiedBy>盼</cp:lastModifiedBy>
  <dcterms:modified xsi:type="dcterms:W3CDTF">2021-09-15T02:42:08Z</dcterms:modified>
  <cp:revision>33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ies>
</file>