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退役军人事务局20</w:t>
      </w:r>
      <w:r>
        <w:rPr>
          <w:rFonts w:hint="eastAsia" w:ascii="微软雅黑" w:hAnsi="微软雅黑" w:eastAsia="微软雅黑" w:cs="微软雅黑"/>
          <w:b/>
          <w:i w:val="0"/>
          <w:caps w:val="0"/>
          <w:color w:val="BC1010"/>
          <w:spacing w:val="0"/>
          <w:sz w:val="40"/>
          <w:szCs w:val="40"/>
          <w:shd w:val="clear" w:fill="FFFFFF"/>
          <w:lang w:val="en-US" w:eastAsia="zh-CN"/>
        </w:rPr>
        <w:t>20</w:t>
      </w:r>
      <w:r>
        <w:rPr>
          <w:rFonts w:hint="eastAsia" w:ascii="微软雅黑" w:hAnsi="微软雅黑" w:eastAsia="微软雅黑" w:cs="微软雅黑"/>
          <w:b/>
          <w:i w:val="0"/>
          <w:caps w:val="0"/>
          <w:color w:val="BC1010"/>
          <w:spacing w:val="0"/>
          <w:sz w:val="40"/>
          <w:szCs w:val="40"/>
          <w:shd w:val="clear" w:fill="FFFFFF"/>
          <w:lang w:eastAsia="zh-CN"/>
        </w:rPr>
        <w:t>年</w:t>
      </w:r>
      <w:r>
        <w:rPr>
          <w:rFonts w:hint="eastAsia" w:ascii="微软雅黑" w:hAnsi="微软雅黑" w:eastAsia="微软雅黑" w:cs="微软雅黑"/>
          <w:b/>
          <w:i w:val="0"/>
          <w:caps w:val="0"/>
          <w:color w:val="BC1010"/>
          <w:spacing w:val="0"/>
          <w:sz w:val="40"/>
          <w:szCs w:val="40"/>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9"/>
          <w:rFonts w:hint="eastAsia" w:ascii="微软雅黑" w:hAnsi="微软雅黑" w:eastAsia="微软雅黑" w:cs="微软雅黑"/>
          <w:i w:val="0"/>
          <w:caps w:val="0"/>
          <w:color w:val="333333"/>
          <w:spacing w:val="0"/>
          <w:sz w:val="24"/>
          <w:szCs w:val="24"/>
          <w:shd w:val="clear" w:fill="FFFFFF"/>
          <w:lang w:eastAsia="zh-CN"/>
        </w:rPr>
        <w:t>黄石港区退役军人事务局20</w:t>
      </w:r>
      <w:r>
        <w:rPr>
          <w:rStyle w:val="9"/>
          <w:rFonts w:hint="eastAsia" w:ascii="微软雅黑" w:hAnsi="微软雅黑" w:eastAsia="微软雅黑" w:cs="微软雅黑"/>
          <w:i w:val="0"/>
          <w:caps w:val="0"/>
          <w:color w:val="333333"/>
          <w:spacing w:val="0"/>
          <w:sz w:val="24"/>
          <w:szCs w:val="24"/>
          <w:shd w:val="clear" w:fill="FFFFFF"/>
          <w:lang w:val="en-US" w:eastAsia="zh-CN"/>
        </w:rPr>
        <w:t>20</w:t>
      </w:r>
      <w:r>
        <w:rPr>
          <w:rStyle w:val="9"/>
          <w:rFonts w:hint="eastAsia" w:ascii="微软雅黑" w:hAnsi="微软雅黑" w:eastAsia="微软雅黑" w:cs="微软雅黑"/>
          <w:i w:val="0"/>
          <w:caps w:val="0"/>
          <w:color w:val="333333"/>
          <w:spacing w:val="0"/>
          <w:sz w:val="24"/>
          <w:szCs w:val="24"/>
          <w:shd w:val="clear" w:fill="FFFFFF"/>
          <w:lang w:eastAsia="zh-CN"/>
        </w:rPr>
        <w:t>年</w:t>
      </w:r>
      <w:r>
        <w:rPr>
          <w:rStyle w:val="9"/>
          <w:rFonts w:hint="eastAsia" w:ascii="微软雅黑" w:hAnsi="微软雅黑" w:eastAsia="微软雅黑" w:cs="微软雅黑"/>
          <w:i w:val="0"/>
          <w:caps w:val="0"/>
          <w:color w:val="333333"/>
          <w:spacing w:val="0"/>
          <w:sz w:val="24"/>
          <w:szCs w:val="24"/>
          <w:shd w:val="clear" w:fill="FFFFFF"/>
        </w:rPr>
        <w:t>决算公开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第一部分:部门基本情况</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 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20</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部门决算表</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一、收入支出决算总表（表1）</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二、收入决算表（表2）</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三、支出决算表（表3）</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四、财政拨款收入支出决算总表（表4）</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五、一般公共预算财政拨款支出决算表（表5）</w:t>
      </w: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六、一般公共预算财政拨款基本支出决算表（表6）</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七、一般公共预算财政拨款“三公”经费支出决算表（表7）</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w:t>
      </w:r>
      <w:r>
        <w:rPr>
          <w:rFonts w:hint="eastAsia" w:ascii="微软雅黑" w:hAnsi="微软雅黑" w:eastAsia="微软雅黑" w:cs="微软雅黑"/>
          <w:color w:val="333333"/>
          <w:shd w:val="clear" w:color="auto" w:fill="FFFFFF"/>
          <w:lang w:eastAsia="zh-CN"/>
        </w:rPr>
        <w:t>20</w:t>
      </w:r>
      <w:r>
        <w:rPr>
          <w:rFonts w:hint="eastAsia" w:ascii="微软雅黑" w:hAnsi="微软雅黑" w:eastAsia="微软雅黑" w:cs="微软雅黑"/>
          <w:color w:val="333333"/>
          <w:shd w:val="clear" w:color="auto" w:fill="FFFFFF"/>
          <w:lang w:val="en-US" w:eastAsia="zh-CN"/>
        </w:rPr>
        <w:t>20</w:t>
      </w:r>
      <w:r>
        <w:rPr>
          <w:rFonts w:hint="eastAsia" w:ascii="微软雅黑" w:hAnsi="微软雅黑" w:eastAsia="微软雅黑" w:cs="微软雅黑"/>
          <w:color w:val="333333"/>
          <w:shd w:val="clear" w:color="auto" w:fill="FFFFFF"/>
          <w:lang w:eastAsia="zh-CN"/>
        </w:rPr>
        <w:t>年</w:t>
      </w:r>
      <w:r>
        <w:rPr>
          <w:rFonts w:hint="eastAsia" w:ascii="微软雅黑" w:hAnsi="微软雅黑" w:eastAsia="微软雅黑" w:cs="微软雅黑"/>
          <w:color w:val="333333"/>
          <w:shd w:val="clear" w:color="auto" w:fill="FFFFFF"/>
        </w:rPr>
        <w:t>部门决算情况说明</w:t>
      </w:r>
    </w:p>
    <w:p>
      <w:pPr>
        <w:pStyle w:val="16"/>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二</w:t>
      </w:r>
      <w:r>
        <w:rPr>
          <w:rFonts w:hint="eastAsia" w:ascii="微软雅黑" w:hAnsi="微软雅黑" w:eastAsia="微软雅黑" w:cs="微软雅黑"/>
          <w:color w:val="333333"/>
          <w:shd w:val="clear" w:color="auto" w:fill="FFFFFF"/>
        </w:rPr>
        <w:t>、关于“三公”经费支出说明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三</w:t>
      </w:r>
      <w:r>
        <w:rPr>
          <w:rFonts w:hint="eastAsia" w:ascii="微软雅黑" w:hAnsi="微软雅黑" w:eastAsia="微软雅黑" w:cs="微软雅黑"/>
          <w:color w:val="333333"/>
          <w:shd w:val="clear" w:color="auto" w:fill="FFFFFF"/>
        </w:rPr>
        <w:t>、关于机关运行经费支出说明</w:t>
      </w:r>
    </w:p>
    <w:p>
      <w:pPr>
        <w:pStyle w:val="6"/>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四</w:t>
      </w:r>
      <w:r>
        <w:rPr>
          <w:rFonts w:hint="eastAsia" w:ascii="微软雅黑" w:hAnsi="微软雅黑" w:eastAsia="微软雅黑" w:cs="微软雅黑"/>
          <w:color w:val="333333"/>
          <w:shd w:val="clear" w:color="auto" w:fill="FFFFFF"/>
        </w:rPr>
        <w:t>、关于政府采购支出说明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五</w:t>
      </w:r>
      <w:r>
        <w:rPr>
          <w:rFonts w:hint="eastAsia" w:ascii="微软雅黑" w:hAnsi="微软雅黑" w:eastAsia="微软雅黑" w:cs="微软雅黑"/>
          <w:color w:val="333333"/>
          <w:shd w:val="clear" w:color="auto" w:fill="FFFFFF"/>
        </w:rPr>
        <w:t>、关于国有资产占用情况说明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6"/>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hint="eastAsia"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lang w:eastAsia="zh-CN"/>
        </w:rPr>
        <w:t>20</w:t>
      </w:r>
      <w:r>
        <w:rPr>
          <w:rStyle w:val="9"/>
          <w:rFonts w:hint="eastAsia" w:ascii="微软雅黑" w:hAnsi="微软雅黑" w:eastAsia="微软雅黑" w:cs="微软雅黑"/>
          <w:color w:val="333333"/>
          <w:shd w:val="clear" w:color="auto" w:fill="FFFFFF"/>
          <w:lang w:val="en-US" w:eastAsia="zh-CN"/>
        </w:rPr>
        <w:t>20</w:t>
      </w:r>
      <w:r>
        <w:rPr>
          <w:rStyle w:val="9"/>
          <w:rFonts w:hint="eastAsia" w:ascii="微软雅黑" w:hAnsi="微软雅黑" w:eastAsia="微软雅黑" w:cs="微软雅黑"/>
          <w:color w:val="333333"/>
          <w:shd w:val="clear" w:color="auto" w:fill="FFFFFF"/>
          <w:lang w:eastAsia="zh-CN"/>
        </w:rPr>
        <w:t>年</w:t>
      </w:r>
      <w:r>
        <w:rPr>
          <w:rStyle w:val="9"/>
          <w:rFonts w:hint="eastAsia" w:ascii="微软雅黑" w:hAnsi="微软雅黑" w:eastAsia="微软雅黑" w:cs="微软雅黑"/>
          <w:color w:val="333333"/>
          <w:shd w:val="clear" w:color="auto" w:fill="FFFFFF"/>
        </w:rPr>
        <w:t>部门决算</w:t>
      </w:r>
    </w:p>
    <w:p>
      <w:pPr>
        <w:pStyle w:val="6"/>
        <w:widowControl/>
        <w:spacing w:before="76" w:beforeAutospacing="0" w:after="76" w:afterAutospacing="0" w:line="450" w:lineRule="atLeast"/>
        <w:ind w:firstLine="480" w:firstLineChars="200"/>
        <w:rPr>
          <w:color w:val="333333"/>
        </w:rPr>
      </w:pPr>
      <w:r>
        <w:rPr>
          <w:rStyle w:val="9"/>
          <w:rFonts w:hint="eastAsia" w:ascii="微软雅黑" w:hAnsi="微软雅黑" w:eastAsia="微软雅黑" w:cs="微软雅黑"/>
          <w:color w:val="333333"/>
          <w:shd w:val="clear" w:color="auto" w:fill="FFFFFF"/>
        </w:rPr>
        <w:t>第一部分 部门概况</w:t>
      </w:r>
    </w:p>
    <w:p>
      <w:pPr>
        <w:keepNext w:val="0"/>
        <w:keepLines w:val="0"/>
        <w:pageBreakBefore w:val="0"/>
        <w:kinsoku/>
        <w:wordWrap/>
        <w:overflowPunct/>
        <w:topLinePunct w:val="0"/>
        <w:autoSpaceDE/>
        <w:autoSpaceDN/>
        <w:bidi w:val="0"/>
        <w:adjustRightInd/>
        <w:spacing w:line="560" w:lineRule="exact"/>
        <w:ind w:firstLine="640"/>
        <w:textAlignment w:val="auto"/>
        <w:rPr>
          <w:rStyle w:val="10"/>
          <w:rFonts w:hint="eastAsia" w:asciiTheme="minorEastAsia" w:hAnsiTheme="minorEastAsia" w:eastAsiaTheme="minorEastAsia" w:cstheme="minorEastAsia"/>
          <w:sz w:val="28"/>
          <w:szCs w:val="28"/>
        </w:rPr>
      </w:pPr>
      <w:r>
        <w:rPr>
          <w:rStyle w:val="10"/>
          <w:rFonts w:hint="eastAsia" w:asciiTheme="minorEastAsia" w:hAnsiTheme="minorEastAsia" w:eastAsiaTheme="minorEastAsia" w:cstheme="minorEastAsia"/>
          <w:sz w:val="28"/>
          <w:szCs w:val="28"/>
          <w:lang w:eastAsia="zh-CN"/>
        </w:rPr>
        <w:t>（一）</w:t>
      </w:r>
      <w:r>
        <w:rPr>
          <w:rStyle w:val="10"/>
          <w:rFonts w:hint="eastAsia" w:asciiTheme="minorEastAsia" w:hAnsiTheme="minorEastAsia" w:eastAsiaTheme="minorEastAsia" w:cstheme="minorEastAsia"/>
          <w:sz w:val="28"/>
          <w:szCs w:val="28"/>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承担退役军人就业创业扶持、优抚帮扶、走访慰问、信访接待、权益保障等事务性服务工作，完成上级部门交办的其他工作。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560" w:lineRule="exact"/>
        <w:ind w:firstLine="560" w:firstLineChars="200"/>
        <w:jc w:val="left"/>
        <w:textAlignment w:val="auto"/>
        <w:rPr>
          <w:rFonts w:hint="eastAsia" w:asciiTheme="minorEastAsia" w:hAnsiTheme="minorEastAsia" w:eastAsiaTheme="minorEastAsia" w:cstheme="minorEastAsia"/>
          <w:b w:val="0"/>
          <w:bCs w:val="0"/>
          <w:kern w:val="0"/>
          <w:sz w:val="28"/>
          <w:szCs w:val="28"/>
        </w:rPr>
      </w:pPr>
      <w:r>
        <w:rPr>
          <w:rFonts w:hint="eastAsia" w:asciiTheme="minorEastAsia" w:hAnsiTheme="minorEastAsia" w:cstheme="minorEastAsia"/>
          <w:b w:val="0"/>
          <w:bCs w:val="0"/>
          <w:kern w:val="0"/>
          <w:sz w:val="28"/>
          <w:szCs w:val="28"/>
          <w:lang w:eastAsia="zh-CN"/>
        </w:rPr>
        <w:t>（二）</w:t>
      </w:r>
      <w:r>
        <w:rPr>
          <w:rFonts w:hint="eastAsia" w:asciiTheme="minorEastAsia" w:hAnsiTheme="minorEastAsia" w:eastAsiaTheme="minorEastAsia" w:cstheme="minorEastAsia"/>
          <w:b w:val="0"/>
          <w:bCs w:val="0"/>
          <w:kern w:val="0"/>
          <w:sz w:val="28"/>
          <w:szCs w:val="28"/>
        </w:rPr>
        <w:t>机构情况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黄石港区退役军人事务局于2018年11月26日成立，正式挂牌。黄石港区退役军人服务中心于2019年6月20日正式挂牌，为区退役军人事务管理的副科级事业单位。20</w:t>
      </w:r>
      <w:r>
        <w:rPr>
          <w:rFonts w:hint="eastAsia" w:asciiTheme="minorEastAsia" w:hAnsiTheme="minorEastAsia" w:cstheme="minorEastAsia"/>
          <w:b w:val="0"/>
          <w:bCs w:val="0"/>
          <w:sz w:val="28"/>
          <w:szCs w:val="28"/>
          <w:lang w:val="en-US" w:eastAsia="zh-CN"/>
        </w:rPr>
        <w:t>20</w:t>
      </w:r>
      <w:r>
        <w:rPr>
          <w:rFonts w:hint="eastAsia" w:asciiTheme="minorEastAsia" w:hAnsiTheme="minorEastAsia" w:eastAsiaTheme="minorEastAsia" w:cstheme="minorEastAsia"/>
          <w:b w:val="0"/>
          <w:bCs w:val="0"/>
          <w:sz w:val="28"/>
          <w:szCs w:val="28"/>
          <w:lang w:val="en-US" w:eastAsia="zh-CN"/>
        </w:rPr>
        <w:t>年所做的主要工作有：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1.</w:t>
      </w:r>
      <w:r>
        <w:rPr>
          <w:rFonts w:hint="eastAsia" w:asciiTheme="minorEastAsia" w:hAnsiTheme="minorEastAsia" w:eastAsiaTheme="minorEastAsia" w:cstheme="minorEastAsia"/>
          <w:b w:val="0"/>
          <w:bCs w:val="0"/>
          <w:sz w:val="28"/>
          <w:szCs w:val="28"/>
          <w:lang w:val="en-US" w:eastAsia="zh-CN"/>
        </w:rPr>
        <w:t>突出疫情防控，在特殊战场上实现担当作为</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思想重视，迅速行动。疫情就是命令，按照区防疫指挥部统一安排和部署，区退役军人事务局迅速行动，积极稳妥做好疫情防控工作。从大年三十开始，每天深入包保社区万达社区一线，政策宣传、人员摸排、楼道消杀、点位执勤，始终活跃在战斗的第一线。同时对局办公大楼进行卫生消毒和环境清洁，严格管理公共卫生。二是冲锋在前，发挥作用。借助区、街道、社区三级退役军人服务体系，向全区38个退役军人服务站发出“全员深入防控一线、实现退役军人担当”的号召，组建了一支退役军人疫情防控突击队，积极投身到疫情防控中。广大退役军人参与疫情宣传，坚持卡点值守，涌现出一大批优秀退役军人，他们用自己的行动彰显了“退役不褪色”的巍巍军魂，他们用实际行动践行着“退伍不褪色、退役不退志”的铿锵誓言。三是颁发证书，点赞鼓励。“若有战，召必回”！面对突如其来的新型冠状肺炎疫情，黄石港区的807名退役军人用他们自己的实际行动，践行对党和人民的忠诚，退役不退志，退伍不褪色，以满腔热血参与到疫情防控中来。3月22日，黄石港区退役军人事务局为参加疫情防控工作的退役军人志愿者们发放了证书，为他们点赞，给他们鼓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2.</w:t>
      </w:r>
      <w:r>
        <w:rPr>
          <w:rFonts w:hint="eastAsia" w:asciiTheme="minorEastAsia" w:hAnsiTheme="minorEastAsia" w:eastAsiaTheme="minorEastAsia" w:cstheme="minorEastAsia"/>
          <w:b w:val="0"/>
          <w:bCs w:val="0"/>
          <w:sz w:val="28"/>
          <w:szCs w:val="28"/>
          <w:lang w:val="en-US" w:eastAsia="zh-CN"/>
        </w:rPr>
        <w:t>突出坚强本色，在抗洪防汛中展现军人情怀</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2020年7月伊始，一场大雨不期而至，抗洪防汛任务极其艰巨，在防汛指挥部的统一部署和安排下，黄石港区退役军人事务局迅速组建了一支退役军人防汛突击队，积极投身防汛一线，坚守岗位，形成三班倒机制，在江堤包保的重点防汛地带来回察看水情，对道路沿线开展隐患大排查，加强主要路口、重要节点的巡逻，及时消除安全隐患，确保险情早发现、早处置、早解决。召之即来，来之能战，战之必胜，退役军人的那种坚韧不拔的毅力，处事雷厉风行的态度，在抗洪防汛工作中展现了退役不退志、退伍不褪色的军人情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3.</w:t>
      </w:r>
      <w:r>
        <w:rPr>
          <w:rFonts w:hint="eastAsia" w:asciiTheme="minorEastAsia" w:hAnsiTheme="minorEastAsia" w:eastAsiaTheme="minorEastAsia" w:cstheme="minorEastAsia"/>
          <w:b w:val="0"/>
          <w:bCs w:val="0"/>
          <w:sz w:val="28"/>
          <w:szCs w:val="28"/>
          <w:lang w:val="en-US" w:eastAsia="zh-CN"/>
        </w:rPr>
        <w:t>突出政策落实，在履职尽责中促进军民融合发展</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严格落实优抚安置政策，积极为退役军人办实事、做好事、解难事。一是严格按照优抚政策，按月足额发放优抚对象伤残抚恤金和定期定量生活补助金，1-11月份共发放各类抚恤定补资金476万余元，发放优抚对象价格临时补贴48万余元，发放义务兵家庭优待金465万余元，发放自主就业一次性退役金55万余元；二是春节、八一期间对全区优抚对象及重点人进行大走访、大慰问，发放慰问金98万余元；三是严格落实企业军转干部保障工作，2020年全年共发放军转干部联责考核奖励金53万余元，1-11月份，发放困企业军转干工资75余万元，困难企业军转干特困生活补助31万余元；四是完成部分退役士兵社会保险接续攻坚工作，1-11月份完成养老保险接续缴费共计210万余元；五是开展拥军走访慰问，春节、八一期间，分别对黄石市军休所、黄石市武警支队、市消防支队消防路中队等驻军部队进行走访慰问，送去慰问物资17.5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4.</w:t>
      </w:r>
      <w:r>
        <w:rPr>
          <w:rFonts w:hint="eastAsia" w:asciiTheme="minorEastAsia" w:hAnsiTheme="minorEastAsia" w:eastAsiaTheme="minorEastAsia" w:cstheme="minorEastAsia"/>
          <w:b w:val="0"/>
          <w:bCs w:val="0"/>
          <w:sz w:val="28"/>
          <w:szCs w:val="28"/>
          <w:lang w:val="en-US" w:eastAsia="zh-CN"/>
        </w:rPr>
        <w:t>突出服务保障，在工作创新中展现新作为</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注重加强工作创新，努力推动退役军人工作持续健康发展。一是依托退役军人服务体系建设，在街道、社区退役军人服务站打造多功能服务大厅，配设退役军人之家、阅览室、档案室、谈心谈话室等；加强政治文化建设，悬挂英模人物、最美退役军人等，切实营造尊崇氛围。全区38个退役军人服务站也按照“五有”保障，加强软硬环境建设，努力打造退役军人之家。二是贯彻深入落实习近平总书记关于做好双拥工作、加强军政军民团结的重要指示精神，不断发扬拥军优属、拥政爱民光荣传统，带着责任和感情，尽心尽力做好新时代退役军人和双拥工作，为黄石市创建省级双拥模范城出一份力、献一份策。三是借助春节走访慰问、疫情防控工作，大力开展入户走访、座谈等，传达党和政府对退役军人的关心和关怀，通过了解其家庭状况、生产生活情况、主要信访诉求、有效稳定了退役军人情绪，全力维护了退役军人合法权益，退役军人信访问题大幅下降。1-11月份，共协调解决安置遗留问题9件，使用化解资金29.37万元；按照退役军人解“四难”政策，共计救助困难退役军人19人，救助金额4.3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5.</w:t>
      </w:r>
      <w:r>
        <w:rPr>
          <w:rFonts w:hint="eastAsia" w:asciiTheme="minorEastAsia" w:hAnsiTheme="minorEastAsia" w:eastAsiaTheme="minorEastAsia" w:cstheme="minorEastAsia"/>
          <w:b w:val="0"/>
          <w:bCs w:val="0"/>
          <w:sz w:val="28"/>
          <w:szCs w:val="28"/>
          <w:lang w:val="en-US" w:eastAsia="zh-CN"/>
        </w:rPr>
        <w:t>突出自身建设，在夯实党建根基中提升工作成效</w:t>
      </w:r>
      <w:r>
        <w:rPr>
          <w:rFonts w:hint="eastAsia" w:asciiTheme="minorEastAsia" w:hAnsi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val="en-US" w:eastAsia="zh-CN"/>
        </w:rPr>
        <w:t>按照“党建引领”的工作目标，扎实开展党建工作，党员干部综合素质不断提高，服务水平持续提升。一是工作目标化，党建、退役军人事务工作融合发展，研究制定2020年党建工作计划，找准党建工作与业务工作的切入点，围绕业务工作，落实保障措施，把业务工作的难点，作为党建工作的重点，实现了“抓党建、促业务、共发展”的良好效果。二是制度常态化，党建活动日趋完善，严格执行“三会一课”制度，精心开展支部主题党日活动，结合双拥慰问、星级创建、“老兵故事会”等业务工作，创新党建活动开展形式；三是定期开展廉政教育，在重要时间节点，通过谈心谈话、警示教育、观看教育片等形式，自觉提升党员干部防腐拒变的能力，紧绷“廉政弦”，狠刹“四风”反弹，在全局上下营造了风清气正的工作环境和氛围。</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line="560" w:lineRule="exact"/>
        <w:ind w:firstLine="420" w:firstLineChars="150"/>
        <w:jc w:val="left"/>
        <w:textAlignment w:val="auto"/>
        <w:rPr>
          <w:rFonts w:hint="eastAsia" w:asciiTheme="minorEastAsia" w:hAnsiTheme="minorEastAsia" w:cstheme="minorEastAsia"/>
          <w:kern w:val="0"/>
          <w:sz w:val="28"/>
          <w:szCs w:val="28"/>
          <w:lang w:eastAsia="zh-CN"/>
        </w:rPr>
      </w:pPr>
      <w:r>
        <w:rPr>
          <w:rFonts w:hint="eastAsia" w:asciiTheme="minorEastAsia" w:hAnsiTheme="minorEastAsia" w:cstheme="minorEastAsia"/>
          <w:kern w:val="0"/>
          <w:sz w:val="28"/>
          <w:szCs w:val="28"/>
          <w:lang w:eastAsia="zh-CN"/>
        </w:rPr>
        <w:t>人员情况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cstheme="minorEastAsia"/>
          <w:b w:val="0"/>
          <w:bCs w:val="0"/>
          <w:kern w:val="2"/>
          <w:sz w:val="28"/>
          <w:szCs w:val="28"/>
          <w:lang w:val="en-US" w:eastAsia="zh-CN" w:bidi="ar-SA"/>
        </w:rPr>
        <w:t>黄石港区退役军人事务局现实有人员10名，其中在职在编干部5名，退役士兵同工同酬（参照事业编）3名，聘用人员2名。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黄石港区退役军人事务局核定行政编制数2名，部门领导职数1正1副</w:t>
      </w:r>
      <w:r>
        <w:rPr>
          <w:rFonts w:hint="eastAsia" w:asciiTheme="minorEastAsia" w:hAnsiTheme="minorEastAsia" w:cstheme="minorEastAsia"/>
          <w:b w:val="0"/>
          <w:bCs w:val="0"/>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黄石港区退役军人服务中心，核定全额拨款事业编制3名，核领导职数1正</w:t>
      </w:r>
      <w:r>
        <w:rPr>
          <w:rFonts w:hint="eastAsia" w:asciiTheme="minorEastAsia" w:hAnsiTheme="minorEastAsia" w:cstheme="minorEastAsia"/>
          <w:b w:val="0"/>
          <w:bCs w:val="0"/>
          <w:kern w:val="2"/>
          <w:sz w:val="28"/>
          <w:szCs w:val="28"/>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根据市政府专题会议纪要（3）和区政府第44次常务会，对符合政策，有安置介绍信、且在2011年11月1号之前退役的3名退役士兵（谭凯、张乐、周新慧）调入到区退役军人事务局工作，解决其同工同酬待遇安置遗留问题，参考事业编制、纳入财政预算。</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1"/>
        <w:jc w:val="left"/>
        <w:textAlignment w:val="auto"/>
        <w:rPr>
          <w:rFonts w:hint="eastAsia" w:asciiTheme="minorEastAsia" w:hAnsiTheme="minorEastAsia" w:eastAsiaTheme="minorEastAsia" w:cstheme="minorEastAsia"/>
          <w:kern w:val="0"/>
          <w:sz w:val="30"/>
          <w:szCs w:val="30"/>
        </w:rPr>
      </w:pPr>
    </w:p>
    <w:p>
      <w:pPr>
        <w:pStyle w:val="6"/>
        <w:widowControl/>
        <w:numPr>
          <w:ilvl w:val="0"/>
          <w:numId w:val="2"/>
        </w:numPr>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lang w:eastAsia="zh-CN"/>
        </w:rPr>
        <w:t>部门20</w:t>
      </w:r>
      <w:r>
        <w:rPr>
          <w:rStyle w:val="9"/>
          <w:rFonts w:hint="eastAsia" w:ascii="微软雅黑" w:hAnsi="微软雅黑" w:eastAsia="微软雅黑" w:cs="微软雅黑"/>
          <w:color w:val="333333"/>
          <w:shd w:val="clear" w:color="auto" w:fill="FFFFFF"/>
          <w:lang w:val="en-US" w:eastAsia="zh-CN"/>
        </w:rPr>
        <w:t>20</w:t>
      </w:r>
      <w:r>
        <w:rPr>
          <w:rStyle w:val="9"/>
          <w:rFonts w:hint="eastAsia" w:ascii="微软雅黑" w:hAnsi="微软雅黑" w:eastAsia="微软雅黑" w:cs="微软雅黑"/>
          <w:color w:val="333333"/>
          <w:shd w:val="clear" w:color="auto" w:fill="FFFFFF"/>
          <w:lang w:eastAsia="zh-CN"/>
        </w:rPr>
        <w:t>年</w:t>
      </w:r>
      <w:r>
        <w:rPr>
          <w:rStyle w:val="9"/>
          <w:rFonts w:hint="eastAsia" w:ascii="微软雅黑" w:hAnsi="微软雅黑" w:eastAsia="微软雅黑" w:cs="微软雅黑"/>
          <w:color w:val="333333"/>
          <w:shd w:val="clear" w:color="auto" w:fill="FFFFFF"/>
        </w:rPr>
        <w:t>部门决算表</w:t>
      </w:r>
    </w:p>
    <w:p/>
    <w:tbl>
      <w:tblPr>
        <w:tblStyle w:val="7"/>
        <w:tblW w:w="14044" w:type="dxa"/>
        <w:jc w:val="center"/>
        <w:shd w:val="clear" w:color="auto" w:fill="auto"/>
        <w:tblLayout w:type="fixed"/>
        <w:tblCellMar>
          <w:top w:w="0" w:type="dxa"/>
          <w:left w:w="108" w:type="dxa"/>
          <w:bottom w:w="0" w:type="dxa"/>
          <w:right w:w="108" w:type="dxa"/>
        </w:tblCellMar>
      </w:tblPr>
      <w:tblGrid>
        <w:gridCol w:w="4419"/>
        <w:gridCol w:w="797"/>
        <w:gridCol w:w="1599"/>
        <w:gridCol w:w="4160"/>
        <w:gridCol w:w="797"/>
        <w:gridCol w:w="2272"/>
      </w:tblGrid>
      <w:tr>
        <w:tblPrEx>
          <w:shd w:val="clear" w:color="auto" w:fill="auto"/>
          <w:tblCellMar>
            <w:top w:w="0" w:type="dxa"/>
            <w:left w:w="108" w:type="dxa"/>
            <w:bottom w:w="0" w:type="dxa"/>
            <w:right w:w="108" w:type="dxa"/>
          </w:tblCellMar>
        </w:tblPrEx>
        <w:trPr>
          <w:trHeight w:val="375" w:hRule="atLeast"/>
          <w:jc w:val="center"/>
        </w:trPr>
        <w:tc>
          <w:tcPr>
            <w:tcW w:w="14044" w:type="dxa"/>
            <w:gridSpan w:val="6"/>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300" w:hRule="atLeast"/>
          <w:jc w:val="center"/>
        </w:trPr>
        <w:tc>
          <w:tcPr>
            <w:tcW w:w="441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72"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CellMar>
            <w:top w:w="0" w:type="dxa"/>
            <w:left w:w="108" w:type="dxa"/>
            <w:bottom w:w="0" w:type="dxa"/>
            <w:right w:w="108" w:type="dxa"/>
          </w:tblCellMar>
        </w:tblPrEx>
        <w:trPr>
          <w:trHeight w:val="300" w:hRule="atLeast"/>
          <w:jc w:val="center"/>
        </w:trPr>
        <w:tc>
          <w:tcPr>
            <w:tcW w:w="441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部门：黄石港区退役军人事务局</w:t>
            </w:r>
          </w:p>
        </w:tc>
        <w:tc>
          <w:tcPr>
            <w:tcW w:w="79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99"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416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9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72"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681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7229"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2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97"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9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97"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27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445.88</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1,841.41</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1,841.41</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1,841.41</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9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16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272"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4419"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97"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1,841.41</w:t>
            </w:r>
          </w:p>
        </w:tc>
        <w:tc>
          <w:tcPr>
            <w:tcW w:w="416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9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27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1,841.41</w:t>
            </w:r>
          </w:p>
        </w:tc>
      </w:tr>
      <w:tr>
        <w:tblPrEx>
          <w:tblCellMar>
            <w:top w:w="0" w:type="dxa"/>
            <w:left w:w="108" w:type="dxa"/>
            <w:bottom w:w="0" w:type="dxa"/>
            <w:right w:w="108" w:type="dxa"/>
          </w:tblCellMar>
        </w:tblPrEx>
        <w:trPr>
          <w:trHeight w:val="300" w:hRule="atLeast"/>
          <w:jc w:val="center"/>
        </w:trPr>
        <w:tc>
          <w:tcPr>
            <w:tcW w:w="14044"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
    <w:tbl>
      <w:tblPr>
        <w:tblStyle w:val="7"/>
        <w:tblW w:w="13966" w:type="dxa"/>
        <w:jc w:val="center"/>
        <w:shd w:val="clear" w:color="auto" w:fill="auto"/>
        <w:tblLayout w:type="fixed"/>
        <w:tblCellMar>
          <w:top w:w="0" w:type="dxa"/>
          <w:left w:w="108" w:type="dxa"/>
          <w:bottom w:w="0" w:type="dxa"/>
          <w:right w:w="108" w:type="dxa"/>
        </w:tblCellMar>
      </w:tblPr>
      <w:tblGrid>
        <w:gridCol w:w="3296"/>
        <w:gridCol w:w="222"/>
        <w:gridCol w:w="222"/>
        <w:gridCol w:w="3816"/>
        <w:gridCol w:w="1023"/>
        <w:gridCol w:w="1151"/>
        <w:gridCol w:w="620"/>
        <w:gridCol w:w="620"/>
        <w:gridCol w:w="620"/>
        <w:gridCol w:w="620"/>
        <w:gridCol w:w="1756"/>
      </w:tblGrid>
      <w:tr>
        <w:tblPrEx>
          <w:shd w:val="clear" w:color="auto" w:fill="auto"/>
          <w:tblCellMar>
            <w:top w:w="0" w:type="dxa"/>
            <w:left w:w="108" w:type="dxa"/>
            <w:bottom w:w="0" w:type="dxa"/>
            <w:right w:w="108" w:type="dxa"/>
          </w:tblCellMar>
        </w:tblPrEx>
        <w:trPr>
          <w:trHeight w:val="375" w:hRule="atLeast"/>
          <w:jc w:val="center"/>
        </w:trPr>
        <w:tc>
          <w:tcPr>
            <w:tcW w:w="13966" w:type="dxa"/>
            <w:gridSpan w:val="11"/>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部门：黄石港区退役军人事务局</w:t>
            </w: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02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5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75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2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1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CellMar>
            <w:top w:w="0" w:type="dxa"/>
            <w:left w:w="108" w:type="dxa"/>
            <w:bottom w:w="0" w:type="dxa"/>
            <w:right w:w="108" w:type="dxa"/>
          </w:tblCellMar>
        </w:tblPrEx>
        <w:trPr>
          <w:trHeight w:val="300" w:hRule="atLeast"/>
          <w:jc w:val="center"/>
        </w:trPr>
        <w:tc>
          <w:tcPr>
            <w:tcW w:w="37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8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7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7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75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0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7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300" w:hRule="atLeast"/>
          <w:jc w:val="center"/>
        </w:trPr>
        <w:tc>
          <w:tcPr>
            <w:tcW w:w="75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1,841.41</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1,395.53</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445.88</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1,841.41</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1,395.53</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445.88</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人力资源和社会保障管理事务</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67.86</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67.86</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2080199</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其他人力资源和社会保障管理事务支出</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67.86</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67.86</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837.01</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724.00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113.01</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伤残抚恤</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456.00</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2080805</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义务兵优待</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216.00</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2080899</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165.01</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113.01</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20809</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退役安置</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787.29</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536.58</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250.71</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2080901</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705.71</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250.71</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2080904</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退役士兵管理教育</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20828</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退役军人管理事务</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149.25</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134.95</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14.31</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2082801</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149.25</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134.95</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14.31</w:t>
            </w:r>
          </w:p>
        </w:tc>
      </w:tr>
      <w:tr>
        <w:tblPrEx>
          <w:tblCellMar>
            <w:top w:w="0" w:type="dxa"/>
            <w:left w:w="108" w:type="dxa"/>
            <w:bottom w:w="0" w:type="dxa"/>
            <w:right w:w="108" w:type="dxa"/>
          </w:tblCellMar>
        </w:tblPrEx>
        <w:trPr>
          <w:trHeight w:val="300" w:hRule="atLeast"/>
          <w:jc w:val="center"/>
        </w:trPr>
        <w:tc>
          <w:tcPr>
            <w:tcW w:w="13966"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
      <w:pPr>
        <w:jc w:val="center"/>
      </w:pPr>
    </w:p>
    <w:tbl>
      <w:tblPr>
        <w:tblStyle w:val="7"/>
        <w:tblW w:w="13346" w:type="dxa"/>
        <w:jc w:val="center"/>
        <w:shd w:val="clear" w:color="auto" w:fill="auto"/>
        <w:tblLayout w:type="fixed"/>
        <w:tblCellMar>
          <w:top w:w="0" w:type="dxa"/>
          <w:left w:w="108" w:type="dxa"/>
          <w:bottom w:w="0" w:type="dxa"/>
          <w:right w:w="108" w:type="dxa"/>
        </w:tblCellMar>
      </w:tblPr>
      <w:tblGrid>
        <w:gridCol w:w="3296"/>
        <w:gridCol w:w="222"/>
        <w:gridCol w:w="222"/>
        <w:gridCol w:w="3816"/>
        <w:gridCol w:w="1151"/>
        <w:gridCol w:w="1023"/>
        <w:gridCol w:w="620"/>
        <w:gridCol w:w="620"/>
        <w:gridCol w:w="620"/>
        <w:gridCol w:w="1756"/>
      </w:tblGrid>
      <w:tr>
        <w:tblPrEx>
          <w:shd w:val="clear" w:color="auto" w:fill="auto"/>
          <w:tblCellMar>
            <w:top w:w="0" w:type="dxa"/>
            <w:left w:w="108" w:type="dxa"/>
            <w:bottom w:w="0" w:type="dxa"/>
            <w:right w:w="108" w:type="dxa"/>
          </w:tblCellMar>
        </w:tblPrEx>
        <w:trPr>
          <w:trHeight w:val="375" w:hRule="atLeast"/>
          <w:jc w:val="center"/>
        </w:trPr>
        <w:tc>
          <w:tcPr>
            <w:tcW w:w="13346"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部门：黄石港区退役军人事务局</w:t>
            </w: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8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02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6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5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75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023"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6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CellMar>
            <w:top w:w="0" w:type="dxa"/>
            <w:left w:w="108" w:type="dxa"/>
            <w:bottom w:w="0" w:type="dxa"/>
            <w:right w:w="108" w:type="dxa"/>
          </w:tblCellMar>
        </w:tblPrEx>
        <w:trPr>
          <w:trHeight w:val="300" w:hRule="atLeast"/>
          <w:jc w:val="center"/>
        </w:trPr>
        <w:tc>
          <w:tcPr>
            <w:tcW w:w="37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8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7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7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8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3"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75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5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5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jc w:val="center"/>
        </w:trPr>
        <w:tc>
          <w:tcPr>
            <w:tcW w:w="75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1,841.41</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1,841.41</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1,841.41</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1,841.41</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20801</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人力资源和社会保障管理事务</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67.86</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67.86</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2080199</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其他人力资源和社会保障管理事务支出</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67.86</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67.86</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837.01</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837.01</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伤残抚恤</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2080805</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义务兵优待</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2080899</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165.01</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165.01</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20809</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退役安置</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787.29</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787.29</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2080901</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705.71</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705.71</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2080904</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退役士兵管理教育</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20828</w:t>
            </w:r>
          </w:p>
        </w:tc>
        <w:tc>
          <w:tcPr>
            <w:tcW w:w="38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退役军人管理事务</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149.25</w:t>
            </w:r>
          </w:p>
        </w:tc>
        <w:tc>
          <w:tcPr>
            <w:tcW w:w="102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149.25</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2082801</w:t>
            </w:r>
          </w:p>
        </w:tc>
        <w:tc>
          <w:tcPr>
            <w:tcW w:w="3816"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1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149.25</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149.25</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6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13346" w:type="dxa"/>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Pr>
        <w:jc w:val="both"/>
      </w:pPr>
    </w:p>
    <w:p>
      <w:pPr>
        <w:jc w:val="center"/>
      </w:pPr>
    </w:p>
    <w:p/>
    <w:tbl>
      <w:tblPr>
        <w:tblStyle w:val="7"/>
        <w:tblW w:w="15135" w:type="dxa"/>
        <w:jc w:val="center"/>
        <w:shd w:val="clear" w:color="auto" w:fill="auto"/>
        <w:tblLayout w:type="fixed"/>
        <w:tblCellMar>
          <w:top w:w="0" w:type="dxa"/>
          <w:left w:w="108" w:type="dxa"/>
          <w:bottom w:w="0" w:type="dxa"/>
          <w:right w:w="108" w:type="dxa"/>
        </w:tblCellMar>
      </w:tblPr>
      <w:tblGrid>
        <w:gridCol w:w="3296"/>
        <w:gridCol w:w="569"/>
        <w:gridCol w:w="1320"/>
        <w:gridCol w:w="3653"/>
        <w:gridCol w:w="1151"/>
        <w:gridCol w:w="1016"/>
        <w:gridCol w:w="1446"/>
        <w:gridCol w:w="928"/>
        <w:gridCol w:w="1756"/>
      </w:tblGrid>
      <w:tr>
        <w:tblPrEx>
          <w:shd w:val="clear" w:color="auto" w:fill="auto"/>
          <w:tblCellMar>
            <w:top w:w="0" w:type="dxa"/>
            <w:left w:w="108" w:type="dxa"/>
            <w:bottom w:w="0" w:type="dxa"/>
            <w:right w:w="108" w:type="dxa"/>
          </w:tblCellMar>
        </w:tblPrEx>
        <w:trPr>
          <w:trHeight w:val="375" w:hRule="atLeast"/>
          <w:jc w:val="center"/>
        </w:trPr>
        <w:tc>
          <w:tcPr>
            <w:tcW w:w="15135"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5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4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5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部门：黄石港区退役军人事务局</w:t>
            </w:r>
          </w:p>
        </w:tc>
        <w:tc>
          <w:tcPr>
            <w:tcW w:w="569"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2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653"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51"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0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4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92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5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5185"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950"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285" w:hRule="atLeast"/>
          <w:jc w:val="center"/>
        </w:trPr>
        <w:tc>
          <w:tcPr>
            <w:tcW w:w="329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3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653" w:type="dxa"/>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5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92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7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CellMar>
            <w:top w:w="0" w:type="dxa"/>
            <w:left w:w="108" w:type="dxa"/>
            <w:bottom w:w="0" w:type="dxa"/>
            <w:right w:w="108" w:type="dxa"/>
          </w:tblCellMar>
        </w:tblPrEx>
        <w:trPr>
          <w:trHeight w:val="600" w:hRule="atLeast"/>
          <w:jc w:val="center"/>
        </w:trPr>
        <w:tc>
          <w:tcPr>
            <w:tcW w:w="3296" w:type="dxa"/>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53" w:type="dxa"/>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3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53" w:type="dxa"/>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51"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0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5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5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653"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1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4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92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5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29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36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15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14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1,395.53</w:t>
            </w:r>
          </w:p>
        </w:tc>
        <w:tc>
          <w:tcPr>
            <w:tcW w:w="9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13379" w:type="dxa"/>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7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
    <w:tbl>
      <w:tblPr>
        <w:tblStyle w:val="7"/>
        <w:tblW w:w="11647" w:type="dxa"/>
        <w:jc w:val="center"/>
        <w:shd w:val="clear" w:color="auto" w:fill="auto"/>
        <w:tblLayout w:type="fixed"/>
        <w:tblCellMar>
          <w:top w:w="0" w:type="dxa"/>
          <w:left w:w="108" w:type="dxa"/>
          <w:bottom w:w="0" w:type="dxa"/>
          <w:right w:w="108" w:type="dxa"/>
        </w:tblCellMar>
      </w:tblPr>
      <w:tblGrid>
        <w:gridCol w:w="3296"/>
        <w:gridCol w:w="222"/>
        <w:gridCol w:w="222"/>
        <w:gridCol w:w="2024"/>
        <w:gridCol w:w="1856"/>
        <w:gridCol w:w="1781"/>
        <w:gridCol w:w="2246"/>
      </w:tblGrid>
      <w:tr>
        <w:tblPrEx>
          <w:shd w:val="clear" w:color="auto" w:fill="auto"/>
          <w:tblCellMar>
            <w:top w:w="0" w:type="dxa"/>
            <w:left w:w="108" w:type="dxa"/>
            <w:bottom w:w="0" w:type="dxa"/>
            <w:right w:w="108" w:type="dxa"/>
          </w:tblCellMar>
        </w:tblPrEx>
        <w:trPr>
          <w:trHeight w:val="375" w:hRule="atLeast"/>
          <w:jc w:val="center"/>
        </w:trPr>
        <w:tc>
          <w:tcPr>
            <w:tcW w:w="11647"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02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46"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CellMar>
            <w:top w:w="0" w:type="dxa"/>
            <w:left w:w="108" w:type="dxa"/>
            <w:bottom w:w="0" w:type="dxa"/>
            <w:right w:w="108" w:type="dxa"/>
          </w:tblCellMar>
        </w:tblPrEx>
        <w:trPr>
          <w:trHeight w:val="300" w:hRule="atLeast"/>
          <w:jc w:val="center"/>
        </w:trPr>
        <w:tc>
          <w:tcPr>
            <w:tcW w:w="329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部门：黄石港区退役军人事务局</w:t>
            </w: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2"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024"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85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81"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24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57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88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CellMar>
            <w:top w:w="0" w:type="dxa"/>
            <w:left w:w="108" w:type="dxa"/>
            <w:bottom w:w="0" w:type="dxa"/>
            <w:right w:w="108" w:type="dxa"/>
          </w:tblCellMar>
        </w:tblPrEx>
        <w:trPr>
          <w:trHeight w:val="300" w:hRule="atLeast"/>
          <w:jc w:val="center"/>
        </w:trPr>
        <w:tc>
          <w:tcPr>
            <w:tcW w:w="37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024"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78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2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270" w:hRule="atLeast"/>
          <w:jc w:val="center"/>
        </w:trPr>
        <w:tc>
          <w:tcPr>
            <w:tcW w:w="37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37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024"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8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57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00" w:hRule="atLeast"/>
          <w:jc w:val="center"/>
        </w:trPr>
        <w:tc>
          <w:tcPr>
            <w:tcW w:w="57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1,395.53</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1,395.53</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02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1,395.53</w:t>
            </w:r>
          </w:p>
        </w:tc>
        <w:tc>
          <w:tcPr>
            <w:tcW w:w="17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1,395.53</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202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724.00</w:t>
            </w:r>
          </w:p>
        </w:tc>
        <w:tc>
          <w:tcPr>
            <w:tcW w:w="17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724.00</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伤残抚恤</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456.00</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456.00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2080805</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义务兵优待</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216.00</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2080899</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20809</w:t>
            </w:r>
          </w:p>
        </w:tc>
        <w:tc>
          <w:tcPr>
            <w:tcW w:w="202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退役安置</w:t>
            </w:r>
          </w:p>
        </w:tc>
        <w:tc>
          <w:tcPr>
            <w:tcW w:w="1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536.58</w:t>
            </w:r>
          </w:p>
        </w:tc>
        <w:tc>
          <w:tcPr>
            <w:tcW w:w="17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536.58</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2080901</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455.00</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455.00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2080904</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退役士兵管理教育</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20828</w:t>
            </w:r>
          </w:p>
        </w:tc>
        <w:tc>
          <w:tcPr>
            <w:tcW w:w="202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退役军人管理事务</w:t>
            </w:r>
          </w:p>
        </w:tc>
        <w:tc>
          <w:tcPr>
            <w:tcW w:w="18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134.95</w:t>
            </w:r>
          </w:p>
        </w:tc>
        <w:tc>
          <w:tcPr>
            <w:tcW w:w="178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134.95</w:t>
            </w:r>
          </w:p>
        </w:tc>
        <w:tc>
          <w:tcPr>
            <w:tcW w:w="224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37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2082801</w:t>
            </w:r>
          </w:p>
        </w:tc>
        <w:tc>
          <w:tcPr>
            <w:tcW w:w="2024" w:type="dxa"/>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8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134.95</w:t>
            </w:r>
          </w:p>
        </w:tc>
        <w:tc>
          <w:tcPr>
            <w:tcW w:w="178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134.95</w:t>
            </w:r>
          </w:p>
        </w:tc>
        <w:tc>
          <w:tcPr>
            <w:tcW w:w="224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11647" w:type="dxa"/>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
    <w:p/>
    <w:tbl>
      <w:tblPr>
        <w:tblStyle w:val="7"/>
        <w:tblW w:w="15270" w:type="dxa"/>
        <w:jc w:val="center"/>
        <w:shd w:val="clear" w:color="auto" w:fill="auto"/>
        <w:tblLayout w:type="fixed"/>
        <w:tblCellMar>
          <w:top w:w="0" w:type="dxa"/>
          <w:left w:w="108" w:type="dxa"/>
          <w:bottom w:w="0" w:type="dxa"/>
          <w:right w:w="108" w:type="dxa"/>
        </w:tblCellMar>
      </w:tblPr>
      <w:tblGrid>
        <w:gridCol w:w="716"/>
        <w:gridCol w:w="3345"/>
        <w:gridCol w:w="1048"/>
        <w:gridCol w:w="735"/>
        <w:gridCol w:w="2340"/>
        <w:gridCol w:w="1016"/>
        <w:gridCol w:w="850"/>
        <w:gridCol w:w="4140"/>
        <w:gridCol w:w="1080"/>
      </w:tblGrid>
      <w:tr>
        <w:tblPrEx>
          <w:shd w:val="clear" w:color="auto" w:fill="auto"/>
          <w:tblCellMar>
            <w:top w:w="0" w:type="dxa"/>
            <w:left w:w="108" w:type="dxa"/>
            <w:bottom w:w="0" w:type="dxa"/>
            <w:right w:w="108" w:type="dxa"/>
          </w:tblCellMar>
        </w:tblPrEx>
        <w:trPr>
          <w:trHeight w:val="375" w:hRule="atLeast"/>
          <w:jc w:val="center"/>
        </w:trPr>
        <w:tc>
          <w:tcPr>
            <w:tcW w:w="15270" w:type="dxa"/>
            <w:gridSpan w:val="9"/>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CellMar>
            <w:top w:w="0" w:type="dxa"/>
            <w:left w:w="108" w:type="dxa"/>
            <w:bottom w:w="0" w:type="dxa"/>
            <w:right w:w="108" w:type="dxa"/>
          </w:tblCellMar>
        </w:tblPrEx>
        <w:trPr>
          <w:trHeight w:val="300" w:hRule="atLeast"/>
          <w:jc w:val="center"/>
        </w:trPr>
        <w:tc>
          <w:tcPr>
            <w:tcW w:w="15270" w:type="dxa"/>
            <w:gridSpan w:val="9"/>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300" w:hRule="atLeast"/>
          <w:jc w:val="center"/>
        </w:trPr>
        <w:tc>
          <w:tcPr>
            <w:tcW w:w="4061"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部门：黄石港区退役军人事务局</w:t>
            </w:r>
          </w:p>
        </w:tc>
        <w:tc>
          <w:tcPr>
            <w:tcW w:w="1048"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35"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34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16"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85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5220"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300" w:hRule="atLeast"/>
          <w:jc w:val="center"/>
        </w:trPr>
        <w:tc>
          <w:tcPr>
            <w:tcW w:w="5109"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10161"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CellMar>
            <w:top w:w="0" w:type="dxa"/>
            <w:left w:w="108" w:type="dxa"/>
            <w:bottom w:w="0" w:type="dxa"/>
            <w:right w:w="108" w:type="dxa"/>
          </w:tblCellMar>
        </w:tblPrEx>
        <w:trPr>
          <w:trHeight w:val="300" w:hRule="atLeast"/>
          <w:jc w:val="center"/>
        </w:trPr>
        <w:tc>
          <w:tcPr>
            <w:tcW w:w="71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3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4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1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8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14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8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jc w:val="center"/>
        </w:trPr>
        <w:tc>
          <w:tcPr>
            <w:tcW w:w="716"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4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14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1,283.45</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28.64</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27.03</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0.26</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0.01</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0.66</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0.73</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0.92</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8.53</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0.11</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8.13</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1,261.79</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0.13</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41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14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3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14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71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345"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3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3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0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0.14</w:t>
            </w:r>
          </w:p>
        </w:tc>
        <w:tc>
          <w:tcPr>
            <w:tcW w:w="8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414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jc w:val="center"/>
        </w:trPr>
        <w:tc>
          <w:tcPr>
            <w:tcW w:w="4061"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0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111.90</w:t>
            </w:r>
          </w:p>
        </w:tc>
        <w:tc>
          <w:tcPr>
            <w:tcW w:w="9081"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0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1,283.63</w:t>
            </w:r>
          </w:p>
        </w:tc>
      </w:tr>
      <w:tr>
        <w:tblPrEx>
          <w:tblCellMar>
            <w:top w:w="0" w:type="dxa"/>
            <w:left w:w="108" w:type="dxa"/>
            <w:bottom w:w="0" w:type="dxa"/>
            <w:right w:w="108" w:type="dxa"/>
          </w:tblCellMar>
        </w:tblPrEx>
        <w:trPr>
          <w:trHeight w:val="300" w:hRule="atLeast"/>
          <w:jc w:val="center"/>
        </w:trPr>
        <w:tc>
          <w:tcPr>
            <w:tcW w:w="15270" w:type="dxa"/>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
    <w:tbl>
      <w:tblPr>
        <w:tblStyle w:val="7"/>
        <w:tblW w:w="14304" w:type="dxa"/>
        <w:tblInd w:w="93" w:type="dxa"/>
        <w:shd w:val="clear" w:color="auto" w:fill="auto"/>
        <w:tblLayout w:type="fixed"/>
        <w:tblCellMar>
          <w:top w:w="0" w:type="dxa"/>
          <w:left w:w="108" w:type="dxa"/>
          <w:bottom w:w="0" w:type="dxa"/>
          <w:right w:w="108" w:type="dxa"/>
        </w:tblCellMar>
      </w:tblPr>
      <w:tblGrid>
        <w:gridCol w:w="990"/>
        <w:gridCol w:w="1020"/>
        <w:gridCol w:w="1080"/>
        <w:gridCol w:w="1407"/>
        <w:gridCol w:w="1407"/>
        <w:gridCol w:w="1110"/>
        <w:gridCol w:w="1065"/>
        <w:gridCol w:w="1200"/>
        <w:gridCol w:w="1110"/>
        <w:gridCol w:w="1260"/>
        <w:gridCol w:w="1200"/>
        <w:gridCol w:w="1455"/>
      </w:tblGrid>
      <w:tr>
        <w:tblPrEx>
          <w:shd w:val="clear" w:color="auto" w:fill="auto"/>
          <w:tblCellMar>
            <w:top w:w="0" w:type="dxa"/>
            <w:left w:w="108" w:type="dxa"/>
            <w:bottom w:w="0" w:type="dxa"/>
            <w:right w:w="108" w:type="dxa"/>
          </w:tblCellMar>
        </w:tblPrEx>
        <w:trPr>
          <w:trHeight w:val="555" w:hRule="atLeast"/>
        </w:trPr>
        <w:tc>
          <w:tcPr>
            <w:tcW w:w="14304" w:type="dxa"/>
            <w:gridSpan w:val="1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CellMar>
            <w:top w:w="0" w:type="dxa"/>
            <w:left w:w="108" w:type="dxa"/>
            <w:bottom w:w="0" w:type="dxa"/>
            <w:right w:w="108" w:type="dxa"/>
          </w:tblCellMar>
        </w:tblPrEx>
        <w:trPr>
          <w:trHeight w:val="300" w:hRule="atLeast"/>
        </w:trPr>
        <w:tc>
          <w:tcPr>
            <w:tcW w:w="14304" w:type="dxa"/>
            <w:gridSpan w:val="1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CellMar>
            <w:top w:w="0" w:type="dxa"/>
            <w:left w:w="108" w:type="dxa"/>
            <w:bottom w:w="0" w:type="dxa"/>
            <w:right w:w="108" w:type="dxa"/>
          </w:tblCellMar>
        </w:tblPrEx>
        <w:trPr>
          <w:trHeight w:val="300" w:hRule="atLeast"/>
        </w:trPr>
        <w:tc>
          <w:tcPr>
            <w:tcW w:w="4497"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部门：黄石港区退役军人事务局</w:t>
            </w:r>
          </w:p>
        </w:tc>
        <w:tc>
          <w:tcPr>
            <w:tcW w:w="3582"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20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11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6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55"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300" w:hRule="atLeast"/>
        </w:trPr>
        <w:tc>
          <w:tcPr>
            <w:tcW w:w="7014" w:type="dxa"/>
            <w:gridSpan w:val="6"/>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290"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300" w:hRule="atLeast"/>
        </w:trPr>
        <w:tc>
          <w:tcPr>
            <w:tcW w:w="990"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2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894"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06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57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45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CellMar>
            <w:top w:w="0" w:type="dxa"/>
            <w:left w:w="108" w:type="dxa"/>
            <w:bottom w:w="0" w:type="dxa"/>
            <w:right w:w="108" w:type="dxa"/>
          </w:tblCellMar>
        </w:tblPrEx>
        <w:trPr>
          <w:trHeight w:val="600" w:hRule="atLeast"/>
        </w:trPr>
        <w:tc>
          <w:tcPr>
            <w:tcW w:w="990"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2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6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2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45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990"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6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5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300" w:hRule="atLeast"/>
        </w:trPr>
        <w:tc>
          <w:tcPr>
            <w:tcW w:w="990"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2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8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0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1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6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6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5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CellMar>
            <w:top w:w="0" w:type="dxa"/>
            <w:left w:w="108" w:type="dxa"/>
            <w:bottom w:w="0" w:type="dxa"/>
            <w:right w:w="108" w:type="dxa"/>
          </w:tblCellMar>
        </w:tblPrEx>
        <w:trPr>
          <w:trHeight w:val="930" w:hRule="atLeast"/>
        </w:trPr>
        <w:tc>
          <w:tcPr>
            <w:tcW w:w="14304"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tbl>
      <w:tblPr>
        <w:tblStyle w:val="7"/>
        <w:tblpPr w:leftFromText="180" w:rightFromText="180" w:vertAnchor="text" w:horzAnchor="page" w:tblpX="1378" w:tblpY="554"/>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黄石港区退役军人事务局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6"/>
        <w:widowControl/>
        <w:numPr>
          <w:ilvl w:val="0"/>
          <w:numId w:val="0"/>
        </w:numPr>
        <w:spacing w:before="76" w:beforeAutospacing="0" w:after="76" w:afterAutospacing="0" w:line="450" w:lineRule="atLeast"/>
        <w:rPr>
          <w:rStyle w:val="9"/>
          <w:rFonts w:ascii="微软雅黑" w:hAnsi="微软雅黑" w:eastAsia="微软雅黑" w:cs="微软雅黑"/>
          <w:color w:val="333333"/>
          <w:shd w:val="clear" w:color="auto" w:fill="FFFFFF"/>
        </w:rPr>
      </w:pPr>
    </w:p>
    <w:p>
      <w:pPr>
        <w:pStyle w:val="6"/>
        <w:widowControl/>
        <w:numPr>
          <w:ilvl w:val="0"/>
          <w:numId w:val="0"/>
        </w:numPr>
        <w:spacing w:before="76" w:beforeAutospacing="0" w:after="76" w:afterAutospacing="0" w:line="450" w:lineRule="atLeast"/>
        <w:ind w:firstLine="480" w:firstLineChars="20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lang w:val="en-US" w:eastAsia="zh-CN"/>
        </w:rPr>
        <w:t xml:space="preserve">第三部分 </w:t>
      </w:r>
      <w:r>
        <w:rPr>
          <w:rStyle w:val="9"/>
          <w:rFonts w:hint="eastAsia" w:ascii="微软雅黑" w:hAnsi="微软雅黑" w:eastAsia="微软雅黑" w:cs="微软雅黑"/>
          <w:color w:val="333333"/>
          <w:shd w:val="clear" w:color="auto" w:fill="FFFFFF"/>
          <w:lang w:eastAsia="zh-CN"/>
        </w:rPr>
        <w:t>20</w:t>
      </w:r>
      <w:r>
        <w:rPr>
          <w:rStyle w:val="9"/>
          <w:rFonts w:hint="eastAsia" w:ascii="微软雅黑" w:hAnsi="微软雅黑" w:eastAsia="微软雅黑" w:cs="微软雅黑"/>
          <w:color w:val="333333"/>
          <w:shd w:val="clear" w:color="auto" w:fill="FFFFFF"/>
          <w:lang w:val="en-US" w:eastAsia="zh-CN"/>
        </w:rPr>
        <w:t>20</w:t>
      </w:r>
      <w:r>
        <w:rPr>
          <w:rStyle w:val="9"/>
          <w:rFonts w:hint="eastAsia" w:ascii="微软雅黑" w:hAnsi="微软雅黑" w:eastAsia="微软雅黑" w:cs="微软雅黑"/>
          <w:color w:val="333333"/>
          <w:shd w:val="clear" w:color="auto" w:fill="FFFFFF"/>
          <w:lang w:eastAsia="zh-CN"/>
        </w:rPr>
        <w:t>年</w:t>
      </w:r>
      <w:r>
        <w:rPr>
          <w:rStyle w:val="9"/>
          <w:rFonts w:hint="eastAsia" w:ascii="微软雅黑" w:hAnsi="微软雅黑" w:eastAsia="微软雅黑" w:cs="微软雅黑"/>
          <w:color w:val="333333"/>
          <w:shd w:val="clear" w:color="auto" w:fill="FFFFFF"/>
        </w:rPr>
        <w:t>部门决算情况说明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50" w:firstLine="562" w:firstLineChars="20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val="en-US" w:eastAsia="zh-CN"/>
        </w:rPr>
        <w:t>一、</w:t>
      </w:r>
      <w:r>
        <w:rPr>
          <w:rFonts w:hint="eastAsia" w:asciiTheme="minorEastAsia" w:hAnsiTheme="minorEastAsia" w:eastAsiaTheme="minorEastAsia" w:cstheme="minorEastAsia"/>
          <w:b/>
          <w:bCs/>
          <w:sz w:val="28"/>
          <w:szCs w:val="28"/>
          <w:shd w:val="clear" w:color="auto" w:fill="FFFFFF"/>
        </w:rPr>
        <w:t>预算执行情况分析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2020年财政收入预算执行数957727元，其中人员经费711039元，公用经费246688元, 2020年财政支出预算执行数957727元，其中人员经费711039元，公用经费246688元,。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2019年财政收入预算执行数245575元，其中人员经费110968元，公用经费134607元, 2019年财政支出预算执行数245575元，其中人员经费110968元，公用经费134607元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cstheme="minorEastAsia"/>
          <w:sz w:val="28"/>
          <w:szCs w:val="28"/>
          <w:shd w:val="clear" w:color="auto" w:fill="FFFFFF"/>
          <w:lang w:eastAsia="zh-CN"/>
        </w:rPr>
        <w:t>（</w:t>
      </w:r>
      <w:r>
        <w:rPr>
          <w:rFonts w:hint="eastAsia" w:asciiTheme="minorEastAsia" w:hAnsiTheme="minorEastAsia" w:cstheme="minorEastAsia"/>
          <w:sz w:val="28"/>
          <w:szCs w:val="28"/>
          <w:shd w:val="clear" w:color="auto" w:fill="FFFFFF"/>
          <w:lang w:val="en-US" w:eastAsia="zh-CN"/>
        </w:rPr>
        <w:t>一</w:t>
      </w:r>
      <w:r>
        <w:rPr>
          <w:rFonts w:hint="eastAsia" w:asciiTheme="minorEastAsia" w:hAnsiTheme="minorEastAsia" w:cstheme="minorEastAsia"/>
          <w:sz w:val="28"/>
          <w:szCs w:val="28"/>
          <w:shd w:val="clear" w:color="auto" w:fill="FFFFFF"/>
          <w:lang w:eastAsia="zh-CN"/>
        </w:rPr>
        <w:t>）</w:t>
      </w:r>
      <w:r>
        <w:rPr>
          <w:rFonts w:hint="eastAsia" w:asciiTheme="minorEastAsia" w:hAnsiTheme="minorEastAsia" w:eastAsiaTheme="minorEastAsia" w:cstheme="minorEastAsia"/>
          <w:sz w:val="28"/>
          <w:szCs w:val="28"/>
          <w:shd w:val="clear" w:color="auto" w:fill="FFFFFF"/>
        </w:rPr>
        <w:t>收入支出与预算对比分析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2020年全年总收入18414114.43元,其中财拨款决算收入13955270.16元,其它收入4458844.27元, 2020年全年决算总支出18414114.43元,其中财拨款决算支出13955270.16元,其它资金支出4458844.27元,2020年财政预算数957727，财拨款决算比预算多12997543.16元,幅度为1357.12%,原因为业务增加。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839" w:leftChars="266" w:hanging="280" w:hangingChars="1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（二）收入支出结构分析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839" w:leftChars="266" w:hanging="280" w:hangingChars="1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2020年全年总收入18414114.43元, 其中财拨款决算收入13955270.16元,其它收入4458844.27元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2020年全年决算总支出18414114.43元,其中财拨款决算支出13955270.16元,其它资金支出4458844.27元。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560" w:leftChars="0" w:hanging="560" w:hangingChars="200"/>
        <w:textAlignment w:val="auto"/>
        <w:rPr>
          <w:rFonts w:hint="eastAsia" w:asciiTheme="minorEastAsia" w:hAnsiTheme="minorEastAsia" w:eastAsiaTheme="minorEastAsia" w:cstheme="minorEastAsia"/>
          <w:sz w:val="28"/>
          <w:szCs w:val="28"/>
          <w:shd w:val="clear" w:color="auto" w:fill="FFFFFF"/>
          <w:lang w:val="en-US" w:eastAsia="zh-CN"/>
        </w:rPr>
      </w:pPr>
      <w:r>
        <w:rPr>
          <w:rFonts w:hint="eastAsia" w:asciiTheme="minorEastAsia" w:hAnsiTheme="minorEastAsia" w:eastAsiaTheme="minorEastAsia" w:cstheme="minorEastAsia"/>
          <w:sz w:val="28"/>
          <w:szCs w:val="28"/>
          <w:shd w:val="clear" w:color="auto" w:fill="FFFFFF"/>
          <w:lang w:val="en-US" w:eastAsia="zh-CN"/>
        </w:rPr>
        <w:t>支出按以下分类说明：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560" w:firstLineChars="20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1、支出功能分类：决算总支18414114.43出元;其中人力资源和社会保障管理事务支出678598.22元，抚恤支出8370100元，退役安置支出7872877.8元，退役军人管理事务支出1492538.41元；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 xml:space="preserve">2、支出性质分类：决算总支出18414114.43元，其中人员经费1184988.07元，公用经费17229126.36元; </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3、支出经济分类：决算总支出18414114.43元，其中工资福利支出1184988.07元，商品服务支出17227326.36元，对个人和家庭的补助支出0元，资本性支出1800元。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（三）支出按经济分类科目分析</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2020年全年总支出18414114.43元，其中工资福利支出1184988.07元，商品服务支出17227326.36元，对个人和家庭的补助支出0元，资本性支出1800元。</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firstLine="0" w:firstLineChars="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二、关于“三公”经费支出说明</w:t>
      </w:r>
      <w:r>
        <w:rPr>
          <w:rFonts w:hint="eastAsia" w:asciiTheme="minorEastAsia" w:hAnsiTheme="minorEastAsia" w:eastAsiaTheme="minorEastAsia" w:cstheme="minorEastAsia"/>
          <w:sz w:val="28"/>
          <w:szCs w:val="28"/>
          <w:shd w:val="clear" w:color="auto" w:fill="FFFFFF"/>
        </w:rPr>
        <w:br w:type="textWrapping"/>
      </w:r>
      <w:r>
        <w:rPr>
          <w:rFonts w:hint="eastAsia" w:asciiTheme="minorEastAsia" w:hAnsiTheme="minorEastAsia" w:eastAsiaTheme="minorEastAsia" w:cstheme="minorEastAsia"/>
          <w:sz w:val="28"/>
          <w:szCs w:val="28"/>
          <w:shd w:val="clear" w:color="auto" w:fill="FFFFFF"/>
        </w:rPr>
        <w:t>2020年“三公”经费决算总支出0元，其中：</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公务车运行维护费0元，年初预算数0元，决算数比预算数减少0元，减少幅度为0%；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公务接待费0元，年初预算数0元，决算数比预算数增加0元，增长幅度为0%；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因公出国（境）费0元，预算数0元，决算数比预算数增加0元，增长幅度为0%；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2019年“三公”经费决算总支出0元，其中：</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公务车运行维护费0元，年初预算数0元，决算数比预算数减少0元，减少幅度为0%；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公务接待费0元，年初预算数0元，决算数比预算数增加0元，增长幅度为0%；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因公出国（境）费0元，预算数0元，决算数比预算数增加0元，增长幅度为0%；</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cstheme="minorEastAsia"/>
          <w:b/>
          <w:bCs/>
          <w:sz w:val="28"/>
          <w:szCs w:val="28"/>
          <w:shd w:val="clear" w:color="auto" w:fill="FFFFFF"/>
          <w:lang w:val="en-US" w:eastAsia="zh-CN"/>
        </w:rPr>
        <w:t>三、</w:t>
      </w:r>
      <w:r>
        <w:rPr>
          <w:rFonts w:hint="eastAsia" w:asciiTheme="minorEastAsia" w:hAnsiTheme="minorEastAsia" w:eastAsiaTheme="minorEastAsia" w:cstheme="minorEastAsia"/>
          <w:b/>
          <w:bCs/>
          <w:sz w:val="28"/>
          <w:szCs w:val="28"/>
          <w:shd w:val="clear" w:color="auto" w:fill="FFFFFF"/>
        </w:rPr>
        <w:t>关于机关运行经费支出说明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2020年机关运行经费支出12836264.85元。2019年机关运行经费支出3067153.05元，较上年增加9769111.8元，增加幅度为318.51%，退役军人事务局本年业务量增加。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lang w:val="en-US" w:eastAsia="zh-CN"/>
        </w:rPr>
        <w:t>四、</w:t>
      </w:r>
      <w:r>
        <w:rPr>
          <w:rFonts w:hint="eastAsia" w:asciiTheme="minorEastAsia" w:hAnsiTheme="minorEastAsia" w:eastAsiaTheme="minorEastAsia" w:cstheme="minorEastAsia"/>
          <w:b/>
          <w:bCs/>
          <w:sz w:val="28"/>
          <w:szCs w:val="28"/>
          <w:shd w:val="clear" w:color="auto" w:fill="FFFFFF"/>
        </w:rPr>
        <w:t>关于政府采购支出说明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2020年政府采购总支出21827元，其中政府采购货物支出11929元，政府采购工程支出0元，政府采购服务支出9898元。</w:t>
      </w:r>
    </w:p>
    <w:p>
      <w:pPr>
        <w:pStyle w:val="12"/>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562" w:firstLineChars="200"/>
        <w:textAlignment w:val="auto"/>
        <w:rPr>
          <w:rFonts w:hint="eastAsia" w:asciiTheme="minorEastAsia" w:hAnsiTheme="minorEastAsia" w:eastAsiaTheme="minorEastAsia" w:cstheme="minorEastAsia"/>
          <w:b/>
          <w:bCs/>
          <w:sz w:val="28"/>
          <w:szCs w:val="28"/>
          <w:shd w:val="clear" w:color="auto" w:fill="FFFFFF"/>
          <w:lang w:val="en-US" w:eastAsia="zh-CN"/>
        </w:rPr>
      </w:pPr>
      <w:r>
        <w:rPr>
          <w:rFonts w:hint="eastAsia" w:asciiTheme="minorEastAsia" w:hAnsiTheme="minorEastAsia" w:eastAsiaTheme="minorEastAsia" w:cstheme="minorEastAsia"/>
          <w:b/>
          <w:bCs/>
          <w:sz w:val="28"/>
          <w:szCs w:val="28"/>
          <w:shd w:val="clear" w:color="auto" w:fill="FFFFFF"/>
          <w:lang w:val="en-US" w:eastAsia="zh-CN"/>
        </w:rPr>
        <w:t>五、</w:t>
      </w:r>
      <w:r>
        <w:rPr>
          <w:rFonts w:hint="eastAsia" w:asciiTheme="minorEastAsia" w:hAnsiTheme="minorEastAsia" w:eastAsiaTheme="minorEastAsia" w:cstheme="minorEastAsia"/>
          <w:b/>
          <w:bCs/>
          <w:sz w:val="28"/>
          <w:szCs w:val="28"/>
          <w:shd w:val="clear" w:color="auto" w:fill="FFFFFF"/>
        </w:rPr>
        <w:t>关于国有资产占用情况</w:t>
      </w:r>
      <w:r>
        <w:rPr>
          <w:rFonts w:hint="eastAsia" w:asciiTheme="minorEastAsia" w:hAnsiTheme="minorEastAsia" w:eastAsiaTheme="minorEastAsia" w:cstheme="minorEastAsia"/>
          <w:b/>
          <w:bCs/>
          <w:sz w:val="28"/>
          <w:szCs w:val="28"/>
          <w:shd w:val="clear" w:color="auto" w:fill="FFFFFF"/>
          <w:lang w:val="en-US" w:eastAsia="zh-CN"/>
        </w:rPr>
        <w:t>说明</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截至2020年12月31日，本单位共有车辆0辆，其中领导干部用车0辆，一般公务用车0辆，一般执法执勤用车0辆，特种专业技术用车0辆，其它用车0辆。</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12"/>
        <w:spacing w:line="540" w:lineRule="exact"/>
        <w:ind w:firstLine="560"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Theme="minorEastAsia" w:hAnsiTheme="minorEastAsia" w:eastAsiaTheme="minorEastAsia" w:cstheme="minorEastAsia"/>
          <w:kern w:val="0"/>
          <w:sz w:val="28"/>
          <w:szCs w:val="28"/>
          <w:highlight w:val="none"/>
          <w:lang w:val="en-US" w:eastAsia="zh-CN" w:bidi="ar"/>
        </w:rPr>
        <w:t>2020年， 根据预算绩效管理要求，我单位组织2020年度一般公共预算项目支出全面开展绩效自评，共涉及项目</w:t>
      </w:r>
      <w:r>
        <w:rPr>
          <w:rFonts w:hint="eastAsia" w:asciiTheme="minorEastAsia" w:hAnsiTheme="minorEastAsia" w:cstheme="minorEastAsia"/>
          <w:kern w:val="0"/>
          <w:sz w:val="28"/>
          <w:szCs w:val="28"/>
          <w:highlight w:val="none"/>
          <w:lang w:val="en-US" w:eastAsia="zh-CN" w:bidi="ar"/>
        </w:rPr>
        <w:t>2</w:t>
      </w:r>
      <w:r>
        <w:rPr>
          <w:rFonts w:hint="eastAsia" w:asciiTheme="minorEastAsia" w:hAnsiTheme="minorEastAsia" w:eastAsiaTheme="minorEastAsia" w:cstheme="minorEastAsia"/>
          <w:kern w:val="0"/>
          <w:sz w:val="28"/>
          <w:szCs w:val="28"/>
          <w:highlight w:val="none"/>
          <w:lang w:val="en-US" w:eastAsia="zh-CN" w:bidi="ar"/>
        </w:rPr>
        <w:t>个，资金</w:t>
      </w:r>
      <w:r>
        <w:rPr>
          <w:rFonts w:hint="eastAsia" w:asciiTheme="minorEastAsia" w:hAnsiTheme="minorEastAsia" w:cstheme="minorEastAsia"/>
          <w:kern w:val="0"/>
          <w:sz w:val="28"/>
          <w:szCs w:val="28"/>
          <w:highlight w:val="none"/>
          <w:lang w:val="en-US" w:eastAsia="zh-CN" w:bidi="ar"/>
        </w:rPr>
        <w:t>149.82</w:t>
      </w:r>
      <w:r>
        <w:rPr>
          <w:rFonts w:hint="eastAsia" w:asciiTheme="minorEastAsia" w:hAnsiTheme="minorEastAsia" w:eastAsiaTheme="minorEastAsia" w:cstheme="minorEastAsia"/>
          <w:kern w:val="0"/>
          <w:sz w:val="28"/>
          <w:szCs w:val="28"/>
          <w:highlight w:val="none"/>
          <w:lang w:val="en-US" w:eastAsia="zh-CN" w:bidi="ar"/>
        </w:rPr>
        <w:t>万元。 2020年项目资金投入</w:t>
      </w:r>
      <w:r>
        <w:rPr>
          <w:rFonts w:hint="eastAsia" w:asciiTheme="minorEastAsia" w:hAnsiTheme="minorEastAsia" w:cstheme="minorEastAsia"/>
          <w:kern w:val="0"/>
          <w:sz w:val="28"/>
          <w:szCs w:val="28"/>
          <w:highlight w:val="none"/>
          <w:lang w:val="en-US" w:eastAsia="zh-CN" w:bidi="ar"/>
        </w:rPr>
        <w:t>149.82</w:t>
      </w:r>
      <w:r>
        <w:rPr>
          <w:rFonts w:hint="eastAsia" w:asciiTheme="minorEastAsia" w:hAnsiTheme="minorEastAsia" w:eastAsiaTheme="minorEastAsia" w:cstheme="minorEastAsia"/>
          <w:kern w:val="0"/>
          <w:sz w:val="28"/>
          <w:szCs w:val="28"/>
          <w:highlight w:val="none"/>
          <w:lang w:val="en-US" w:eastAsia="zh-CN" w:bidi="ar"/>
        </w:rPr>
        <w:t>万元，已使用</w:t>
      </w:r>
      <w:r>
        <w:rPr>
          <w:rFonts w:hint="eastAsia" w:asciiTheme="minorEastAsia" w:hAnsiTheme="minorEastAsia" w:cstheme="minorEastAsia"/>
          <w:kern w:val="0"/>
          <w:sz w:val="28"/>
          <w:szCs w:val="28"/>
          <w:highlight w:val="none"/>
          <w:lang w:val="en-US" w:eastAsia="zh-CN" w:bidi="ar"/>
        </w:rPr>
        <w:t>149.82</w:t>
      </w:r>
      <w:r>
        <w:rPr>
          <w:rFonts w:hint="eastAsia" w:asciiTheme="minorEastAsia" w:hAnsiTheme="minorEastAsia" w:eastAsiaTheme="minorEastAsia" w:cstheme="minorEastAsia"/>
          <w:kern w:val="0"/>
          <w:sz w:val="28"/>
          <w:szCs w:val="28"/>
          <w:highlight w:val="none"/>
          <w:lang w:val="en-US" w:eastAsia="zh-CN" w:bidi="ar"/>
        </w:rPr>
        <w:t>万元</w:t>
      </w:r>
      <w:r>
        <w:rPr>
          <w:rFonts w:hint="eastAsia" w:asciiTheme="minorEastAsia" w:hAnsiTheme="minorEastAsia" w:cstheme="minorEastAsia"/>
          <w:kern w:val="0"/>
          <w:sz w:val="28"/>
          <w:szCs w:val="28"/>
          <w:highlight w:val="none"/>
          <w:lang w:val="en-US" w:eastAsia="zh-CN" w:bidi="ar"/>
        </w:rPr>
        <w:t>，使用率达100%。</w:t>
      </w:r>
      <w:r>
        <w:rPr>
          <w:rFonts w:hint="eastAsia" w:asciiTheme="minorEastAsia" w:hAnsiTheme="minorEastAsia" w:eastAsiaTheme="minorEastAsia" w:cstheme="minorEastAsia"/>
          <w:kern w:val="0"/>
          <w:sz w:val="28"/>
          <w:szCs w:val="28"/>
          <w:highlight w:val="none"/>
          <w:lang w:val="en-US" w:eastAsia="zh-CN" w:bidi="ar"/>
        </w:rPr>
        <w:t>使用从评价结果看，项目立项程序完整、规范，预算执行及时、有效，绩效目标得到较好实现，绩效管理水平不断提高，绩效指标体系建设逐渐丰富和完善。</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401.56万</w:t>
      </w:r>
      <w:r>
        <w:rPr>
          <w:rFonts w:hint="eastAsia" w:ascii="宋体" w:hAnsi="宋体"/>
          <w:spacing w:val="2"/>
          <w:sz w:val="28"/>
          <w:szCs w:val="28"/>
        </w:rPr>
        <w:t>元,2020年全年总收入</w:t>
      </w:r>
      <w:r>
        <w:rPr>
          <w:rFonts w:hint="eastAsia" w:ascii="宋体" w:hAnsi="宋体"/>
          <w:spacing w:val="2"/>
          <w:sz w:val="28"/>
          <w:szCs w:val="28"/>
          <w:lang w:val="en-US" w:eastAsia="zh-CN"/>
        </w:rPr>
        <w:t>1841.41万</w:t>
      </w:r>
      <w:r>
        <w:rPr>
          <w:rFonts w:hint="eastAsia" w:ascii="宋体" w:hAnsi="宋体"/>
          <w:spacing w:val="2"/>
          <w:sz w:val="28"/>
          <w:szCs w:val="28"/>
        </w:rPr>
        <w:t>元，同比上年增加</w:t>
      </w:r>
      <w:r>
        <w:rPr>
          <w:rFonts w:hint="eastAsia" w:ascii="宋体" w:hAnsi="宋体"/>
          <w:spacing w:val="2"/>
          <w:sz w:val="28"/>
          <w:szCs w:val="28"/>
          <w:lang w:val="en-US" w:eastAsia="zh-CN"/>
        </w:rPr>
        <w:t>1439.85万</w:t>
      </w:r>
      <w:r>
        <w:rPr>
          <w:rFonts w:hint="eastAsia" w:ascii="宋体" w:hAnsi="宋体"/>
          <w:spacing w:val="2"/>
          <w:sz w:val="28"/>
          <w:szCs w:val="28"/>
        </w:rPr>
        <w:t>元，增长幅度为</w:t>
      </w:r>
      <w:r>
        <w:rPr>
          <w:rFonts w:hint="eastAsia" w:ascii="宋体" w:hAnsi="宋体"/>
          <w:spacing w:val="2"/>
          <w:sz w:val="28"/>
          <w:szCs w:val="28"/>
          <w:lang w:val="en-US" w:eastAsia="zh-CN"/>
        </w:rPr>
        <w:t>358.56%</w:t>
      </w:r>
      <w:r>
        <w:rPr>
          <w:rFonts w:hint="eastAsia" w:ascii="宋体" w:hAnsi="宋体"/>
          <w:spacing w:val="2"/>
          <w:sz w:val="28"/>
          <w:szCs w:val="28"/>
        </w:rPr>
        <w:t>，原因是业务量增加。</w:t>
      </w:r>
      <w:bookmarkStart w:id="0" w:name="_GoBack"/>
      <w:bookmarkEnd w:id="0"/>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pStyle w:val="12"/>
        <w:spacing w:line="540" w:lineRule="exact"/>
        <w:ind w:firstLine="568" w:firstLineChars="200"/>
        <w:rPr>
          <w:rFonts w:hint="eastAsia" w:asciiTheme="minorEastAsia" w:hAnsiTheme="minorEastAsia" w:eastAsiaTheme="minorEastAsia" w:cstheme="minorEastAsia"/>
          <w:kern w:val="0"/>
          <w:sz w:val="28"/>
          <w:szCs w:val="28"/>
          <w:highlight w:val="none"/>
          <w:lang w:val="en-US" w:eastAsia="zh-CN" w:bidi="ar"/>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401.56万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1841.41万</w:t>
      </w:r>
      <w:r>
        <w:rPr>
          <w:rFonts w:hint="eastAsia" w:ascii="宋体" w:hAnsi="宋体"/>
          <w:spacing w:val="2"/>
          <w:sz w:val="28"/>
          <w:szCs w:val="28"/>
        </w:rPr>
        <w:t>元，同比上年增加</w:t>
      </w:r>
      <w:r>
        <w:rPr>
          <w:rFonts w:hint="eastAsia" w:ascii="宋体" w:hAnsi="宋体"/>
          <w:spacing w:val="2"/>
          <w:sz w:val="28"/>
          <w:szCs w:val="28"/>
          <w:lang w:val="en-US" w:eastAsia="zh-CN"/>
        </w:rPr>
        <w:t>1439.85万</w:t>
      </w:r>
      <w:r>
        <w:rPr>
          <w:rFonts w:hint="eastAsia" w:ascii="宋体" w:hAnsi="宋体"/>
          <w:spacing w:val="2"/>
          <w:sz w:val="28"/>
          <w:szCs w:val="28"/>
        </w:rPr>
        <w:t>元，增长幅度为</w:t>
      </w:r>
      <w:r>
        <w:rPr>
          <w:rFonts w:hint="eastAsia" w:ascii="宋体" w:hAnsi="宋体"/>
          <w:spacing w:val="2"/>
          <w:sz w:val="28"/>
          <w:szCs w:val="28"/>
          <w:lang w:val="en-US" w:eastAsia="zh-CN"/>
        </w:rPr>
        <w:t>358.56%</w:t>
      </w:r>
      <w:r>
        <w:rPr>
          <w:rFonts w:hint="eastAsia" w:ascii="宋体" w:hAnsi="宋体"/>
          <w:spacing w:val="2"/>
          <w:sz w:val="28"/>
          <w:szCs w:val="28"/>
        </w:rPr>
        <w:t>，原因是业务量增加。</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firstLine="480" w:firstLineChars="200"/>
        <w:textAlignment w:val="auto"/>
        <w:rPr>
          <w:rFonts w:hint="eastAsia" w:ascii="微软雅黑" w:hAnsi="微软雅黑" w:eastAsia="微软雅黑" w:cs="微软雅黑"/>
          <w:b/>
          <w:bCs/>
          <w:sz w:val="24"/>
          <w:szCs w:val="24"/>
          <w:shd w:val="clear" w:color="auto" w:fill="FFFFFF"/>
        </w:rPr>
      </w:pPr>
      <w:r>
        <w:rPr>
          <w:rFonts w:hint="eastAsia" w:ascii="微软雅黑" w:hAnsi="微软雅黑" w:eastAsia="微软雅黑" w:cs="微软雅黑"/>
          <w:b/>
          <w:bCs/>
          <w:sz w:val="24"/>
          <w:szCs w:val="24"/>
          <w:shd w:val="clear" w:color="auto" w:fill="FFFFFF"/>
        </w:rPr>
        <w:t>第四部分 名词解释</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一、财政补助收入：指县级财政当年拨付的资金。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二、其他收入：指除“财政拨款收入”、“上级补助收入”、“事业收入”、“经营收入”等以外的收入。主要是存款利息收入等。</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三、年初结转和结余：指以前年度尚未完成、结转到本年按有关规定继续使用的资金。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四、一般公共服务（类）行政运行（项）：指县行政单位及参照公务员管理事业单位用于保障机构正常运行、开展日常工作的基本支出。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六、一般公共服务（类）机关服务（项）：指县黄石港区</w:t>
      </w:r>
      <w:r>
        <w:rPr>
          <w:rFonts w:hint="eastAsia" w:asciiTheme="minorEastAsia" w:hAnsiTheme="minorEastAsia" w:cstheme="minorEastAsia"/>
          <w:sz w:val="28"/>
          <w:szCs w:val="28"/>
          <w:shd w:val="clear" w:color="auto" w:fill="FFFFFF"/>
          <w:lang w:eastAsia="zh-CN"/>
        </w:rPr>
        <w:t>退役军人事务局</w:t>
      </w:r>
      <w:r>
        <w:rPr>
          <w:rFonts w:hint="eastAsia" w:asciiTheme="minorEastAsia" w:hAnsiTheme="minorEastAsia" w:eastAsiaTheme="minorEastAsia" w:cstheme="minorEastAsia"/>
          <w:sz w:val="28"/>
          <w:szCs w:val="28"/>
          <w:shd w:val="clear" w:color="auto" w:fill="FFFFFF"/>
        </w:rPr>
        <w:t>服务中心为机关提供办公楼日常维修、维护等后勤保障服务的支出。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七、一般公共服务（类）其他一般公共服务支出（款）其他一般公共服务支出（项）：指黄石港区</w:t>
      </w:r>
      <w:r>
        <w:rPr>
          <w:rFonts w:hint="eastAsia" w:asciiTheme="minorEastAsia" w:hAnsiTheme="minorEastAsia" w:cstheme="minorEastAsia"/>
          <w:sz w:val="28"/>
          <w:szCs w:val="28"/>
          <w:shd w:val="clear" w:color="auto" w:fill="FFFFFF"/>
          <w:lang w:eastAsia="zh-CN"/>
        </w:rPr>
        <w:t>退役军人事务局</w:t>
      </w:r>
      <w:r>
        <w:rPr>
          <w:rFonts w:hint="eastAsia" w:asciiTheme="minorEastAsia" w:hAnsiTheme="minorEastAsia" w:eastAsiaTheme="minorEastAsia" w:cstheme="minorEastAsia"/>
          <w:sz w:val="28"/>
          <w:szCs w:val="28"/>
          <w:shd w:val="clear" w:color="auto" w:fill="FFFFFF"/>
        </w:rPr>
        <w:t>用于其他一般公共服务方面的支出。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八、教育（类）普通教育（款）高等教育（项）：指黄石港区</w:t>
      </w:r>
      <w:r>
        <w:rPr>
          <w:rFonts w:hint="eastAsia" w:asciiTheme="minorEastAsia" w:hAnsiTheme="minorEastAsia" w:cstheme="minorEastAsia"/>
          <w:sz w:val="28"/>
          <w:szCs w:val="28"/>
          <w:shd w:val="clear" w:color="auto" w:fill="FFFFFF"/>
          <w:lang w:eastAsia="zh-CN"/>
        </w:rPr>
        <w:t>退役军人事务局</w:t>
      </w:r>
      <w:r>
        <w:rPr>
          <w:rFonts w:hint="eastAsia" w:asciiTheme="minorEastAsia" w:hAnsiTheme="minorEastAsia" w:eastAsiaTheme="minorEastAsia" w:cstheme="minorEastAsia"/>
          <w:sz w:val="28"/>
          <w:szCs w:val="28"/>
          <w:shd w:val="clear" w:color="auto" w:fill="FFFFFF"/>
        </w:rPr>
        <w:t>厅支持地方高校的重点发展和特色办学，组织专家对省属院校申报的建设规划和项目预算进行评审等相关工作的支出。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九、社会保障和就业(类)行政事业单位离退休（款）归口管理的行政单位离退休（项）：指黄石港区</w:t>
      </w:r>
      <w:r>
        <w:rPr>
          <w:rFonts w:hint="eastAsia" w:asciiTheme="minorEastAsia" w:hAnsiTheme="minorEastAsia" w:cstheme="minorEastAsia"/>
          <w:sz w:val="28"/>
          <w:szCs w:val="28"/>
          <w:shd w:val="clear" w:color="auto" w:fill="FFFFFF"/>
          <w:lang w:eastAsia="zh-CN"/>
        </w:rPr>
        <w:t>退役军人事务局</w:t>
      </w:r>
      <w:r>
        <w:rPr>
          <w:rFonts w:hint="eastAsia" w:asciiTheme="minorEastAsia" w:hAnsiTheme="minorEastAsia" w:eastAsiaTheme="minorEastAsia" w:cstheme="minorEastAsia"/>
          <w:sz w:val="28"/>
          <w:szCs w:val="28"/>
          <w:shd w:val="clear" w:color="auto" w:fill="FFFFFF"/>
        </w:rPr>
        <w:t>用于离退休人员的支出、退休人员支出，以及提供管理服务工作的离退休干部处的支出。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十、社会保障和就业(类)行政事业单位离退休（款）其他行政事业单位离退休支出（项）：指黄石港区</w:t>
      </w:r>
      <w:r>
        <w:rPr>
          <w:rFonts w:hint="eastAsia" w:asciiTheme="minorEastAsia" w:hAnsiTheme="minorEastAsia" w:cstheme="minorEastAsia"/>
          <w:sz w:val="28"/>
          <w:szCs w:val="28"/>
          <w:shd w:val="clear" w:color="auto" w:fill="FFFFFF"/>
          <w:lang w:eastAsia="zh-CN"/>
        </w:rPr>
        <w:t>退役军人事务局</w:t>
      </w:r>
      <w:r>
        <w:rPr>
          <w:rFonts w:hint="eastAsia" w:asciiTheme="minorEastAsia" w:hAnsiTheme="minorEastAsia" w:eastAsiaTheme="minorEastAsia" w:cstheme="minorEastAsia"/>
          <w:sz w:val="28"/>
          <w:szCs w:val="28"/>
          <w:shd w:val="clear" w:color="auto" w:fill="FFFFFF"/>
        </w:rPr>
        <w:t>用于离退休方面的其他支出。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十一、医疗卫生与计划生育（类）医疗保障（款）行政单位医疗（项）：指黄石港区</w:t>
      </w:r>
      <w:r>
        <w:rPr>
          <w:rFonts w:hint="eastAsia" w:asciiTheme="minorEastAsia" w:hAnsiTheme="minorEastAsia" w:cstheme="minorEastAsia"/>
          <w:sz w:val="28"/>
          <w:szCs w:val="28"/>
          <w:shd w:val="clear" w:color="auto" w:fill="FFFFFF"/>
          <w:lang w:eastAsia="zh-CN"/>
        </w:rPr>
        <w:t>退役军人事务局</w:t>
      </w:r>
      <w:r>
        <w:rPr>
          <w:rFonts w:hint="eastAsia" w:asciiTheme="minorEastAsia" w:hAnsiTheme="minorEastAsia" w:eastAsiaTheme="minorEastAsia" w:cstheme="minorEastAsia"/>
          <w:sz w:val="28"/>
          <w:szCs w:val="28"/>
          <w:shd w:val="clear" w:color="auto" w:fill="FFFFFF"/>
        </w:rPr>
        <w:t>用于机关干部职工及离退休人员医疗方面的支出。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十三、年末结转和结余：指本年度或以前年度预算安排、因客观条件发生变化无法按原计划实施，需要延迟到以后年度按有关规定继续使用的资金。</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十五、项目支出：指在基本支出之外为完成特定行政任务和事业发展目标所发生的支出。</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十六、“三公”经费：是指用财政拨款安排的因公出国（境）费、公务用车购置及运行维护费、公务接待费。</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560"/>
        <w:textAlignment w:val="auto"/>
        <w:rPr>
          <w:rFonts w:hint="eastAsia" w:asciiTheme="minorEastAsia" w:hAnsiTheme="minorEastAsia" w:eastAsiaTheme="minorEastAsia" w:cstheme="minorEastAsia"/>
          <w:sz w:val="28"/>
          <w:szCs w:val="28"/>
          <w:shd w:val="clear" w:color="auto" w:fill="FFFFFF"/>
        </w:rPr>
      </w:pPr>
    </w:p>
    <w:sectPr>
      <w:pgSz w:w="16838" w:h="11906" w:orient="landscape"/>
      <w:pgMar w:top="1020" w:right="1440" w:bottom="567"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875F9"/>
    <w:multiLevelType w:val="singleLevel"/>
    <w:tmpl w:val="8AA875F9"/>
    <w:lvl w:ilvl="0" w:tentative="0">
      <w:start w:val="2"/>
      <w:numFmt w:val="chineseCounting"/>
      <w:suff w:val="space"/>
      <w:lvlText w:val="第%1部分"/>
      <w:lvlJc w:val="left"/>
      <w:rPr>
        <w:rFonts w:hint="eastAsia"/>
      </w:rPr>
    </w:lvl>
  </w:abstractNum>
  <w:abstractNum w:abstractNumId="1">
    <w:nsid w:val="AA4D6B93"/>
    <w:multiLevelType w:val="singleLevel"/>
    <w:tmpl w:val="AA4D6B9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91B32"/>
    <w:rsid w:val="000079F7"/>
    <w:rsid w:val="00484BB3"/>
    <w:rsid w:val="00812E7F"/>
    <w:rsid w:val="040A5364"/>
    <w:rsid w:val="05343C35"/>
    <w:rsid w:val="0B786CF2"/>
    <w:rsid w:val="0E31070A"/>
    <w:rsid w:val="1AF628BE"/>
    <w:rsid w:val="1CE10904"/>
    <w:rsid w:val="20425963"/>
    <w:rsid w:val="23C66428"/>
    <w:rsid w:val="27C46700"/>
    <w:rsid w:val="28385A6F"/>
    <w:rsid w:val="2ED40676"/>
    <w:rsid w:val="2EFA5475"/>
    <w:rsid w:val="30920D9D"/>
    <w:rsid w:val="32633F77"/>
    <w:rsid w:val="33741824"/>
    <w:rsid w:val="35687F4F"/>
    <w:rsid w:val="35A91B32"/>
    <w:rsid w:val="37333E90"/>
    <w:rsid w:val="3E0A0F78"/>
    <w:rsid w:val="45AF4756"/>
    <w:rsid w:val="48286D31"/>
    <w:rsid w:val="4AC978F9"/>
    <w:rsid w:val="4D7C648F"/>
    <w:rsid w:val="553E0BF9"/>
    <w:rsid w:val="55A925D9"/>
    <w:rsid w:val="571A201F"/>
    <w:rsid w:val="58A05B53"/>
    <w:rsid w:val="5CF6057B"/>
    <w:rsid w:val="5FDA6990"/>
    <w:rsid w:val="649C7F93"/>
    <w:rsid w:val="6A6D6BB9"/>
    <w:rsid w:val="6BA27C08"/>
    <w:rsid w:val="6FFE5B51"/>
    <w:rsid w:val="70884955"/>
    <w:rsid w:val="70FB3CED"/>
    <w:rsid w:val="757E759E"/>
    <w:rsid w:val="76F76D0B"/>
    <w:rsid w:val="77AC74E5"/>
    <w:rsid w:val="7B3042A7"/>
    <w:rsid w:val="7BCD1D57"/>
    <w:rsid w:val="7C14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ca-2"/>
    <w:basedOn w:val="8"/>
    <w:qFormat/>
    <w:uiPriority w:val="0"/>
  </w:style>
  <w:style w:type="character" w:customStyle="1" w:styleId="11">
    <w:name w:val="ca-3"/>
    <w:basedOn w:val="8"/>
    <w:qFormat/>
    <w:uiPriority w:val="0"/>
  </w:style>
  <w:style w:type="paragraph" w:customStyle="1" w:styleId="12">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417</Words>
  <Characters>2378</Characters>
  <Lines>19</Lines>
  <Paragraphs>5</Paragraphs>
  <TotalTime>0</TotalTime>
  <ScaleCrop>false</ScaleCrop>
  <LinksUpToDate>false</LinksUpToDate>
  <CharactersWithSpaces>2790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2019-09-04T04:30:00Z</dcterms:created>
  <dc:creator>米</dc:creator>
  <cp:lastModifiedBy>盼</cp:lastModifiedBy>
  <dcterms:modified xsi:type="dcterms:W3CDTF">2021-09-15T02:36:52Z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91F26CEE077F4190A82A7498CB5D6721</vt:lpwstr>
  </property>
</Properties>
</file>