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统战部</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黄石港区统战部</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ind w:firstLine="480" w:firstLineChars="200"/>
        <w:rPr>
          <w:rStyle w:val="10"/>
          <w:rFonts w:hint="eastAsia" w:ascii="仿宋" w:hAnsi="仿宋" w:eastAsia="仿宋" w:cs="仿宋"/>
          <w:b/>
          <w:bCs/>
          <w:sz w:val="32"/>
          <w:szCs w:val="32"/>
        </w:rPr>
      </w:pPr>
      <w:r>
        <w:rPr>
          <w:rFonts w:hint="eastAsia" w:ascii="宋体" w:hAnsi="宋体" w:cs="宋体"/>
          <w:color w:val="333333"/>
          <w:kern w:val="0"/>
          <w:sz w:val="24"/>
        </w:rPr>
        <w:t>　</w:t>
      </w:r>
      <w:r>
        <w:rPr>
          <w:rStyle w:val="10"/>
          <w:rFonts w:hint="eastAsia" w:ascii="仿宋" w:hAnsi="仿宋" w:eastAsia="仿宋" w:cs="仿宋"/>
          <w:sz w:val="32"/>
          <w:szCs w:val="32"/>
        </w:rPr>
        <w:t>1、区委统战部是区委主管统一战线工作的职能部门，负责</w:t>
      </w:r>
      <w:r>
        <w:rPr>
          <w:rFonts w:hint="eastAsia" w:ascii="仿宋" w:hAnsi="仿宋" w:eastAsia="仿宋" w:cs="仿宋"/>
          <w:sz w:val="32"/>
          <w:szCs w:val="32"/>
        </w:rPr>
        <w:t>七个党派工作、工商联工作、党外知识分子工作、民族宗教工作、台办工作、侨联工作等的管理，</w:t>
      </w:r>
      <w:r>
        <w:rPr>
          <w:rStyle w:val="10"/>
          <w:rFonts w:hint="eastAsia" w:ascii="仿宋" w:hAnsi="仿宋" w:eastAsia="仿宋" w:cs="仿宋"/>
          <w:sz w:val="32"/>
          <w:szCs w:val="32"/>
        </w:rPr>
        <w:t>座落于黄石市磁湖路</w:t>
      </w:r>
      <w:r>
        <w:rPr>
          <w:rStyle w:val="12"/>
          <w:rFonts w:hint="eastAsia" w:ascii="仿宋" w:hAnsi="仿宋" w:eastAsia="仿宋" w:cs="仿宋"/>
          <w:sz w:val="32"/>
          <w:szCs w:val="32"/>
        </w:rPr>
        <w:t>180</w:t>
      </w:r>
      <w:r>
        <w:rPr>
          <w:rStyle w:val="10"/>
          <w:rFonts w:hint="eastAsia" w:ascii="仿宋" w:hAnsi="仿宋" w:eastAsia="仿宋" w:cs="仿宋"/>
          <w:sz w:val="32"/>
          <w:szCs w:val="32"/>
        </w:rPr>
        <w:t>号黄石港区政府大楼内。</w:t>
      </w:r>
    </w:p>
    <w:p>
      <w:pPr>
        <w:ind w:firstLine="480"/>
        <w:rPr>
          <w:rFonts w:hint="eastAsia"/>
          <w:color w:val="333333"/>
          <w:sz w:val="28"/>
          <w:szCs w:val="28"/>
        </w:rPr>
      </w:pPr>
      <w:r>
        <w:rPr>
          <w:rFonts w:hint="eastAsia" w:ascii="仿宋" w:hAnsi="仿宋" w:eastAsia="仿宋" w:cs="仿宋"/>
          <w:sz w:val="32"/>
          <w:szCs w:val="32"/>
        </w:rPr>
        <w:t>2、区委统战部有人员编制共4人：其中行编3人；事业编1人；职务分别为：常委1人，副部长2人（其中1人兼民宗局第一副局长），工商联副主席1人。区委统战部包括民宗局、工商联、侨联、台办共有办公室5间，党派活动室（会议室）一处。</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82970" cy="5272405"/>
            <wp:effectExtent l="0" t="0" r="17780" b="4445"/>
            <wp:docPr id="277"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pic:cNvPicPr>
                      <a:picLocks noChangeAspect="1"/>
                    </pic:cNvPicPr>
                  </pic:nvPicPr>
                  <pic:blipFill>
                    <a:blip r:embed="rId4"/>
                    <a:stretch>
                      <a:fillRect/>
                    </a:stretch>
                  </pic:blipFill>
                  <pic:spPr>
                    <a:xfrm>
                      <a:off x="0" y="0"/>
                      <a:ext cx="5982970" cy="5272405"/>
                    </a:xfrm>
                    <a:prstGeom prst="rect">
                      <a:avLst/>
                    </a:prstGeom>
                    <a:noFill/>
                    <a:ln w="9525">
                      <a:noFill/>
                    </a:ln>
                  </pic:spPr>
                </pic:pic>
              </a:graphicData>
            </a:graphic>
          </wp:inline>
        </w:drawing>
      </w:r>
      <w:r>
        <w:drawing>
          <wp:inline distT="0" distB="0" distL="114300" distR="114300">
            <wp:extent cx="8853170" cy="2051685"/>
            <wp:effectExtent l="0" t="0" r="5080" b="5715"/>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pic:cNvPicPr>
                      <a:picLocks noChangeAspect="1"/>
                    </pic:cNvPicPr>
                  </pic:nvPicPr>
                  <pic:blipFill>
                    <a:blip r:embed="rId5"/>
                    <a:stretch>
                      <a:fillRect/>
                    </a:stretch>
                  </pic:blipFill>
                  <pic:spPr>
                    <a:xfrm>
                      <a:off x="0" y="0"/>
                      <a:ext cx="8853170" cy="2051685"/>
                    </a:xfrm>
                    <a:prstGeom prst="rect">
                      <a:avLst/>
                    </a:prstGeom>
                    <a:noFill/>
                    <a:ln w="9525">
                      <a:noFill/>
                    </a:ln>
                  </pic:spPr>
                </pic:pic>
              </a:graphicData>
            </a:graphic>
          </wp:inline>
        </w:drawing>
      </w:r>
      <w:r>
        <w:drawing>
          <wp:inline distT="0" distB="0" distL="114300" distR="114300">
            <wp:extent cx="8859520" cy="2216785"/>
            <wp:effectExtent l="0" t="0" r="17780" b="12065"/>
            <wp:docPr id="279"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pic:cNvPicPr>
                      <a:picLocks noChangeAspect="1"/>
                    </pic:cNvPicPr>
                  </pic:nvPicPr>
                  <pic:blipFill>
                    <a:blip r:embed="rId6"/>
                    <a:stretch>
                      <a:fillRect/>
                    </a:stretch>
                  </pic:blipFill>
                  <pic:spPr>
                    <a:xfrm>
                      <a:off x="0" y="0"/>
                      <a:ext cx="8859520" cy="2216785"/>
                    </a:xfrm>
                    <a:prstGeom prst="rect">
                      <a:avLst/>
                    </a:prstGeom>
                    <a:noFill/>
                    <a:ln w="9525">
                      <a:noFill/>
                    </a:ln>
                  </pic:spPr>
                </pic:pic>
              </a:graphicData>
            </a:graphic>
          </wp:inline>
        </w:drawing>
      </w:r>
      <w:r>
        <w:drawing>
          <wp:inline distT="0" distB="0" distL="114300" distR="114300">
            <wp:extent cx="6429375" cy="5191125"/>
            <wp:effectExtent l="0" t="0" r="9525" b="9525"/>
            <wp:docPr id="280"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pic:cNvPicPr>
                      <a:picLocks noChangeAspect="1"/>
                    </pic:cNvPicPr>
                  </pic:nvPicPr>
                  <pic:blipFill>
                    <a:blip r:embed="rId7"/>
                    <a:stretch>
                      <a:fillRect/>
                    </a:stretch>
                  </pic:blipFill>
                  <pic:spPr>
                    <a:xfrm>
                      <a:off x="0" y="0"/>
                      <a:ext cx="6429375" cy="5191125"/>
                    </a:xfrm>
                    <a:prstGeom prst="rect">
                      <a:avLst/>
                    </a:prstGeom>
                    <a:noFill/>
                    <a:ln w="9525">
                      <a:noFill/>
                    </a:ln>
                  </pic:spPr>
                </pic:pic>
              </a:graphicData>
            </a:graphic>
          </wp:inline>
        </w:drawing>
      </w:r>
      <w:r>
        <w:drawing>
          <wp:inline distT="0" distB="0" distL="114300" distR="114300">
            <wp:extent cx="5886450" cy="2771775"/>
            <wp:effectExtent l="0" t="0" r="0" b="9525"/>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pic:cNvPicPr>
                      <a:picLocks noChangeAspect="1"/>
                    </pic:cNvPicPr>
                  </pic:nvPicPr>
                  <pic:blipFill>
                    <a:blip r:embed="rId8"/>
                    <a:stretch>
                      <a:fillRect/>
                    </a:stretch>
                  </pic:blipFill>
                  <pic:spPr>
                    <a:xfrm>
                      <a:off x="0" y="0"/>
                      <a:ext cx="5886450" cy="2771775"/>
                    </a:xfrm>
                    <a:prstGeom prst="rect">
                      <a:avLst/>
                    </a:prstGeom>
                    <a:noFill/>
                    <a:ln w="9525">
                      <a:noFill/>
                    </a:ln>
                  </pic:spPr>
                </pic:pic>
              </a:graphicData>
            </a:graphic>
          </wp:inline>
        </w:drawing>
      </w:r>
      <w:r>
        <w:drawing>
          <wp:inline distT="0" distB="0" distL="114300" distR="114300">
            <wp:extent cx="8854440" cy="5079365"/>
            <wp:effectExtent l="0" t="0" r="3810" b="6985"/>
            <wp:docPr id="282"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pic:cNvPicPr>
                      <a:picLocks noChangeAspect="1"/>
                    </pic:cNvPicPr>
                  </pic:nvPicPr>
                  <pic:blipFill>
                    <a:blip r:embed="rId9"/>
                    <a:stretch>
                      <a:fillRect/>
                    </a:stretch>
                  </pic:blipFill>
                  <pic:spPr>
                    <a:xfrm>
                      <a:off x="0" y="0"/>
                      <a:ext cx="8854440" cy="5079365"/>
                    </a:xfrm>
                    <a:prstGeom prst="rect">
                      <a:avLst/>
                    </a:prstGeom>
                    <a:noFill/>
                    <a:ln w="9525">
                      <a:noFill/>
                    </a:ln>
                  </pic:spPr>
                </pic:pic>
              </a:graphicData>
            </a:graphic>
          </wp:inline>
        </w:drawing>
      </w:r>
      <w:r>
        <w:drawing>
          <wp:inline distT="0" distB="0" distL="114300" distR="114300">
            <wp:extent cx="8858250" cy="1724660"/>
            <wp:effectExtent l="0" t="0" r="0" b="889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pic:cNvPicPr>
                      <a:picLocks noChangeAspect="1"/>
                    </pic:cNvPicPr>
                  </pic:nvPicPr>
                  <pic:blipFill>
                    <a:blip r:embed="rId10"/>
                    <a:stretch>
                      <a:fillRect/>
                    </a:stretch>
                  </pic:blipFill>
                  <pic:spPr>
                    <a:xfrm>
                      <a:off x="0" y="0"/>
                      <a:ext cx="8858250" cy="1724660"/>
                    </a:xfrm>
                    <a:prstGeom prst="rect">
                      <a:avLst/>
                    </a:prstGeom>
                    <a:noFill/>
                    <a:ln w="9525">
                      <a:noFill/>
                    </a:ln>
                  </pic:spPr>
                </pic:pic>
              </a:graphicData>
            </a:graphic>
          </wp:inline>
        </w:drawing>
      </w:r>
      <w:r>
        <w:drawing>
          <wp:inline distT="0" distB="0" distL="114300" distR="114300">
            <wp:extent cx="8860790" cy="2186940"/>
            <wp:effectExtent l="0" t="0" r="16510" b="381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11"/>
                    <a:stretch>
                      <a:fillRect/>
                    </a:stretch>
                  </pic:blipFill>
                  <pic:spPr>
                    <a:xfrm>
                      <a:off x="0" y="0"/>
                      <a:ext cx="8860790" cy="218694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ind w:firstLine="480"/>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单位本年度总收入91.69万元，同比上年增长54.20%，全部为一般公共预算财政拨款。总支出116.67万元，同比上年增长98.05%。其中人员经费同比增长53.16%，主要原因是补发人员工资；日常公用经费同比增长206.4%，主要原因是活动支出较大。</w:t>
      </w:r>
    </w:p>
    <w:p>
      <w:pPr>
        <w:ind w:firstLine="480"/>
        <w:rPr>
          <w:rFonts w:hint="eastAsia" w:ascii="仿宋_GB2312" w:hAnsi="仿宋" w:eastAsia="仿宋_GB2312" w:cs="仿宋"/>
          <w:bCs/>
          <w:sz w:val="28"/>
          <w:szCs w:val="28"/>
        </w:rPr>
      </w:pPr>
      <w:r>
        <w:rPr>
          <w:rFonts w:hint="eastAsia" w:ascii="仿宋" w:hAnsi="仿宋" w:eastAsia="仿宋" w:cs="仿宋"/>
          <w:sz w:val="32"/>
          <w:szCs w:val="32"/>
        </w:rPr>
        <w:t>2、</w:t>
      </w:r>
      <w:r>
        <w:rPr>
          <w:rFonts w:hint="eastAsia" w:ascii="仿宋_GB2312" w:hAnsi="仿宋" w:eastAsia="仿宋_GB2312" w:cs="仿宋"/>
          <w:bCs/>
          <w:sz w:val="28"/>
          <w:szCs w:val="28"/>
        </w:rPr>
        <w:t>机关运行经费支出33.35万元，2016年支出</w:t>
      </w:r>
      <w:r>
        <w:rPr>
          <w:rFonts w:hint="eastAsia"/>
          <w:sz w:val="28"/>
          <w:szCs w:val="28"/>
        </w:rPr>
        <w:t xml:space="preserve"> </w:t>
      </w:r>
      <w:r>
        <w:rPr>
          <w:rFonts w:hint="eastAsia" w:ascii="仿宋_GB2312" w:hAnsi="仿宋" w:eastAsia="仿宋_GB2312" w:cs="仿宋"/>
          <w:bCs/>
          <w:sz w:val="28"/>
          <w:szCs w:val="28"/>
        </w:rPr>
        <w:t>29.94</w:t>
      </w:r>
      <w:r>
        <w:rPr>
          <w:rFonts w:hint="eastAsia"/>
          <w:sz w:val="28"/>
          <w:szCs w:val="28"/>
        </w:rPr>
        <w:t>万元；</w:t>
      </w:r>
      <w:r>
        <w:rPr>
          <w:rFonts w:hint="eastAsia" w:ascii="仿宋_GB2312" w:hAnsi="仿宋" w:eastAsia="仿宋_GB2312" w:cs="仿宋"/>
          <w:bCs/>
          <w:sz w:val="28"/>
          <w:szCs w:val="28"/>
        </w:rPr>
        <w:t>对比增加3.41万元。增加原因主要为出国费用增加，2016年无出国费用支出。</w:t>
      </w:r>
    </w:p>
    <w:p>
      <w:pPr>
        <w:numPr>
          <w:ilvl w:val="0"/>
          <w:numId w:val="1"/>
        </w:numPr>
        <w:ind w:firstLine="480"/>
        <w:rPr>
          <w:rFonts w:hint="eastAsia" w:ascii="仿宋" w:hAnsi="仿宋" w:eastAsia="仿宋" w:cs="仿宋"/>
          <w:kern w:val="0"/>
          <w:sz w:val="32"/>
          <w:szCs w:val="32"/>
        </w:rPr>
      </w:pPr>
      <w:r>
        <w:rPr>
          <w:rFonts w:hint="eastAsia" w:ascii="仿宋" w:hAnsi="仿宋" w:eastAsia="仿宋" w:cs="仿宋"/>
          <w:kern w:val="0"/>
          <w:sz w:val="32"/>
          <w:szCs w:val="32"/>
        </w:rPr>
        <w:t>三公经费支出情况：三公经费本年度支出总金额为112960.00元；其中因公出国费用：112600.00元；因公出国组团数1个，本单位因公出国人数1人。公务接待：360.00元。国内公务接待批次1次，国内公务接待人次5人。</w:t>
      </w:r>
    </w:p>
    <w:p>
      <w:pPr>
        <w:numPr>
          <w:ilvl w:val="0"/>
          <w:numId w:val="1"/>
        </w:numPr>
        <w:ind w:firstLine="480"/>
        <w:rPr>
          <w:rFonts w:hint="eastAsia" w:ascii="仿宋" w:hAnsi="仿宋" w:eastAsia="仿宋" w:cs="仿宋"/>
          <w:kern w:val="0"/>
          <w:sz w:val="32"/>
          <w:szCs w:val="32"/>
        </w:rPr>
      </w:pPr>
      <w:r>
        <w:rPr>
          <w:rFonts w:hint="eastAsia" w:ascii="仿宋" w:hAnsi="仿宋" w:eastAsia="仿宋" w:cs="仿宋"/>
          <w:kern w:val="0"/>
          <w:sz w:val="32"/>
          <w:szCs w:val="32"/>
        </w:rPr>
        <w:t>本年无政府采购支出。</w:t>
      </w:r>
    </w:p>
    <w:p>
      <w:pPr>
        <w:numPr>
          <w:ilvl w:val="0"/>
          <w:numId w:val="1"/>
        </w:numPr>
        <w:ind w:firstLine="480"/>
        <w:rPr>
          <w:rFonts w:hint="eastAsia" w:ascii="仿宋" w:hAnsi="仿宋" w:eastAsia="仿宋" w:cs="仿宋"/>
          <w:kern w:val="0"/>
          <w:sz w:val="32"/>
          <w:szCs w:val="32"/>
        </w:rPr>
      </w:pPr>
      <w:r>
        <w:rPr>
          <w:rFonts w:hint="eastAsia" w:ascii="仿宋" w:hAnsi="仿宋" w:eastAsia="仿宋" w:cs="仿宋"/>
          <w:kern w:val="0"/>
          <w:sz w:val="32"/>
          <w:szCs w:val="32"/>
        </w:rPr>
        <w:t>本单位无公车和大型设备。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黄石港区统战部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65BB"/>
    <w:multiLevelType w:val="singleLevel"/>
    <w:tmpl w:val="7A0165B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0B821CB6"/>
    <w:rsid w:val="0F580F62"/>
    <w:rsid w:val="10157CA5"/>
    <w:rsid w:val="11411182"/>
    <w:rsid w:val="13FA6E94"/>
    <w:rsid w:val="1D3216D7"/>
    <w:rsid w:val="219E41B4"/>
    <w:rsid w:val="255E033E"/>
    <w:rsid w:val="27272230"/>
    <w:rsid w:val="27390172"/>
    <w:rsid w:val="2CCE2491"/>
    <w:rsid w:val="2F081AB6"/>
    <w:rsid w:val="35840005"/>
    <w:rsid w:val="401A2F36"/>
    <w:rsid w:val="408F5EDF"/>
    <w:rsid w:val="44064590"/>
    <w:rsid w:val="457D21A1"/>
    <w:rsid w:val="49D83A19"/>
    <w:rsid w:val="4A187DA8"/>
    <w:rsid w:val="4FCC39E6"/>
    <w:rsid w:val="507C1CF5"/>
    <w:rsid w:val="57193076"/>
    <w:rsid w:val="5EF27DB1"/>
    <w:rsid w:val="61773BFF"/>
    <w:rsid w:val="621B3808"/>
    <w:rsid w:val="67E4782B"/>
    <w:rsid w:val="6A5F0092"/>
    <w:rsid w:val="6FC62DF1"/>
    <w:rsid w:val="746766E2"/>
    <w:rsid w:val="74EA7B66"/>
    <w:rsid w:val="78186405"/>
    <w:rsid w:val="784C1E5B"/>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2019-02-27T12:07:49Z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