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eastAsia="zh-CN"/>
        </w:rPr>
        <w:t>统战</w:t>
      </w:r>
      <w:r>
        <w:rPr>
          <w:rFonts w:hint="eastAsia" w:ascii="微软雅黑" w:hAnsi="微软雅黑" w:eastAsia="微软雅黑" w:cs="微软雅黑"/>
          <w:color w:val="BC1010"/>
          <w:sz w:val="40"/>
          <w:szCs w:val="40"/>
          <w:shd w:val="clear" w:color="auto" w:fill="FFFFFF"/>
        </w:rPr>
        <w:t>部</w:t>
      </w:r>
      <w:r>
        <w:rPr>
          <w:rFonts w:hint="eastAsia" w:ascii="微软雅黑" w:hAnsi="微软雅黑" w:eastAsia="微软雅黑" w:cs="微软雅黑"/>
          <w:color w:val="BC1010"/>
          <w:sz w:val="40"/>
          <w:szCs w:val="40"/>
          <w:shd w:val="clear" w:color="auto" w:fill="FFFFFF"/>
          <w:lang w:eastAsia="zh-CN"/>
        </w:rPr>
        <w:t>2019年度</w:t>
      </w:r>
      <w:r>
        <w:rPr>
          <w:rFonts w:hint="eastAsia" w:ascii="微软雅黑" w:hAnsi="微软雅黑" w:eastAsia="微软雅黑" w:cs="微软雅黑"/>
          <w:color w:val="BC1010"/>
          <w:sz w:val="40"/>
          <w:szCs w:val="40"/>
          <w:shd w:val="clear" w:color="auto" w:fill="FFFFFF"/>
        </w:rPr>
        <w:t>决算公开</w:t>
      </w:r>
    </w:p>
    <w:p>
      <w:pPr>
        <w:pStyle w:val="3"/>
        <w:widowControl/>
        <w:spacing w:before="76" w:beforeAutospacing="0" w:after="76" w:afterAutospacing="0" w:line="450" w:lineRule="atLeast"/>
        <w:ind w:firstLine="420"/>
        <w:jc w:val="center"/>
        <w:rPr>
          <w:color w:val="333333"/>
        </w:rPr>
      </w:pPr>
      <w:r>
        <w:rPr>
          <w:rStyle w:val="6"/>
          <w:rFonts w:hint="eastAsia" w:ascii="微软雅黑" w:hAnsi="微软雅黑" w:eastAsia="微软雅黑" w:cs="微软雅黑"/>
          <w:color w:val="333333"/>
          <w:shd w:val="clear" w:color="auto" w:fill="FFFFFF"/>
        </w:rPr>
        <w:t>黄石港区</w:t>
      </w:r>
      <w:r>
        <w:rPr>
          <w:rStyle w:val="6"/>
          <w:rFonts w:hint="eastAsia" w:ascii="微软雅黑" w:hAnsi="微软雅黑" w:eastAsia="微软雅黑" w:cs="微软雅黑"/>
          <w:color w:val="333333"/>
          <w:shd w:val="clear" w:color="auto" w:fill="FFFFFF"/>
          <w:lang w:eastAsia="zh-CN"/>
        </w:rPr>
        <w:t>统战</w:t>
      </w:r>
      <w:r>
        <w:rPr>
          <w:rStyle w:val="6"/>
          <w:rFonts w:hint="eastAsia" w:ascii="微软雅黑" w:hAnsi="微软雅黑" w:eastAsia="微软雅黑" w:cs="微软雅黑"/>
          <w:color w:val="333333"/>
          <w:shd w:val="clear" w:color="auto" w:fill="FFFFFF"/>
        </w:rPr>
        <w:t>部</w:t>
      </w:r>
      <w:r>
        <w:rPr>
          <w:rStyle w:val="6"/>
          <w:rFonts w:hint="eastAsia" w:ascii="微软雅黑" w:hAnsi="微软雅黑" w:eastAsia="微软雅黑" w:cs="微软雅黑"/>
          <w:color w:val="333333"/>
          <w:shd w:val="clear" w:color="auto" w:fill="FFFFFF"/>
          <w:lang w:eastAsia="zh-CN"/>
        </w:rPr>
        <w:t>2019年度</w:t>
      </w:r>
      <w:r>
        <w:rPr>
          <w:rStyle w:val="6"/>
          <w:rFonts w:hint="eastAsia" w:ascii="微软雅黑" w:hAnsi="微软雅黑" w:eastAsia="微软雅黑" w:cs="微软雅黑"/>
          <w:color w:val="333333"/>
          <w:shd w:val="clear" w:color="auto" w:fill="FFFFFF"/>
        </w:rPr>
        <w:t>决算公开</w:t>
      </w:r>
    </w:p>
    <w:p>
      <w:pPr>
        <w:pStyle w:val="3"/>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hint="eastAsia" w:ascii="微软雅黑" w:hAnsi="微软雅黑" w:eastAsia="微软雅黑" w:cs="微软雅黑"/>
          <w:color w:val="333333"/>
          <w:shd w:val="clear" w:color="auto" w:fill="FFFFFF"/>
          <w:lang w:eastAsia="zh-CN"/>
        </w:rPr>
        <w:t>2019年度</w:t>
      </w:r>
      <w:r>
        <w:rPr>
          <w:rFonts w:hint="eastAsia" w:ascii="微软雅黑" w:hAnsi="微软雅黑" w:eastAsia="微软雅黑" w:cs="微软雅黑"/>
          <w:color w:val="333333"/>
          <w:shd w:val="clear" w:color="auto" w:fill="FFFFFF"/>
        </w:rPr>
        <w:t>部门决算表</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3"/>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hint="eastAsia" w:ascii="微软雅黑" w:hAnsi="微软雅黑" w:eastAsia="微软雅黑" w:cs="微软雅黑"/>
          <w:color w:val="333333"/>
          <w:shd w:val="clear" w:color="auto" w:fill="FFFFFF"/>
          <w:lang w:eastAsia="zh-CN"/>
        </w:rPr>
        <w:t>2019年度</w:t>
      </w:r>
      <w:r>
        <w:rPr>
          <w:rFonts w:hint="eastAsia" w:ascii="微软雅黑" w:hAnsi="微软雅黑" w:eastAsia="微软雅黑" w:cs="微软雅黑"/>
          <w:color w:val="333333"/>
          <w:shd w:val="clear" w:color="auto" w:fill="FFFFFF"/>
        </w:rPr>
        <w:t>部门决算情况说明</w:t>
      </w:r>
    </w:p>
    <w:p>
      <w:pPr>
        <w:pStyle w:val="3"/>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3"/>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3"/>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3"/>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3"/>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3"/>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3"/>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Style w:val="6"/>
          <w:rFonts w:hint="eastAsia" w:ascii="微软雅黑" w:hAnsi="微软雅黑" w:eastAsia="微软雅黑" w:cs="微软雅黑"/>
          <w:i w:val="0"/>
          <w:caps w:val="0"/>
          <w:color w:val="333333"/>
          <w:spacing w:val="0"/>
          <w:sz w:val="24"/>
          <w:szCs w:val="24"/>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default" w:ascii="微软雅黑" w:hAnsi="微软雅黑" w:eastAsia="微软雅黑" w:cs="微软雅黑"/>
          <w:b/>
          <w:bCs w:val="0"/>
          <w:i w:val="0"/>
          <w:caps w:val="0"/>
          <w:color w:val="333333"/>
          <w:spacing w:val="0"/>
          <w:sz w:val="24"/>
          <w:szCs w:val="24"/>
          <w:shd w:val="clear" w:fill="FFFFFF"/>
          <w:lang w:val="en-US" w:eastAsia="zh-CN"/>
        </w:rPr>
      </w:pPr>
      <w:r>
        <w:rPr>
          <w:rStyle w:val="6"/>
          <w:rFonts w:hint="eastAsia" w:ascii="微软雅黑" w:hAnsi="微软雅黑" w:eastAsia="微软雅黑" w:cs="微软雅黑"/>
          <w:b/>
          <w:bCs w:val="0"/>
          <w:i w:val="0"/>
          <w:caps w:val="0"/>
          <w:color w:val="333333"/>
          <w:spacing w:val="0"/>
          <w:sz w:val="24"/>
          <w:szCs w:val="24"/>
          <w:shd w:val="clear" w:fill="FFFFFF"/>
          <w:lang w:val="en-US" w:eastAsia="zh-CN"/>
        </w:rPr>
        <w:t>2019年度部门决算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bCs w:val="0"/>
          <w:i w:val="0"/>
          <w:caps w:val="0"/>
          <w:color w:val="333333"/>
          <w:spacing w:val="0"/>
          <w:sz w:val="24"/>
          <w:szCs w:val="24"/>
          <w:shd w:val="clear" w:fill="FFFFFF"/>
        </w:rPr>
      </w:pPr>
      <w:r>
        <w:rPr>
          <w:rFonts w:hint="eastAsia" w:ascii="微软雅黑" w:hAnsi="微软雅黑" w:eastAsia="微软雅黑" w:cs="微软雅黑"/>
          <w:b/>
          <w:bCs w:val="0"/>
          <w:i w:val="0"/>
          <w:caps w:val="0"/>
          <w:color w:val="333333"/>
          <w:spacing w:val="0"/>
          <w:sz w:val="24"/>
          <w:szCs w:val="24"/>
          <w:shd w:val="clear" w:fill="FFFFFF"/>
          <w:lang w:eastAsia="zh-CN"/>
        </w:rPr>
        <w:t>第一部分</w:t>
      </w:r>
      <w:r>
        <w:rPr>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Fonts w:hint="eastAsia" w:ascii="微软雅黑" w:hAnsi="微软雅黑" w:eastAsia="微软雅黑" w:cs="微软雅黑"/>
          <w:b/>
          <w:bCs w:val="0"/>
          <w:i w:val="0"/>
          <w:caps w:val="0"/>
          <w:color w:val="333333"/>
          <w:spacing w:val="0"/>
          <w:sz w:val="24"/>
          <w:szCs w:val="24"/>
          <w:shd w:val="clear" w:fill="FFFFFF"/>
        </w:rPr>
        <w:t>部门概况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lang w:val="en-US" w:eastAsia="zh-CN"/>
        </w:rPr>
      </w:pPr>
      <w:r>
        <w:rPr>
          <w:rFonts w:hint="eastAsia" w:asciiTheme="minorEastAsia" w:hAnsiTheme="minorEastAsia" w:eastAsiaTheme="minorEastAsia" w:cstheme="minorEastAsia"/>
          <w:b w:val="0"/>
          <w:i w:val="0"/>
          <w:caps w:val="0"/>
          <w:color w:val="333333"/>
          <w:spacing w:val="0"/>
          <w:sz w:val="28"/>
          <w:szCs w:val="28"/>
          <w:shd w:val="clear" w:fill="FFFFFF"/>
        </w:rPr>
        <w:t>（一）</w:t>
      </w:r>
      <w:r>
        <w:rPr>
          <w:rFonts w:hint="eastAsia" w:asciiTheme="minorEastAsia" w:hAnsiTheme="minorEastAsia" w:eastAsiaTheme="minorEastAsia" w:cstheme="minorEastAsia"/>
          <w:b w:val="0"/>
          <w:i w:val="0"/>
          <w:caps w:val="0"/>
          <w:color w:val="333333"/>
          <w:spacing w:val="0"/>
          <w:sz w:val="28"/>
          <w:szCs w:val="28"/>
          <w:shd w:val="clear" w:fill="FFFFFF"/>
          <w:lang w:eastAsia="zh-CN"/>
        </w:rPr>
        <w:t>主要职能</w:t>
      </w:r>
    </w:p>
    <w:p>
      <w:pPr>
        <w:spacing w:line="56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黄石港区委统战部成立于1984年5月，现为正科级机构，负责管理七个党派工作、工商联工作、党外知识分子工作、</w:t>
      </w:r>
      <w:r>
        <w:rPr>
          <w:rFonts w:hint="eastAsia" w:asciiTheme="minorEastAsia" w:hAnsiTheme="minorEastAsia" w:eastAsiaTheme="minorEastAsia" w:cstheme="minorEastAsia"/>
          <w:color w:val="auto"/>
          <w:sz w:val="28"/>
          <w:szCs w:val="28"/>
          <w:lang w:eastAsia="zh-CN"/>
        </w:rPr>
        <w:t>新的社会阶层工作、</w:t>
      </w:r>
      <w:r>
        <w:rPr>
          <w:rFonts w:hint="eastAsia" w:asciiTheme="minorEastAsia" w:hAnsiTheme="minorEastAsia" w:eastAsiaTheme="minorEastAsia" w:cstheme="minorEastAsia"/>
          <w:color w:val="auto"/>
          <w:sz w:val="28"/>
          <w:szCs w:val="28"/>
        </w:rPr>
        <w:t>民族宗教工作、台办工作、侨联工作等。</w:t>
      </w:r>
    </w:p>
    <w:p>
      <w:pPr>
        <w:numPr>
          <w:ilvl w:val="0"/>
          <w:numId w:val="0"/>
        </w:num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val="en-US" w:eastAsia="zh-CN"/>
        </w:rPr>
        <w:t>1.</w:t>
      </w:r>
      <w:r>
        <w:rPr>
          <w:rFonts w:hint="eastAsia" w:asciiTheme="minorEastAsia" w:hAnsiTheme="minorEastAsia" w:eastAsiaTheme="minorEastAsia" w:cstheme="minorEastAsia"/>
          <w:color w:val="auto"/>
          <w:sz w:val="28"/>
          <w:szCs w:val="28"/>
        </w:rPr>
        <w:t>主要职能。</w:t>
      </w:r>
    </w:p>
    <w:p>
      <w:pPr>
        <w:numPr>
          <w:ilvl w:val="0"/>
          <w:numId w:val="0"/>
        </w:num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val="en-US" w:eastAsia="zh-CN"/>
        </w:rPr>
        <w:t>（1）</w:t>
      </w:r>
      <w:r>
        <w:rPr>
          <w:rFonts w:hint="eastAsia" w:asciiTheme="minorEastAsia" w:hAnsiTheme="minorEastAsia" w:eastAsiaTheme="minorEastAsia" w:cstheme="minorEastAsia"/>
          <w:color w:val="auto"/>
          <w:sz w:val="28"/>
          <w:szCs w:val="28"/>
        </w:rPr>
        <w:t>调查研究统一战线的理论、政策和法律法规，向党委全面反映统一战线情况，提出开展统一战线工作的意见和建议，组织协调统一战线政策和法律法规的贯彻落实，检查执行情况，协调统一战线各方面关系。</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2）</w:t>
      </w:r>
      <w:r>
        <w:rPr>
          <w:rFonts w:hint="eastAsia" w:asciiTheme="minorEastAsia" w:hAnsiTheme="minorEastAsia" w:eastAsiaTheme="minorEastAsia" w:cstheme="minorEastAsia"/>
          <w:color w:val="auto"/>
          <w:sz w:val="28"/>
          <w:szCs w:val="28"/>
        </w:rPr>
        <w:t>负责联系民主党派，牵头协调无党派人士工作，研究贯彻做好民主党派和无党派人士工作的方针政策，支持民主党派和无党派人士履行职责、发挥作用，支持、帮助民主党派和无党派人士加强自身建设。</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3</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调查研究党外知识分子的情况，反映意见，协调关系，提出政策建议，联系党外知识分子代表人士。</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4</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调查研究民族、宗教工作的理论、方针、政策和法律法规，牵头协调检查落实情况，做好重要工作和重大问题的处理，协调开展马克思主义民族观、宗教观和相关理论、政策的宣传教育，联系少数民族和宗教界的代表人士，会同有关部门做好少数民族干部培养和举荐工作。</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5</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调查研究非公有制经济人士的情况，协调关系，提出政策建议，团结、服务、引导、教育非公有制经济人士，开展思想政治工作。</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6</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开展港澳台海外统一战线工作，联系香港、澳门、台湾和海外有关党派、团体及代表人士，会同有关部门对香港、澳门地区统一战线工作方针政策和法律法规进行调查研究，做好台胞、台属有关工作。</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7</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负责党外代表人士在人大、政协安排的有关工作，会同有关部门做好安排党外代表人士担任政府和司法机关等领导职务的工作，做好党外代表人士和后备干部队伍建设工作，协助民主党派做好干部管理工作，反映和解决党外代表人士工作生活中的实际困难。</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8</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指导下级党委统一战线工作，协助管理下级党委统战部部长，负责下级统战部负责人培训工作；协调做好民族、宗教等工作部门领导班子成员推荐工作；领导工商联党组，指导工商联工作；做好有关统战团体管理工作。</w:t>
      </w:r>
    </w:p>
    <w:p>
      <w:pPr>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9</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rPr>
        <w:t>负责开展统一战线宣传工作。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r>
        <w:rPr>
          <w:rFonts w:hint="eastAsia" w:asciiTheme="minorEastAsia" w:hAnsiTheme="minorEastAsia" w:eastAsiaTheme="minorEastAsia" w:cstheme="minorEastAsia"/>
          <w:b w:val="0"/>
          <w:i w:val="0"/>
          <w:caps w:val="0"/>
          <w:color w:val="333333"/>
          <w:spacing w:val="0"/>
          <w:sz w:val="28"/>
          <w:szCs w:val="28"/>
          <w:shd w:val="clear" w:fill="FFFFFF"/>
          <w:lang w:eastAsia="zh-CN"/>
        </w:rPr>
        <w:t>（二）</w:t>
      </w:r>
      <w:r>
        <w:rPr>
          <w:rFonts w:hint="eastAsia" w:asciiTheme="minorEastAsia" w:hAnsiTheme="minorEastAsia" w:eastAsiaTheme="minorEastAsia" w:cstheme="minorEastAsia"/>
          <w:b w:val="0"/>
          <w:i w:val="0"/>
          <w:caps w:val="0"/>
          <w:color w:val="333333"/>
          <w:spacing w:val="0"/>
          <w:sz w:val="28"/>
          <w:szCs w:val="28"/>
          <w:shd w:val="clear" w:fill="FFFFFF"/>
        </w:rPr>
        <w:t>机构情况</w:t>
      </w:r>
    </w:p>
    <w:p>
      <w:pPr>
        <w:ind w:firstLine="560" w:firstLineChars="200"/>
        <w:rPr>
          <w:rFonts w:hint="eastAsia" w:asciiTheme="minorEastAsia" w:hAnsiTheme="minorEastAsia" w:eastAsiaTheme="minorEastAsia" w:cstheme="minorEastAsia"/>
          <w:b w:val="0"/>
          <w:bCs/>
          <w:color w:val="auto"/>
          <w:sz w:val="28"/>
          <w:szCs w:val="28"/>
        </w:rPr>
      </w:pPr>
      <w:r>
        <w:rPr>
          <w:rFonts w:hint="eastAsia" w:asciiTheme="minorEastAsia" w:hAnsiTheme="minorEastAsia" w:eastAsiaTheme="minorEastAsia" w:cstheme="minorEastAsia"/>
          <w:b w:val="0"/>
          <w:bCs/>
          <w:color w:val="auto"/>
          <w:sz w:val="28"/>
          <w:szCs w:val="28"/>
        </w:rPr>
        <w:t>区委统战部包括民宗局、工商联、侨联、台办共有办公室5间，党派活动室（会议室）一处。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r>
        <w:rPr>
          <w:rFonts w:hint="eastAsia" w:asciiTheme="minorEastAsia" w:hAnsiTheme="minorEastAsia" w:eastAsiaTheme="minorEastAsia" w:cstheme="minorEastAsia"/>
          <w:b w:val="0"/>
          <w:i w:val="0"/>
          <w:caps w:val="0"/>
          <w:color w:val="333333"/>
          <w:spacing w:val="0"/>
          <w:sz w:val="28"/>
          <w:szCs w:val="28"/>
          <w:shd w:val="clear" w:fill="FFFFFF"/>
          <w:lang w:eastAsia="zh-CN"/>
        </w:rPr>
        <w:t>（三）</w:t>
      </w:r>
      <w:r>
        <w:rPr>
          <w:rFonts w:hint="eastAsia" w:asciiTheme="minorEastAsia" w:hAnsiTheme="minorEastAsia" w:eastAsiaTheme="minorEastAsia" w:cstheme="minorEastAsia"/>
          <w:b w:val="0"/>
          <w:i w:val="0"/>
          <w:caps w:val="0"/>
          <w:color w:val="333333"/>
          <w:spacing w:val="0"/>
          <w:sz w:val="28"/>
          <w:szCs w:val="28"/>
          <w:shd w:val="clear" w:fill="FFFFFF"/>
        </w:rPr>
        <w:t>人员情况</w:t>
      </w:r>
    </w:p>
    <w:p>
      <w:pPr>
        <w:ind w:firstLine="640"/>
        <w:rPr>
          <w:rFonts w:hint="eastAsia" w:ascii="仿宋_GB2312" w:eastAsia="仿宋_GB2312"/>
          <w:color w:val="auto"/>
          <w:sz w:val="32"/>
          <w:szCs w:val="32"/>
        </w:rPr>
      </w:pPr>
      <w:r>
        <w:rPr>
          <w:rFonts w:hint="eastAsia" w:ascii="仿宋_GB2312" w:eastAsia="仿宋_GB2312"/>
          <w:color w:val="auto"/>
          <w:sz w:val="32"/>
          <w:szCs w:val="32"/>
        </w:rPr>
        <w:t>201</w:t>
      </w:r>
      <w:r>
        <w:rPr>
          <w:rFonts w:hint="eastAsia" w:ascii="仿宋_GB2312" w:eastAsia="仿宋_GB2312"/>
          <w:color w:val="auto"/>
          <w:sz w:val="32"/>
          <w:szCs w:val="32"/>
          <w:lang w:val="en-US" w:eastAsia="zh-CN"/>
        </w:rPr>
        <w:t>9</w:t>
      </w:r>
      <w:r>
        <w:rPr>
          <w:rFonts w:hint="eastAsia" w:ascii="仿宋_GB2312" w:eastAsia="仿宋_GB2312"/>
          <w:color w:val="auto"/>
          <w:sz w:val="32"/>
          <w:szCs w:val="32"/>
        </w:rPr>
        <w:t>年区委统战部实有行政编制</w:t>
      </w:r>
      <w:r>
        <w:rPr>
          <w:rFonts w:hint="eastAsia" w:ascii="仿宋_GB2312" w:eastAsia="仿宋_GB2312"/>
          <w:color w:val="auto"/>
          <w:sz w:val="32"/>
          <w:szCs w:val="32"/>
          <w:lang w:val="en-US" w:eastAsia="zh-CN"/>
        </w:rPr>
        <w:t>4</w:t>
      </w:r>
      <w:r>
        <w:rPr>
          <w:rFonts w:hint="eastAsia" w:ascii="仿宋_GB2312" w:eastAsia="仿宋_GB2312"/>
          <w:color w:val="auto"/>
          <w:sz w:val="32"/>
          <w:szCs w:val="32"/>
        </w:rPr>
        <w:t>人，全年机构、人员无变动情况。</w:t>
      </w:r>
    </w:p>
    <w:p>
      <w:pPr>
        <w:rPr>
          <w:rFonts w:hint="eastAsia" w:ascii="微软雅黑" w:hAnsi="微软雅黑" w:eastAsia="微软雅黑" w:cs="微软雅黑"/>
          <w:color w:val="auto"/>
          <w:sz w:val="24"/>
          <w:szCs w:val="24"/>
          <w:lang w:eastAsia="zh-CN"/>
        </w:rPr>
      </w:pPr>
    </w:p>
    <w:p>
      <w:pPr>
        <w:rPr>
          <w:rFonts w:hint="eastAsia" w:ascii="微软雅黑" w:hAnsi="微软雅黑" w:eastAsia="微软雅黑" w:cs="微软雅黑"/>
          <w:color w:val="auto"/>
          <w:sz w:val="24"/>
          <w:szCs w:val="24"/>
          <w:lang w:eastAsia="zh-CN"/>
        </w:rPr>
      </w:pPr>
    </w:p>
    <w:p>
      <w:pPr>
        <w:rPr>
          <w:rFonts w:hint="eastAsia" w:ascii="微软雅黑" w:hAnsi="微软雅黑" w:eastAsia="微软雅黑" w:cs="微软雅黑"/>
          <w:color w:val="auto"/>
          <w:sz w:val="24"/>
          <w:szCs w:val="24"/>
          <w:lang w:eastAsia="zh-CN"/>
        </w:rPr>
      </w:pPr>
    </w:p>
    <w:p>
      <w:pPr>
        <w:rPr>
          <w:rStyle w:val="6"/>
          <w:rFonts w:hint="eastAsia" w:ascii="微软雅黑" w:hAnsi="微软雅黑" w:eastAsia="微软雅黑" w:cs="微软雅黑"/>
          <w:i w:val="0"/>
          <w:caps w:val="0"/>
          <w:color w:val="333333"/>
          <w:spacing w:val="0"/>
          <w:sz w:val="24"/>
          <w:szCs w:val="24"/>
          <w:shd w:val="clear" w:fill="FFFFFF"/>
        </w:rPr>
      </w:pPr>
      <w:r>
        <w:rPr>
          <w:rStyle w:val="6"/>
          <w:rFonts w:hint="eastAsia" w:ascii="微软雅黑" w:hAnsi="微软雅黑" w:eastAsia="微软雅黑" w:cs="微软雅黑"/>
          <w:i w:val="0"/>
          <w:caps w:val="0"/>
          <w:color w:val="333333"/>
          <w:spacing w:val="0"/>
          <w:sz w:val="24"/>
          <w:szCs w:val="24"/>
          <w:shd w:val="clear" w:fill="FFFFFF"/>
          <w:lang w:eastAsia="zh-CN"/>
        </w:rPr>
        <w:t>第二部分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部门</w:t>
      </w:r>
      <w:r>
        <w:rPr>
          <w:rStyle w:val="6"/>
          <w:rFonts w:hint="eastAsia" w:ascii="微软雅黑" w:hAnsi="微软雅黑" w:eastAsia="微软雅黑" w:cs="微软雅黑"/>
          <w:i w:val="0"/>
          <w:caps w:val="0"/>
          <w:color w:val="333333"/>
          <w:spacing w:val="0"/>
          <w:sz w:val="24"/>
          <w:szCs w:val="24"/>
          <w:shd w:val="clear" w:fill="FFFFFF"/>
          <w:lang w:eastAsia="zh-CN"/>
        </w:rPr>
        <w:t>2019年度</w:t>
      </w:r>
      <w:r>
        <w:rPr>
          <w:rStyle w:val="6"/>
          <w:rFonts w:hint="eastAsia" w:ascii="微软雅黑" w:hAnsi="微软雅黑" w:eastAsia="微软雅黑" w:cs="微软雅黑"/>
          <w:i w:val="0"/>
          <w:caps w:val="0"/>
          <w:color w:val="333333"/>
          <w:spacing w:val="0"/>
          <w:sz w:val="24"/>
          <w:szCs w:val="24"/>
          <w:shd w:val="clear" w:fill="FFFFFF"/>
        </w:rPr>
        <w:t>部门决算表</w:t>
      </w:r>
    </w:p>
    <w:tbl>
      <w:tblPr>
        <w:tblStyle w:val="4"/>
        <w:tblW w:w="14044" w:type="dxa"/>
        <w:tblInd w:w="0" w:type="dxa"/>
        <w:shd w:val="clear" w:color="auto" w:fill="auto"/>
        <w:tblLayout w:type="fixed"/>
        <w:tblCellMar>
          <w:top w:w="0" w:type="dxa"/>
          <w:left w:w="0" w:type="dxa"/>
          <w:bottom w:w="0" w:type="dxa"/>
          <w:right w:w="0" w:type="dxa"/>
        </w:tblCellMar>
      </w:tblPr>
      <w:tblGrid>
        <w:gridCol w:w="4537"/>
        <w:gridCol w:w="644"/>
        <w:gridCol w:w="1842"/>
        <w:gridCol w:w="4537"/>
        <w:gridCol w:w="644"/>
        <w:gridCol w:w="1840"/>
      </w:tblGrid>
      <w:tr>
        <w:tblPrEx>
          <w:shd w:val="clear" w:color="auto" w:fill="auto"/>
          <w:tblCellMar>
            <w:top w:w="0" w:type="dxa"/>
            <w:left w:w="0" w:type="dxa"/>
            <w:bottom w:w="0" w:type="dxa"/>
            <w:right w:w="0" w:type="dxa"/>
          </w:tblCellMar>
        </w:tblPrEx>
        <w:trPr>
          <w:trHeight w:val="426" w:hRule="atLeast"/>
        </w:trPr>
        <w:tc>
          <w:tcPr>
            <w:tcW w:w="14044" w:type="dxa"/>
            <w:gridSpan w:val="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CellMar>
            <w:top w:w="0" w:type="dxa"/>
            <w:left w:w="0" w:type="dxa"/>
            <w:bottom w:w="0" w:type="dxa"/>
            <w:right w:w="0" w:type="dxa"/>
          </w:tblCellMar>
        </w:tblPrEx>
        <w:trPr>
          <w:trHeight w:val="240" w:hRule="atLeast"/>
        </w:trPr>
        <w:tc>
          <w:tcPr>
            <w:tcW w:w="45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4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84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5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4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840"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公开01表</w:t>
            </w:r>
          </w:p>
        </w:tc>
      </w:tr>
      <w:tr>
        <w:tblPrEx>
          <w:tblCellMar>
            <w:top w:w="0" w:type="dxa"/>
            <w:left w:w="0" w:type="dxa"/>
            <w:bottom w:w="0" w:type="dxa"/>
            <w:right w:w="0" w:type="dxa"/>
          </w:tblCellMar>
        </w:tblPrEx>
        <w:trPr>
          <w:trHeight w:val="90" w:hRule="atLeast"/>
        </w:trPr>
        <w:tc>
          <w:tcPr>
            <w:tcW w:w="4537"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部门：中共黄石港区委统战部</w:t>
            </w:r>
          </w:p>
        </w:tc>
        <w:tc>
          <w:tcPr>
            <w:tcW w:w="64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379"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 xml:space="preserve">               2019年度</w:t>
            </w:r>
          </w:p>
        </w:tc>
        <w:tc>
          <w:tcPr>
            <w:tcW w:w="64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84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金额单位：元</w:t>
            </w:r>
          </w:p>
        </w:tc>
      </w:tr>
      <w:tr>
        <w:tblPrEx>
          <w:tblCellMar>
            <w:top w:w="0" w:type="dxa"/>
            <w:left w:w="0" w:type="dxa"/>
            <w:bottom w:w="0" w:type="dxa"/>
            <w:right w:w="0" w:type="dxa"/>
          </w:tblCellMar>
        </w:tblPrEx>
        <w:trPr>
          <w:trHeight w:val="220" w:hRule="atLeast"/>
        </w:trPr>
        <w:tc>
          <w:tcPr>
            <w:tcW w:w="7023"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7021"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8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9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2,000.00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2,000.00</w:t>
            </w: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20" w:hRule="atLeast"/>
        </w:trPr>
        <w:tc>
          <w:tcPr>
            <w:tcW w:w="453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8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1,071,080.20</w:t>
            </w:r>
          </w:p>
        </w:tc>
        <w:tc>
          <w:tcPr>
            <w:tcW w:w="45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64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1,071,080.20</w:t>
            </w:r>
          </w:p>
        </w:tc>
      </w:tr>
      <w:tr>
        <w:tblPrEx>
          <w:tblCellMar>
            <w:top w:w="0" w:type="dxa"/>
            <w:left w:w="0" w:type="dxa"/>
            <w:bottom w:w="0" w:type="dxa"/>
            <w:right w:w="0" w:type="dxa"/>
          </w:tblCellMar>
        </w:tblPrEx>
        <w:trPr>
          <w:trHeight w:val="220" w:hRule="atLeast"/>
        </w:trPr>
        <w:tc>
          <w:tcPr>
            <w:tcW w:w="14044" w:type="dxa"/>
            <w:gridSpan w:val="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
      <w:pPr>
        <w:jc w:val="center"/>
        <w:rPr>
          <w:rStyle w:val="6"/>
          <w:rFonts w:hint="eastAsia" w:ascii="微软雅黑" w:hAnsi="微软雅黑" w:eastAsia="微软雅黑" w:cs="微软雅黑"/>
          <w:i w:val="0"/>
          <w:caps w:val="0"/>
          <w:color w:val="333333"/>
          <w:spacing w:val="0"/>
          <w:sz w:val="24"/>
          <w:szCs w:val="24"/>
          <w:shd w:val="clear" w:fill="FFFFFF"/>
        </w:rPr>
      </w:pPr>
    </w:p>
    <w:p/>
    <w:tbl>
      <w:tblPr>
        <w:tblStyle w:val="4"/>
        <w:tblW w:w="14294" w:type="dxa"/>
        <w:tblInd w:w="0" w:type="dxa"/>
        <w:shd w:val="clear" w:color="auto" w:fill="auto"/>
        <w:tblLayout w:type="fixed"/>
        <w:tblCellMar>
          <w:top w:w="0" w:type="dxa"/>
          <w:left w:w="0" w:type="dxa"/>
          <w:bottom w:w="0" w:type="dxa"/>
          <w:right w:w="0" w:type="dxa"/>
        </w:tblCellMar>
      </w:tblPr>
      <w:tblGrid>
        <w:gridCol w:w="3156"/>
        <w:gridCol w:w="46"/>
        <w:gridCol w:w="46"/>
        <w:gridCol w:w="2228"/>
        <w:gridCol w:w="1685"/>
        <w:gridCol w:w="1685"/>
        <w:gridCol w:w="657"/>
        <w:gridCol w:w="429"/>
        <w:gridCol w:w="7"/>
        <w:gridCol w:w="521"/>
        <w:gridCol w:w="557"/>
        <w:gridCol w:w="528"/>
        <w:gridCol w:w="557"/>
        <w:gridCol w:w="1085"/>
        <w:gridCol w:w="1107"/>
      </w:tblGrid>
      <w:tr>
        <w:tblPrEx>
          <w:shd w:val="clear" w:color="auto" w:fill="auto"/>
          <w:tblCellMar>
            <w:top w:w="0" w:type="dxa"/>
            <w:left w:w="0" w:type="dxa"/>
            <w:bottom w:w="0" w:type="dxa"/>
            <w:right w:w="0" w:type="dxa"/>
          </w:tblCellMar>
        </w:tblPrEx>
        <w:trPr>
          <w:trHeight w:val="375" w:hRule="atLeast"/>
        </w:trPr>
        <w:tc>
          <w:tcPr>
            <w:tcW w:w="14294" w:type="dxa"/>
            <w:gridSpan w:val="15"/>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tblPrEx>
          <w:tblCellMar>
            <w:top w:w="0" w:type="dxa"/>
            <w:left w:w="0" w:type="dxa"/>
            <w:bottom w:w="0" w:type="dxa"/>
            <w:right w:w="0" w:type="dxa"/>
          </w:tblCellMar>
        </w:tblPrEx>
        <w:trPr>
          <w:trHeight w:val="300" w:hRule="atLeast"/>
        </w:trPr>
        <w:tc>
          <w:tcPr>
            <w:tcW w:w="315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22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8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8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5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36"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2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85"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749" w:type="dxa"/>
            <w:gridSpan w:val="3"/>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CellMar>
            <w:top w:w="0" w:type="dxa"/>
            <w:left w:w="0" w:type="dxa"/>
            <w:bottom w:w="0" w:type="dxa"/>
            <w:right w:w="0" w:type="dxa"/>
          </w:tblCellMar>
        </w:tblPrEx>
        <w:trPr>
          <w:trHeight w:val="300" w:hRule="atLeast"/>
        </w:trPr>
        <w:tc>
          <w:tcPr>
            <w:tcW w:w="315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部门：中共黄石港区委统战部</w:t>
            </w:r>
          </w:p>
        </w:tc>
        <w:tc>
          <w:tcPr>
            <w:tcW w:w="4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4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22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4463" w:type="dxa"/>
            <w:gridSpan w:val="5"/>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         2019年度</w:t>
            </w:r>
          </w:p>
        </w:tc>
        <w:tc>
          <w:tcPr>
            <w:tcW w:w="52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08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749"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CellMar>
            <w:top w:w="0" w:type="dxa"/>
            <w:left w:w="0" w:type="dxa"/>
            <w:bottom w:w="0" w:type="dxa"/>
            <w:right w:w="0" w:type="dxa"/>
          </w:tblCellMar>
        </w:tblPrEx>
        <w:trPr>
          <w:trHeight w:val="300" w:hRule="atLeast"/>
        </w:trPr>
        <w:tc>
          <w:tcPr>
            <w:tcW w:w="547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8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68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1086"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1085" w:type="dxa"/>
            <w:gridSpan w:val="3"/>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1085"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108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10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CellMar>
            <w:top w:w="0" w:type="dxa"/>
            <w:left w:w="0" w:type="dxa"/>
            <w:bottom w:w="0" w:type="dxa"/>
            <w:right w:w="0" w:type="dxa"/>
          </w:tblCellMar>
        </w:tblPrEx>
        <w:trPr>
          <w:trHeight w:val="300" w:hRule="atLeast"/>
        </w:trPr>
        <w:tc>
          <w:tcPr>
            <w:tcW w:w="3248"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228"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6"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0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3248"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2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6"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0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3248"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2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6"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0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547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8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8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86"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08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085"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8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10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CellMar>
            <w:top w:w="0" w:type="dxa"/>
            <w:left w:w="0" w:type="dxa"/>
            <w:bottom w:w="0" w:type="dxa"/>
            <w:right w:w="0" w:type="dxa"/>
          </w:tblCellMar>
        </w:tblPrEx>
        <w:trPr>
          <w:trHeight w:val="300" w:hRule="atLeast"/>
        </w:trPr>
        <w:tc>
          <w:tcPr>
            <w:tcW w:w="5476"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6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086"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0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24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2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6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6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086"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0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24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20128</w:t>
            </w:r>
          </w:p>
        </w:tc>
        <w:tc>
          <w:tcPr>
            <w:tcW w:w="22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民主党派及工商联事务</w:t>
            </w:r>
          </w:p>
        </w:tc>
        <w:tc>
          <w:tcPr>
            <w:tcW w:w="16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477,531.36</w:t>
            </w:r>
          </w:p>
        </w:tc>
        <w:tc>
          <w:tcPr>
            <w:tcW w:w="16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477,531.36</w:t>
            </w:r>
          </w:p>
        </w:tc>
        <w:tc>
          <w:tcPr>
            <w:tcW w:w="1086"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0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248"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2012801</w:t>
            </w:r>
          </w:p>
        </w:tc>
        <w:tc>
          <w:tcPr>
            <w:tcW w:w="2228"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477,531.36</w:t>
            </w:r>
          </w:p>
        </w:tc>
        <w:tc>
          <w:tcPr>
            <w:tcW w:w="16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477,531.36</w:t>
            </w:r>
          </w:p>
        </w:tc>
        <w:tc>
          <w:tcPr>
            <w:tcW w:w="1086"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5"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0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24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20134</w:t>
            </w:r>
          </w:p>
        </w:tc>
        <w:tc>
          <w:tcPr>
            <w:tcW w:w="22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统战事务</w:t>
            </w:r>
          </w:p>
        </w:tc>
        <w:tc>
          <w:tcPr>
            <w:tcW w:w="16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591,548.84</w:t>
            </w:r>
          </w:p>
        </w:tc>
        <w:tc>
          <w:tcPr>
            <w:tcW w:w="16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591,548.84</w:t>
            </w:r>
          </w:p>
        </w:tc>
        <w:tc>
          <w:tcPr>
            <w:tcW w:w="1086"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0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248"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2013401</w:t>
            </w:r>
          </w:p>
        </w:tc>
        <w:tc>
          <w:tcPr>
            <w:tcW w:w="2228"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591,548.84</w:t>
            </w:r>
          </w:p>
        </w:tc>
        <w:tc>
          <w:tcPr>
            <w:tcW w:w="16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591,548.84</w:t>
            </w:r>
          </w:p>
        </w:tc>
        <w:tc>
          <w:tcPr>
            <w:tcW w:w="1086"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5"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0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14294" w:type="dxa"/>
            <w:gridSpan w:val="15"/>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p/>
    <w:p/>
    <w:tbl>
      <w:tblPr>
        <w:tblStyle w:val="4"/>
        <w:tblW w:w="14294" w:type="dxa"/>
        <w:tblInd w:w="0" w:type="dxa"/>
        <w:shd w:val="clear" w:color="auto" w:fill="auto"/>
        <w:tblLayout w:type="fixed"/>
        <w:tblCellMar>
          <w:top w:w="0" w:type="dxa"/>
          <w:left w:w="0" w:type="dxa"/>
          <w:bottom w:w="0" w:type="dxa"/>
          <w:right w:w="0" w:type="dxa"/>
        </w:tblCellMar>
      </w:tblPr>
      <w:tblGrid>
        <w:gridCol w:w="2824"/>
        <w:gridCol w:w="2968"/>
        <w:gridCol w:w="1651"/>
        <w:gridCol w:w="1651"/>
        <w:gridCol w:w="1300"/>
        <w:gridCol w:w="220"/>
        <w:gridCol w:w="890"/>
        <w:gridCol w:w="190"/>
        <w:gridCol w:w="700"/>
        <w:gridCol w:w="600"/>
        <w:gridCol w:w="1300"/>
      </w:tblGrid>
      <w:tr>
        <w:tblPrEx>
          <w:shd w:val="clear" w:color="auto" w:fill="auto"/>
          <w:tblCellMar>
            <w:top w:w="0" w:type="dxa"/>
            <w:left w:w="0" w:type="dxa"/>
            <w:bottom w:w="0" w:type="dxa"/>
            <w:right w:w="0" w:type="dxa"/>
          </w:tblCellMar>
        </w:tblPrEx>
        <w:trPr>
          <w:trHeight w:val="375" w:hRule="atLeast"/>
        </w:trPr>
        <w:tc>
          <w:tcPr>
            <w:tcW w:w="14294" w:type="dxa"/>
            <w:gridSpan w:val="11"/>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支出决算表</w:t>
            </w:r>
          </w:p>
        </w:tc>
      </w:tr>
      <w:tr>
        <w:tblPrEx>
          <w:tblCellMar>
            <w:top w:w="0" w:type="dxa"/>
            <w:left w:w="0" w:type="dxa"/>
            <w:bottom w:w="0" w:type="dxa"/>
            <w:right w:w="0" w:type="dxa"/>
          </w:tblCellMar>
        </w:tblPrEx>
        <w:trPr>
          <w:trHeight w:val="300" w:hRule="atLeast"/>
        </w:trPr>
        <w:tc>
          <w:tcPr>
            <w:tcW w:w="14294" w:type="dxa"/>
            <w:gridSpan w:val="11"/>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CellMar>
            <w:top w:w="0" w:type="dxa"/>
            <w:left w:w="0" w:type="dxa"/>
            <w:bottom w:w="0" w:type="dxa"/>
            <w:right w:w="0" w:type="dxa"/>
          </w:tblCellMar>
        </w:tblPrEx>
        <w:trPr>
          <w:trHeight w:val="300" w:hRule="atLeast"/>
        </w:trPr>
        <w:tc>
          <w:tcPr>
            <w:tcW w:w="282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部门：中共黄石港区委统战部</w:t>
            </w:r>
          </w:p>
        </w:tc>
        <w:tc>
          <w:tcPr>
            <w:tcW w:w="7790" w:type="dxa"/>
            <w:gridSpan w:val="5"/>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89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89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90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CellMar>
            <w:top w:w="0" w:type="dxa"/>
            <w:left w:w="0" w:type="dxa"/>
            <w:bottom w:w="0" w:type="dxa"/>
            <w:right w:w="0" w:type="dxa"/>
          </w:tblCellMar>
        </w:tblPrEx>
        <w:trPr>
          <w:trHeight w:val="300" w:hRule="atLeast"/>
        </w:trPr>
        <w:tc>
          <w:tcPr>
            <w:tcW w:w="5792"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5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65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13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1300" w:type="dxa"/>
            <w:gridSpan w:val="3"/>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w:t>
            </w:r>
            <w:r>
              <w:rPr>
                <w:rFonts w:hint="eastAsia" w:ascii="宋体" w:hAnsi="宋体" w:cs="宋体"/>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支出</w:t>
            </w:r>
          </w:p>
        </w:tc>
        <w:tc>
          <w:tcPr>
            <w:tcW w:w="130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3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CellMar>
            <w:top w:w="0" w:type="dxa"/>
            <w:left w:w="0" w:type="dxa"/>
            <w:bottom w:w="0" w:type="dxa"/>
            <w:right w:w="0" w:type="dxa"/>
          </w:tblCellMar>
        </w:tblPrEx>
        <w:trPr>
          <w:trHeight w:val="300" w:hRule="atLeast"/>
        </w:trPr>
        <w:tc>
          <w:tcPr>
            <w:tcW w:w="2824"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968"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5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24"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6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24"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6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5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5792"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5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5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30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300"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300"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30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CellMar>
            <w:top w:w="0" w:type="dxa"/>
            <w:left w:w="0" w:type="dxa"/>
            <w:bottom w:w="0" w:type="dxa"/>
            <w:right w:w="0" w:type="dxa"/>
          </w:tblCellMar>
        </w:tblPrEx>
        <w:trPr>
          <w:trHeight w:val="300" w:hRule="atLeast"/>
        </w:trPr>
        <w:tc>
          <w:tcPr>
            <w:tcW w:w="5792"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5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65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3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2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9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6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6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1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2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20128</w:t>
            </w:r>
          </w:p>
        </w:tc>
        <w:tc>
          <w:tcPr>
            <w:tcW w:w="29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民主党派及工商联事务</w:t>
            </w:r>
          </w:p>
        </w:tc>
        <w:tc>
          <w:tcPr>
            <w:tcW w:w="16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477,531.36</w:t>
            </w:r>
          </w:p>
        </w:tc>
        <w:tc>
          <w:tcPr>
            <w:tcW w:w="16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477,531.36</w:t>
            </w:r>
          </w:p>
        </w:tc>
        <w:tc>
          <w:tcPr>
            <w:tcW w:w="1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24"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2012801</w:t>
            </w:r>
          </w:p>
        </w:tc>
        <w:tc>
          <w:tcPr>
            <w:tcW w:w="2968"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5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477,531.36</w:t>
            </w:r>
          </w:p>
        </w:tc>
        <w:tc>
          <w:tcPr>
            <w:tcW w:w="165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477,531.36</w:t>
            </w:r>
          </w:p>
        </w:tc>
        <w:tc>
          <w:tcPr>
            <w:tcW w:w="13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00"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0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2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20134</w:t>
            </w:r>
          </w:p>
        </w:tc>
        <w:tc>
          <w:tcPr>
            <w:tcW w:w="296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统战事务</w:t>
            </w:r>
          </w:p>
        </w:tc>
        <w:tc>
          <w:tcPr>
            <w:tcW w:w="16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591,548.84</w:t>
            </w:r>
          </w:p>
        </w:tc>
        <w:tc>
          <w:tcPr>
            <w:tcW w:w="16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591,548.84</w:t>
            </w:r>
          </w:p>
        </w:tc>
        <w:tc>
          <w:tcPr>
            <w:tcW w:w="1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0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24"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2013401</w:t>
            </w:r>
          </w:p>
        </w:tc>
        <w:tc>
          <w:tcPr>
            <w:tcW w:w="2968"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5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591,548.84</w:t>
            </w:r>
          </w:p>
        </w:tc>
        <w:tc>
          <w:tcPr>
            <w:tcW w:w="165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591,548.84</w:t>
            </w:r>
          </w:p>
        </w:tc>
        <w:tc>
          <w:tcPr>
            <w:tcW w:w="13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00"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0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14294" w:type="dxa"/>
            <w:gridSpan w:val="11"/>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
    <w:p/>
    <w:p/>
    <w:p/>
    <w:p/>
    <w:p/>
    <w:p/>
    <w:p/>
    <w:p/>
    <w:p/>
    <w:p/>
    <w:p/>
    <w:tbl>
      <w:tblPr>
        <w:tblStyle w:val="4"/>
        <w:tblW w:w="14329" w:type="dxa"/>
        <w:tblInd w:w="0" w:type="dxa"/>
        <w:shd w:val="clear" w:color="auto" w:fill="auto"/>
        <w:tblLayout w:type="fixed"/>
        <w:tblCellMar>
          <w:top w:w="0" w:type="dxa"/>
          <w:left w:w="0" w:type="dxa"/>
          <w:bottom w:w="0" w:type="dxa"/>
          <w:right w:w="0" w:type="dxa"/>
        </w:tblCellMar>
      </w:tblPr>
      <w:tblGrid>
        <w:gridCol w:w="2807"/>
        <w:gridCol w:w="512"/>
        <w:gridCol w:w="1965"/>
        <w:gridCol w:w="2970"/>
        <w:gridCol w:w="555"/>
        <w:gridCol w:w="840"/>
        <w:gridCol w:w="1000"/>
        <w:gridCol w:w="365"/>
        <w:gridCol w:w="1475"/>
        <w:gridCol w:w="1840"/>
      </w:tblGrid>
      <w:tr>
        <w:tblPrEx>
          <w:shd w:val="clear" w:color="auto" w:fill="auto"/>
          <w:tblCellMar>
            <w:top w:w="0" w:type="dxa"/>
            <w:left w:w="0" w:type="dxa"/>
            <w:bottom w:w="0" w:type="dxa"/>
            <w:right w:w="0" w:type="dxa"/>
          </w:tblCellMar>
        </w:tblPrEx>
        <w:trPr>
          <w:trHeight w:val="375" w:hRule="atLeast"/>
        </w:trPr>
        <w:tc>
          <w:tcPr>
            <w:tcW w:w="14329" w:type="dxa"/>
            <w:gridSpan w:val="10"/>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CellMar>
            <w:top w:w="0" w:type="dxa"/>
            <w:left w:w="0" w:type="dxa"/>
            <w:bottom w:w="0" w:type="dxa"/>
            <w:right w:w="0" w:type="dxa"/>
          </w:tblCellMar>
        </w:tblPrEx>
        <w:trPr>
          <w:trHeight w:val="200" w:hRule="atLeast"/>
        </w:trPr>
        <w:tc>
          <w:tcPr>
            <w:tcW w:w="280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96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97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5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4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365"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315" w:type="dxa"/>
            <w:gridSpan w:val="2"/>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公开04表</w:t>
            </w:r>
          </w:p>
        </w:tc>
      </w:tr>
      <w:tr>
        <w:tblPrEx>
          <w:tblCellMar>
            <w:top w:w="0" w:type="dxa"/>
            <w:left w:w="0" w:type="dxa"/>
            <w:bottom w:w="0" w:type="dxa"/>
            <w:right w:w="0" w:type="dxa"/>
          </w:tblCellMar>
        </w:tblPrEx>
        <w:trPr>
          <w:trHeight w:val="200" w:hRule="atLeast"/>
        </w:trPr>
        <w:tc>
          <w:tcPr>
            <w:tcW w:w="2807"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部门：中共黄石港区委统战部</w:t>
            </w:r>
          </w:p>
        </w:tc>
        <w:tc>
          <w:tcPr>
            <w:tcW w:w="51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6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2019年度</w:t>
            </w:r>
          </w:p>
        </w:tc>
        <w:tc>
          <w:tcPr>
            <w:tcW w:w="55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4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6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31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金额单位：元</w:t>
            </w:r>
          </w:p>
        </w:tc>
      </w:tr>
      <w:tr>
        <w:tblPrEx>
          <w:tblCellMar>
            <w:top w:w="0" w:type="dxa"/>
            <w:left w:w="0" w:type="dxa"/>
            <w:bottom w:w="0" w:type="dxa"/>
            <w:right w:w="0" w:type="dxa"/>
          </w:tblCellMar>
        </w:tblPrEx>
        <w:trPr>
          <w:trHeight w:val="300" w:hRule="atLeast"/>
        </w:trPr>
        <w:tc>
          <w:tcPr>
            <w:tcW w:w="5284"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9045" w:type="dxa"/>
            <w:gridSpan w:val="7"/>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CellMar>
            <w:top w:w="0" w:type="dxa"/>
            <w:left w:w="0" w:type="dxa"/>
            <w:bottom w:w="0" w:type="dxa"/>
            <w:right w:w="0" w:type="dxa"/>
          </w:tblCellMar>
        </w:tblPrEx>
        <w:trPr>
          <w:trHeight w:val="285" w:hRule="atLeast"/>
        </w:trPr>
        <w:tc>
          <w:tcPr>
            <w:tcW w:w="2807"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1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96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97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840" w:type="dxa"/>
            <w:gridSpan w:val="2"/>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84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w:t>
            </w:r>
            <w:r>
              <w:rPr>
                <w:rFonts w:hint="eastAsia" w:ascii="宋体" w:hAnsi="宋体" w:cs="宋体"/>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拨款</w:t>
            </w:r>
          </w:p>
        </w:tc>
        <w:tc>
          <w:tcPr>
            <w:tcW w:w="184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CellMar>
            <w:top w:w="0" w:type="dxa"/>
            <w:left w:w="0" w:type="dxa"/>
            <w:bottom w:w="0" w:type="dxa"/>
            <w:right w:w="0" w:type="dxa"/>
          </w:tblCellMar>
        </w:tblPrEx>
        <w:trPr>
          <w:trHeight w:val="340" w:hRule="atLeast"/>
        </w:trPr>
        <w:tc>
          <w:tcPr>
            <w:tcW w:w="2807"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1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6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jc w:val="center"/>
              <w:rPr>
                <w:rFonts w:hint="eastAsia" w:ascii="宋体" w:hAnsi="宋体" w:eastAsia="宋体" w:cs="宋体"/>
                <w:i w:val="0"/>
                <w:color w:val="000000"/>
                <w:sz w:val="20"/>
                <w:szCs w:val="20"/>
                <w:u w:val="none"/>
              </w:rPr>
            </w:pPr>
          </w:p>
        </w:tc>
        <w:tc>
          <w:tcPr>
            <w:tcW w:w="5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40" w:type="dxa"/>
            <w:gridSpan w:val="2"/>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4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4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6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4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84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8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0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96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29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184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1,069,080.20</w:t>
            </w:r>
          </w:p>
        </w:tc>
        <w:tc>
          <w:tcPr>
            <w:tcW w:w="1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14329" w:type="dxa"/>
            <w:gridSpan w:val="10"/>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
    <w:p/>
    <w:tbl>
      <w:tblPr>
        <w:tblStyle w:val="4"/>
        <w:tblW w:w="14344" w:type="dxa"/>
        <w:tblInd w:w="0" w:type="dxa"/>
        <w:shd w:val="clear" w:color="auto" w:fill="auto"/>
        <w:tblLayout w:type="fixed"/>
        <w:tblCellMar>
          <w:top w:w="0" w:type="dxa"/>
          <w:left w:w="0" w:type="dxa"/>
          <w:bottom w:w="0" w:type="dxa"/>
          <w:right w:w="0" w:type="dxa"/>
        </w:tblCellMar>
      </w:tblPr>
      <w:tblGrid>
        <w:gridCol w:w="2890"/>
        <w:gridCol w:w="36"/>
        <w:gridCol w:w="36"/>
        <w:gridCol w:w="2907"/>
        <w:gridCol w:w="2730"/>
        <w:gridCol w:w="2910"/>
        <w:gridCol w:w="2835"/>
      </w:tblGrid>
      <w:tr>
        <w:tblPrEx>
          <w:shd w:val="clear" w:color="auto" w:fill="auto"/>
          <w:tblCellMar>
            <w:top w:w="0" w:type="dxa"/>
            <w:left w:w="0" w:type="dxa"/>
            <w:bottom w:w="0" w:type="dxa"/>
            <w:right w:w="0" w:type="dxa"/>
          </w:tblCellMar>
        </w:tblPrEx>
        <w:trPr>
          <w:trHeight w:val="375" w:hRule="atLeast"/>
        </w:trPr>
        <w:tc>
          <w:tcPr>
            <w:tcW w:w="14344" w:type="dxa"/>
            <w:gridSpan w:val="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CellMar>
            <w:top w:w="0" w:type="dxa"/>
            <w:left w:w="0" w:type="dxa"/>
            <w:bottom w:w="0" w:type="dxa"/>
            <w:right w:w="0" w:type="dxa"/>
          </w:tblCellMar>
        </w:tblPrEx>
        <w:trPr>
          <w:trHeight w:val="300" w:hRule="atLeast"/>
        </w:trPr>
        <w:tc>
          <w:tcPr>
            <w:tcW w:w="289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90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73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91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835"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CellMar>
            <w:top w:w="0" w:type="dxa"/>
            <w:left w:w="0" w:type="dxa"/>
            <w:bottom w:w="0" w:type="dxa"/>
            <w:right w:w="0" w:type="dxa"/>
          </w:tblCellMar>
        </w:tblPrEx>
        <w:trPr>
          <w:trHeight w:val="300" w:hRule="atLeast"/>
        </w:trPr>
        <w:tc>
          <w:tcPr>
            <w:tcW w:w="289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部门：中共黄石港区委统战部</w:t>
            </w: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90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273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91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835"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CellMar>
            <w:top w:w="0" w:type="dxa"/>
            <w:left w:w="0" w:type="dxa"/>
            <w:bottom w:w="0" w:type="dxa"/>
            <w:right w:w="0" w:type="dxa"/>
          </w:tblCellMar>
        </w:tblPrEx>
        <w:trPr>
          <w:trHeight w:val="300" w:hRule="atLeast"/>
        </w:trPr>
        <w:tc>
          <w:tcPr>
            <w:tcW w:w="586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47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CellMar>
            <w:top w:w="0" w:type="dxa"/>
            <w:left w:w="0" w:type="dxa"/>
            <w:bottom w:w="0" w:type="dxa"/>
            <w:right w:w="0" w:type="dxa"/>
          </w:tblCellMar>
        </w:tblPrEx>
        <w:trPr>
          <w:trHeight w:val="300" w:hRule="atLeast"/>
        </w:trPr>
        <w:tc>
          <w:tcPr>
            <w:tcW w:w="2962"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90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7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91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83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CellMar>
            <w:top w:w="0" w:type="dxa"/>
            <w:left w:w="0" w:type="dxa"/>
            <w:bottom w:w="0" w:type="dxa"/>
            <w:right w:w="0" w:type="dxa"/>
          </w:tblCellMar>
        </w:tblPrEx>
        <w:trPr>
          <w:trHeight w:val="270" w:hRule="atLeast"/>
        </w:trPr>
        <w:tc>
          <w:tcPr>
            <w:tcW w:w="296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0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7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8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96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0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7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1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8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586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7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8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CellMar>
            <w:top w:w="0" w:type="dxa"/>
            <w:left w:w="0" w:type="dxa"/>
            <w:bottom w:w="0" w:type="dxa"/>
            <w:right w:w="0" w:type="dxa"/>
          </w:tblCellMar>
        </w:tblPrEx>
        <w:trPr>
          <w:trHeight w:val="300" w:hRule="atLeast"/>
        </w:trPr>
        <w:tc>
          <w:tcPr>
            <w:tcW w:w="586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7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291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28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96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90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27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2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1,069,080.20</w:t>
            </w:r>
          </w:p>
        </w:tc>
        <w:tc>
          <w:tcPr>
            <w:tcW w:w="28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96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20128</w:t>
            </w:r>
          </w:p>
        </w:tc>
        <w:tc>
          <w:tcPr>
            <w:tcW w:w="290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民主党派及工商联事务</w:t>
            </w:r>
          </w:p>
        </w:tc>
        <w:tc>
          <w:tcPr>
            <w:tcW w:w="27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477,531.36</w:t>
            </w:r>
          </w:p>
        </w:tc>
        <w:tc>
          <w:tcPr>
            <w:tcW w:w="2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477,531.36</w:t>
            </w:r>
          </w:p>
        </w:tc>
        <w:tc>
          <w:tcPr>
            <w:tcW w:w="28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96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2012801</w:t>
            </w:r>
          </w:p>
        </w:tc>
        <w:tc>
          <w:tcPr>
            <w:tcW w:w="290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7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477,531.36</w:t>
            </w:r>
          </w:p>
        </w:tc>
        <w:tc>
          <w:tcPr>
            <w:tcW w:w="291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477,531.36</w:t>
            </w:r>
          </w:p>
        </w:tc>
        <w:tc>
          <w:tcPr>
            <w:tcW w:w="28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96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20134</w:t>
            </w:r>
          </w:p>
        </w:tc>
        <w:tc>
          <w:tcPr>
            <w:tcW w:w="290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统战事务</w:t>
            </w:r>
          </w:p>
        </w:tc>
        <w:tc>
          <w:tcPr>
            <w:tcW w:w="27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591,548.84</w:t>
            </w:r>
          </w:p>
        </w:tc>
        <w:tc>
          <w:tcPr>
            <w:tcW w:w="291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591,548.84</w:t>
            </w:r>
          </w:p>
        </w:tc>
        <w:tc>
          <w:tcPr>
            <w:tcW w:w="28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296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2013401</w:t>
            </w:r>
          </w:p>
        </w:tc>
        <w:tc>
          <w:tcPr>
            <w:tcW w:w="290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7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591,548.84</w:t>
            </w:r>
          </w:p>
        </w:tc>
        <w:tc>
          <w:tcPr>
            <w:tcW w:w="291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591,548.84</w:t>
            </w:r>
          </w:p>
        </w:tc>
        <w:tc>
          <w:tcPr>
            <w:tcW w:w="28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14344" w:type="dxa"/>
            <w:gridSpan w:val="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p/>
    <w:tbl>
      <w:tblPr>
        <w:tblStyle w:val="4"/>
        <w:tblW w:w="14434" w:type="dxa"/>
        <w:tblInd w:w="0" w:type="dxa"/>
        <w:shd w:val="clear" w:color="auto" w:fill="auto"/>
        <w:tblLayout w:type="fixed"/>
        <w:tblCellMar>
          <w:top w:w="0" w:type="dxa"/>
          <w:left w:w="0" w:type="dxa"/>
          <w:bottom w:w="0" w:type="dxa"/>
          <w:right w:w="0" w:type="dxa"/>
        </w:tblCellMar>
      </w:tblPr>
      <w:tblGrid>
        <w:gridCol w:w="530"/>
        <w:gridCol w:w="3030"/>
        <w:gridCol w:w="1424"/>
        <w:gridCol w:w="615"/>
        <w:gridCol w:w="2355"/>
        <w:gridCol w:w="1350"/>
        <w:gridCol w:w="660"/>
        <w:gridCol w:w="3150"/>
        <w:gridCol w:w="1320"/>
      </w:tblGrid>
      <w:tr>
        <w:tblPrEx>
          <w:shd w:val="clear" w:color="auto" w:fill="auto"/>
          <w:tblCellMar>
            <w:top w:w="0" w:type="dxa"/>
            <w:left w:w="0" w:type="dxa"/>
            <w:bottom w:w="0" w:type="dxa"/>
            <w:right w:w="0" w:type="dxa"/>
          </w:tblCellMar>
        </w:tblPrEx>
        <w:trPr>
          <w:trHeight w:val="375" w:hRule="atLeast"/>
        </w:trPr>
        <w:tc>
          <w:tcPr>
            <w:tcW w:w="14434"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CellMar>
            <w:top w:w="0" w:type="dxa"/>
            <w:left w:w="0" w:type="dxa"/>
            <w:bottom w:w="0" w:type="dxa"/>
            <w:right w:w="0" w:type="dxa"/>
          </w:tblCellMar>
        </w:tblPrEx>
        <w:trPr>
          <w:trHeight w:val="300" w:hRule="atLeast"/>
        </w:trPr>
        <w:tc>
          <w:tcPr>
            <w:tcW w:w="14434"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公开06表</w:t>
            </w:r>
          </w:p>
        </w:tc>
      </w:tr>
      <w:tr>
        <w:tblPrEx>
          <w:tblCellMar>
            <w:top w:w="0" w:type="dxa"/>
            <w:left w:w="0" w:type="dxa"/>
            <w:bottom w:w="0" w:type="dxa"/>
            <w:right w:w="0" w:type="dxa"/>
          </w:tblCellMar>
        </w:tblPrEx>
        <w:trPr>
          <w:trHeight w:val="300" w:hRule="atLeast"/>
        </w:trPr>
        <w:tc>
          <w:tcPr>
            <w:tcW w:w="356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部门：中共黄石港区委统战部</w:t>
            </w:r>
          </w:p>
        </w:tc>
        <w:tc>
          <w:tcPr>
            <w:tcW w:w="6404" w:type="dxa"/>
            <w:gridSpan w:val="5"/>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2019年度</w:t>
            </w:r>
          </w:p>
        </w:tc>
        <w:tc>
          <w:tcPr>
            <w:tcW w:w="31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金额单位：元</w:t>
            </w:r>
          </w:p>
        </w:tc>
      </w:tr>
      <w:tr>
        <w:tblPrEx>
          <w:tblCellMar>
            <w:top w:w="0" w:type="dxa"/>
            <w:left w:w="0" w:type="dxa"/>
            <w:bottom w:w="0" w:type="dxa"/>
            <w:right w:w="0" w:type="dxa"/>
          </w:tblCellMar>
        </w:tblPrEx>
        <w:trPr>
          <w:trHeight w:val="240" w:hRule="atLeast"/>
        </w:trPr>
        <w:tc>
          <w:tcPr>
            <w:tcW w:w="4984"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450"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CellMar>
            <w:top w:w="0" w:type="dxa"/>
            <w:left w:w="0" w:type="dxa"/>
            <w:bottom w:w="0" w:type="dxa"/>
            <w:right w:w="0" w:type="dxa"/>
          </w:tblCellMar>
        </w:tblPrEx>
        <w:trPr>
          <w:trHeight w:val="240" w:hRule="atLeast"/>
        </w:trPr>
        <w:tc>
          <w:tcPr>
            <w:tcW w:w="530"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30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2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61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3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66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w:t>
            </w:r>
            <w:r>
              <w:rPr>
                <w:rFonts w:hint="eastAsia" w:ascii="宋体" w:hAnsi="宋体" w:cs="宋体"/>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编码</w:t>
            </w:r>
          </w:p>
        </w:tc>
        <w:tc>
          <w:tcPr>
            <w:tcW w:w="31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2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CellMar>
            <w:top w:w="0" w:type="dxa"/>
            <w:left w:w="0" w:type="dxa"/>
            <w:bottom w:w="0" w:type="dxa"/>
            <w:right w:w="0" w:type="dxa"/>
          </w:tblCellMar>
        </w:tblPrEx>
        <w:trPr>
          <w:trHeight w:val="240" w:hRule="atLeast"/>
        </w:trPr>
        <w:tc>
          <w:tcPr>
            <w:tcW w:w="530"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0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2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3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6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1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779,247.20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287,983.00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197,506.00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136,205.42</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166,623.73</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187,651.00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1,850.00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1,850.00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62,161.12</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19,107.76</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78,163.44</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2,451.15</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4,757.50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54"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65,583.00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58,268.00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886.00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9,575.00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40" w:hRule="atLeast"/>
        </w:trPr>
        <w:tc>
          <w:tcPr>
            <w:tcW w:w="53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35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78,291.08</w:t>
            </w:r>
          </w:p>
        </w:tc>
        <w:tc>
          <w:tcPr>
            <w:tcW w:w="66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240" w:hRule="atLeast"/>
        </w:trPr>
        <w:tc>
          <w:tcPr>
            <w:tcW w:w="3560"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4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779,247.20</w:t>
            </w:r>
          </w:p>
        </w:tc>
        <w:tc>
          <w:tcPr>
            <w:tcW w:w="8130"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289,833.00</w:t>
            </w:r>
          </w:p>
        </w:tc>
      </w:tr>
      <w:tr>
        <w:tblPrEx>
          <w:tblCellMar>
            <w:top w:w="0" w:type="dxa"/>
            <w:left w:w="0" w:type="dxa"/>
            <w:bottom w:w="0" w:type="dxa"/>
            <w:right w:w="0" w:type="dxa"/>
          </w:tblCellMar>
        </w:tblPrEx>
        <w:trPr>
          <w:trHeight w:val="300" w:hRule="atLeast"/>
        </w:trPr>
        <w:tc>
          <w:tcPr>
            <w:tcW w:w="14434"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
    <w:p/>
    <w:tbl>
      <w:tblPr>
        <w:tblStyle w:val="4"/>
        <w:tblW w:w="14479" w:type="dxa"/>
        <w:tblInd w:w="0" w:type="dxa"/>
        <w:shd w:val="clear" w:color="auto" w:fill="auto"/>
        <w:tblLayout w:type="fixed"/>
        <w:tblCellMar>
          <w:top w:w="0" w:type="dxa"/>
          <w:left w:w="0" w:type="dxa"/>
          <w:bottom w:w="0" w:type="dxa"/>
          <w:right w:w="0" w:type="dxa"/>
        </w:tblCellMar>
      </w:tblPr>
      <w:tblGrid>
        <w:gridCol w:w="2890"/>
        <w:gridCol w:w="1098"/>
        <w:gridCol w:w="845"/>
        <w:gridCol w:w="845"/>
        <w:gridCol w:w="845"/>
        <w:gridCol w:w="845"/>
        <w:gridCol w:w="1125"/>
        <w:gridCol w:w="1125"/>
        <w:gridCol w:w="845"/>
        <w:gridCol w:w="1241"/>
        <w:gridCol w:w="1350"/>
        <w:gridCol w:w="1425"/>
      </w:tblGrid>
      <w:tr>
        <w:tblPrEx>
          <w:shd w:val="clear" w:color="auto" w:fill="auto"/>
          <w:tblCellMar>
            <w:top w:w="0" w:type="dxa"/>
            <w:left w:w="0" w:type="dxa"/>
            <w:bottom w:w="0" w:type="dxa"/>
            <w:right w:w="0" w:type="dxa"/>
          </w:tblCellMar>
        </w:tblPrEx>
        <w:trPr>
          <w:trHeight w:val="375" w:hRule="atLeast"/>
        </w:trPr>
        <w:tc>
          <w:tcPr>
            <w:tcW w:w="14479" w:type="dxa"/>
            <w:gridSpan w:val="12"/>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CellMar>
            <w:top w:w="0" w:type="dxa"/>
            <w:left w:w="0" w:type="dxa"/>
            <w:bottom w:w="0" w:type="dxa"/>
            <w:right w:w="0" w:type="dxa"/>
          </w:tblCellMar>
        </w:tblPrEx>
        <w:trPr>
          <w:trHeight w:val="300" w:hRule="atLeast"/>
        </w:trPr>
        <w:tc>
          <w:tcPr>
            <w:tcW w:w="14479" w:type="dxa"/>
            <w:gridSpan w:val="12"/>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CellMar>
            <w:top w:w="0" w:type="dxa"/>
            <w:left w:w="0" w:type="dxa"/>
            <w:bottom w:w="0" w:type="dxa"/>
            <w:right w:w="0" w:type="dxa"/>
          </w:tblCellMar>
        </w:tblPrEx>
        <w:trPr>
          <w:trHeight w:val="300" w:hRule="atLeast"/>
        </w:trPr>
        <w:tc>
          <w:tcPr>
            <w:tcW w:w="289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部门：中共黄石港区委统战部</w:t>
            </w:r>
          </w:p>
        </w:tc>
        <w:tc>
          <w:tcPr>
            <w:tcW w:w="109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84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630" w:type="dxa"/>
            <w:gridSpan w:val="6"/>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24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3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25"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CellMar>
            <w:top w:w="0" w:type="dxa"/>
            <w:left w:w="0" w:type="dxa"/>
            <w:bottom w:w="0" w:type="dxa"/>
            <w:right w:w="0" w:type="dxa"/>
          </w:tblCellMar>
        </w:tblPrEx>
        <w:trPr>
          <w:trHeight w:val="300" w:hRule="atLeast"/>
        </w:trPr>
        <w:tc>
          <w:tcPr>
            <w:tcW w:w="7368"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7111"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CellMar>
            <w:top w:w="0" w:type="dxa"/>
            <w:left w:w="0" w:type="dxa"/>
            <w:bottom w:w="0" w:type="dxa"/>
            <w:right w:w="0" w:type="dxa"/>
          </w:tblCellMar>
        </w:tblPrEx>
        <w:trPr>
          <w:trHeight w:val="300" w:hRule="atLeast"/>
        </w:trPr>
        <w:tc>
          <w:tcPr>
            <w:tcW w:w="2890"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09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53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84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1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436"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4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CellMar>
            <w:top w:w="0" w:type="dxa"/>
            <w:left w:w="0" w:type="dxa"/>
            <w:bottom w:w="0" w:type="dxa"/>
            <w:right w:w="0" w:type="dxa"/>
          </w:tblCellMar>
        </w:tblPrEx>
        <w:trPr>
          <w:trHeight w:val="600" w:hRule="atLeast"/>
        </w:trPr>
        <w:tc>
          <w:tcPr>
            <w:tcW w:w="2890"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9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84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24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w:t>
            </w:r>
            <w:r>
              <w:rPr>
                <w:rFonts w:hint="eastAsia" w:ascii="宋体" w:hAnsi="宋体" w:cs="宋体"/>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置费</w:t>
            </w:r>
          </w:p>
        </w:tc>
        <w:tc>
          <w:tcPr>
            <w:tcW w:w="13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w:t>
            </w:r>
            <w:r>
              <w:rPr>
                <w:rFonts w:hint="eastAsia" w:ascii="宋体" w:hAnsi="宋体" w:cs="宋体"/>
                <w:i w:val="0"/>
                <w:color w:val="000000"/>
                <w:kern w:val="0"/>
                <w:sz w:val="20"/>
                <w:szCs w:val="20"/>
                <w:u w:val="none"/>
                <w:lang w:val="en-US" w:eastAsia="zh-CN" w:bidi="ar"/>
              </w:rPr>
              <w:t xml:space="preserve">  </w:t>
            </w:r>
            <w:r>
              <w:rPr>
                <w:rFonts w:hint="eastAsia" w:ascii="宋体" w:hAnsi="宋体" w:eastAsia="宋体" w:cs="宋体"/>
                <w:i w:val="0"/>
                <w:color w:val="000000"/>
                <w:kern w:val="0"/>
                <w:sz w:val="20"/>
                <w:szCs w:val="20"/>
                <w:u w:val="none"/>
                <w:lang w:val="en-US" w:eastAsia="zh-CN" w:bidi="ar"/>
              </w:rPr>
              <w:t>行费</w:t>
            </w:r>
          </w:p>
        </w:tc>
        <w:tc>
          <w:tcPr>
            <w:tcW w:w="14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2890"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09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1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84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24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3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4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CellMar>
            <w:top w:w="0" w:type="dxa"/>
            <w:left w:w="0" w:type="dxa"/>
            <w:bottom w:w="0" w:type="dxa"/>
            <w:right w:w="0" w:type="dxa"/>
          </w:tblCellMar>
        </w:tblPrEx>
        <w:trPr>
          <w:trHeight w:val="300" w:hRule="atLeast"/>
        </w:trPr>
        <w:tc>
          <w:tcPr>
            <w:tcW w:w="289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59,154.00</w:t>
            </w:r>
          </w:p>
        </w:tc>
        <w:tc>
          <w:tcPr>
            <w:tcW w:w="11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58,268.00</w:t>
            </w:r>
          </w:p>
        </w:tc>
        <w:tc>
          <w:tcPr>
            <w:tcW w:w="84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4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886.00</w:t>
            </w:r>
          </w:p>
        </w:tc>
      </w:tr>
      <w:tr>
        <w:tblPrEx>
          <w:tblCellMar>
            <w:top w:w="0" w:type="dxa"/>
            <w:left w:w="0" w:type="dxa"/>
            <w:bottom w:w="0" w:type="dxa"/>
            <w:right w:w="0" w:type="dxa"/>
          </w:tblCellMar>
        </w:tblPrEx>
        <w:trPr>
          <w:trHeight w:val="600" w:hRule="atLeast"/>
        </w:trPr>
        <w:tc>
          <w:tcPr>
            <w:tcW w:w="14479" w:type="dxa"/>
            <w:gridSpan w:val="12"/>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
    <w:p/>
    <w:p/>
    <w:p/>
    <w:p/>
    <w:p/>
    <w:tbl>
      <w:tblPr>
        <w:tblStyle w:val="4"/>
        <w:tblpPr w:leftFromText="180" w:rightFromText="180" w:vertAnchor="text" w:horzAnchor="page" w:tblpXSpec="center" w:tblpY="-21"/>
        <w:tblOverlap w:val="never"/>
        <w:tblW w:w="13700" w:type="dxa"/>
        <w:jc w:val="center"/>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eastAsia="宋体" w:cs="宋体"/>
                <w:i w:val="0"/>
                <w:color w:val="000000"/>
                <w:kern w:val="0"/>
                <w:sz w:val="22"/>
                <w:szCs w:val="22"/>
                <w:u w:val="none"/>
                <w:lang w:val="en-US" w:eastAsia="zh-CN" w:bidi="ar"/>
              </w:rPr>
              <w:t>中共黄石港区委统战部</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rPr>
          <w:rStyle w:val="6"/>
          <w:rFonts w:hint="eastAsia" w:ascii="微软雅黑" w:hAnsi="微软雅黑" w:eastAsia="微软雅黑" w:cs="微软雅黑"/>
          <w:i w:val="0"/>
          <w:caps w:val="0"/>
          <w:color w:val="333333"/>
          <w:spacing w:val="0"/>
          <w:sz w:val="24"/>
          <w:szCs w:val="24"/>
          <w:shd w:val="clear" w:fill="FFFFFF"/>
        </w:rPr>
      </w:pPr>
      <w:r>
        <w:rPr>
          <w:rStyle w:val="6"/>
          <w:rFonts w:hint="eastAsia" w:ascii="微软雅黑" w:hAnsi="微软雅黑" w:eastAsia="微软雅黑" w:cs="微软雅黑"/>
          <w:i w:val="0"/>
          <w:caps w:val="0"/>
          <w:color w:val="333333"/>
          <w:spacing w:val="0"/>
          <w:sz w:val="24"/>
          <w:szCs w:val="24"/>
          <w:shd w:val="clear" w:fill="FFFFFF"/>
          <w:lang w:eastAsia="zh-CN"/>
        </w:rPr>
        <w:t>2019年度</w:t>
      </w:r>
      <w:r>
        <w:rPr>
          <w:rStyle w:val="6"/>
          <w:rFonts w:hint="eastAsia" w:ascii="微软雅黑" w:hAnsi="微软雅黑" w:eastAsia="微软雅黑" w:cs="微软雅黑"/>
          <w:i w:val="0"/>
          <w:caps w:val="0"/>
          <w:color w:val="333333"/>
          <w:spacing w:val="0"/>
          <w:sz w:val="24"/>
          <w:szCs w:val="24"/>
          <w:shd w:val="clear" w:fill="FFFFFF"/>
        </w:rPr>
        <w:t>部门决算情况说明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bCs/>
          <w:i w:val="0"/>
          <w:caps w:val="0"/>
          <w:color w:val="auto"/>
          <w:spacing w:val="0"/>
          <w:sz w:val="28"/>
          <w:szCs w:val="28"/>
          <w:shd w:val="clear" w:fill="FFFFFF"/>
        </w:rPr>
      </w:pPr>
      <w:r>
        <w:rPr>
          <w:rFonts w:hint="eastAsia" w:asciiTheme="minorEastAsia" w:hAnsiTheme="minorEastAsia" w:eastAsiaTheme="minorEastAsia" w:cstheme="minorEastAsia"/>
          <w:b/>
          <w:bCs/>
          <w:i w:val="0"/>
          <w:caps w:val="0"/>
          <w:color w:val="auto"/>
          <w:spacing w:val="0"/>
          <w:sz w:val="28"/>
          <w:szCs w:val="28"/>
          <w:shd w:val="clear" w:fill="FFFFFF"/>
          <w:lang w:val="en-US" w:eastAsia="zh-CN"/>
        </w:rPr>
        <w:t>（一）</w:t>
      </w:r>
      <w:r>
        <w:rPr>
          <w:rFonts w:hint="eastAsia" w:asciiTheme="minorEastAsia" w:hAnsiTheme="minorEastAsia" w:eastAsiaTheme="minorEastAsia" w:cstheme="minorEastAsia"/>
          <w:b/>
          <w:bCs/>
          <w:i w:val="0"/>
          <w:caps w:val="0"/>
          <w:color w:val="auto"/>
          <w:spacing w:val="0"/>
          <w:sz w:val="28"/>
          <w:szCs w:val="28"/>
          <w:shd w:val="clear" w:fill="FFFFFF"/>
        </w:rPr>
        <w:t>预算执行情况分析</w:t>
      </w:r>
    </w:p>
    <w:p>
      <w:pPr>
        <w:widowControl/>
        <w:ind w:firstLine="560" w:firstLineChars="200"/>
        <w:rPr>
          <w:rFonts w:hint="eastAsia" w:ascii="宋体" w:hAnsi="宋体"/>
          <w:color w:val="auto"/>
          <w:sz w:val="28"/>
          <w:szCs w:val="28"/>
        </w:rPr>
      </w:pPr>
      <w:r>
        <w:rPr>
          <w:rFonts w:hint="eastAsia" w:asciiTheme="minorEastAsia" w:hAnsiTheme="minorEastAsia" w:eastAsiaTheme="minorEastAsia" w:cstheme="minorEastAsia"/>
          <w:b w:val="0"/>
          <w:i w:val="0"/>
          <w:caps w:val="0"/>
          <w:color w:val="auto"/>
          <w:spacing w:val="0"/>
          <w:sz w:val="28"/>
          <w:szCs w:val="28"/>
          <w:highlight w:val="none"/>
          <w:shd w:val="clear" w:fill="FFFFFF"/>
          <w:lang w:val="en-US" w:eastAsia="zh-CN"/>
        </w:rPr>
        <w:t>2019年度年</w:t>
      </w:r>
      <w:r>
        <w:rPr>
          <w:rFonts w:hint="eastAsia" w:ascii="宋体" w:hAnsi="宋体"/>
          <w:color w:val="auto"/>
          <w:sz w:val="28"/>
          <w:szCs w:val="28"/>
        </w:rPr>
        <w:t>初财政预算安排收入</w:t>
      </w:r>
      <w:r>
        <w:rPr>
          <w:rFonts w:hint="eastAsia" w:ascii="宋体" w:hAnsi="宋体"/>
          <w:color w:val="auto"/>
          <w:sz w:val="28"/>
          <w:szCs w:val="28"/>
          <w:lang w:val="en-US" w:eastAsia="zh-CN"/>
        </w:rPr>
        <w:t>97.14万元</w:t>
      </w:r>
      <w:r>
        <w:rPr>
          <w:rFonts w:hint="eastAsia" w:asciiTheme="minorEastAsia" w:hAnsiTheme="minorEastAsia" w:eastAsiaTheme="minorEastAsia" w:cstheme="minorEastAsia"/>
          <w:b w:val="0"/>
          <w:i w:val="0"/>
          <w:caps w:val="0"/>
          <w:color w:val="auto"/>
          <w:spacing w:val="0"/>
          <w:sz w:val="28"/>
          <w:szCs w:val="28"/>
          <w:highlight w:val="none"/>
          <w:shd w:val="clear" w:fill="FFFFFF"/>
          <w:lang w:val="en-US" w:eastAsia="zh-CN"/>
        </w:rPr>
        <w:t>，其中人员经费37万元，公用经费60.14万元；2019年度财政决算收入、支出106.91万元，其中人员经费77.93万元，公用经费28.98万元。2019</w:t>
      </w:r>
      <w:r>
        <w:rPr>
          <w:rFonts w:hint="eastAsia" w:ascii="宋体" w:hAnsi="宋体"/>
          <w:color w:val="auto"/>
          <w:sz w:val="28"/>
          <w:szCs w:val="28"/>
        </w:rPr>
        <w:t>年初预算</w:t>
      </w:r>
      <w:r>
        <w:rPr>
          <w:rFonts w:hint="eastAsia" w:ascii="宋体" w:hAnsi="宋体"/>
          <w:color w:val="auto"/>
          <w:sz w:val="28"/>
          <w:szCs w:val="28"/>
          <w:lang w:val="en-US" w:eastAsia="zh-CN"/>
        </w:rPr>
        <w:t>97.14万元</w:t>
      </w:r>
      <w:r>
        <w:rPr>
          <w:rFonts w:hint="eastAsia" w:ascii="宋体" w:hAnsi="宋体"/>
          <w:color w:val="auto"/>
          <w:sz w:val="28"/>
          <w:szCs w:val="28"/>
        </w:rPr>
        <w:t>比</w:t>
      </w:r>
      <w:r>
        <w:rPr>
          <w:rFonts w:hint="eastAsia" w:ascii="宋体" w:hAnsi="宋体"/>
          <w:color w:val="auto"/>
          <w:sz w:val="28"/>
          <w:szCs w:val="28"/>
          <w:lang w:val="en-US" w:eastAsia="zh-CN"/>
        </w:rPr>
        <w:t>2018年初预算92.76万元</w:t>
      </w:r>
      <w:r>
        <w:rPr>
          <w:rFonts w:hint="eastAsia" w:ascii="宋体" w:hAnsi="宋体"/>
          <w:color w:val="auto"/>
          <w:sz w:val="28"/>
          <w:szCs w:val="28"/>
        </w:rPr>
        <w:t>同期</w:t>
      </w:r>
      <w:r>
        <w:rPr>
          <w:rFonts w:hint="eastAsia" w:ascii="宋体" w:hAnsi="宋体"/>
          <w:color w:val="auto"/>
          <w:sz w:val="28"/>
          <w:szCs w:val="28"/>
          <w:lang w:eastAsia="zh-CN"/>
        </w:rPr>
        <w:t>增幅</w:t>
      </w:r>
      <w:r>
        <w:rPr>
          <w:rFonts w:hint="eastAsia" w:ascii="宋体" w:hAnsi="宋体"/>
          <w:color w:val="auto"/>
          <w:sz w:val="28"/>
          <w:szCs w:val="28"/>
          <w:lang w:val="en-US" w:eastAsia="zh-CN"/>
        </w:rPr>
        <w:t>4.72%</w:t>
      </w:r>
      <w:r>
        <w:rPr>
          <w:rFonts w:hint="eastAsia" w:ascii="宋体" w:hAnsi="宋体"/>
          <w:color w:val="auto"/>
          <w:sz w:val="28"/>
          <w:szCs w:val="28"/>
        </w:rPr>
        <w:t>。原因</w:t>
      </w:r>
      <w:r>
        <w:rPr>
          <w:rFonts w:hint="eastAsia" w:ascii="宋体" w:hAnsi="宋体"/>
          <w:color w:val="auto"/>
          <w:sz w:val="28"/>
          <w:szCs w:val="28"/>
          <w:lang w:eastAsia="zh-CN"/>
        </w:rPr>
        <w:t>是</w:t>
      </w:r>
      <w:r>
        <w:rPr>
          <w:rFonts w:hint="eastAsia" w:ascii="宋体" w:hAnsi="宋体"/>
          <w:color w:val="auto"/>
          <w:sz w:val="28"/>
          <w:szCs w:val="28"/>
        </w:rPr>
        <w:t>201</w:t>
      </w:r>
      <w:r>
        <w:rPr>
          <w:rFonts w:hint="eastAsia" w:ascii="宋体" w:hAnsi="宋体"/>
          <w:color w:val="auto"/>
          <w:sz w:val="28"/>
          <w:szCs w:val="28"/>
          <w:lang w:val="en-US" w:eastAsia="zh-CN"/>
        </w:rPr>
        <w:t>9</w:t>
      </w:r>
      <w:r>
        <w:rPr>
          <w:rFonts w:hint="eastAsia" w:ascii="宋体" w:hAnsi="宋体"/>
          <w:color w:val="auto"/>
          <w:sz w:val="28"/>
          <w:szCs w:val="28"/>
        </w:rPr>
        <w:t>年度补发</w:t>
      </w:r>
      <w:r>
        <w:rPr>
          <w:rFonts w:hint="eastAsia" w:ascii="宋体" w:hAnsi="宋体"/>
          <w:color w:val="auto"/>
          <w:sz w:val="28"/>
          <w:szCs w:val="28"/>
          <w:lang w:eastAsia="zh-CN"/>
        </w:rPr>
        <w:t>人员调评</w:t>
      </w:r>
      <w:r>
        <w:rPr>
          <w:rFonts w:hint="eastAsia" w:ascii="宋体" w:hAnsi="宋体"/>
          <w:color w:val="auto"/>
          <w:sz w:val="28"/>
          <w:szCs w:val="28"/>
        </w:rPr>
        <w:t>工资</w:t>
      </w:r>
      <w:r>
        <w:rPr>
          <w:rFonts w:hint="eastAsia" w:ascii="宋体" w:hAnsi="宋体"/>
          <w:color w:val="auto"/>
          <w:sz w:val="28"/>
          <w:szCs w:val="28"/>
          <w:lang w:eastAsia="zh-CN"/>
        </w:rPr>
        <w:t>等</w:t>
      </w:r>
      <w:r>
        <w:rPr>
          <w:rFonts w:hint="eastAsia" w:ascii="宋体" w:hAnsi="宋体"/>
          <w:color w:val="auto"/>
          <w:sz w:val="28"/>
          <w:szCs w:val="28"/>
        </w:rPr>
        <w:t>。</w:t>
      </w:r>
      <w:r>
        <w:rPr>
          <w:rFonts w:hint="eastAsia" w:ascii="宋体" w:hAnsi="宋体"/>
          <w:color w:val="auto"/>
          <w:sz w:val="28"/>
          <w:szCs w:val="28"/>
          <w:lang w:eastAsia="zh-CN"/>
        </w:rPr>
        <w:t>但实际决算收入为增加。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1、收入与预算对比分析</w:t>
      </w:r>
    </w:p>
    <w:p>
      <w:pPr>
        <w:widowControl/>
        <w:shd w:val="clear" w:color="auto" w:fill="FFFFFF"/>
        <w:snapToGrid w:val="0"/>
        <w:spacing w:line="560" w:lineRule="atLeast"/>
        <w:ind w:firstLine="562"/>
        <w:jc w:val="left"/>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 xml:space="preserve"> 2019年度全年决算总收入、支出106.91万元。</w:t>
      </w:r>
      <w:r>
        <w:rPr>
          <w:rFonts w:hint="eastAsia" w:ascii="宋体" w:hAnsi="宋体" w:cs="宋体"/>
          <w:color w:val="auto"/>
          <w:kern w:val="0"/>
          <w:sz w:val="28"/>
          <w:szCs w:val="28"/>
          <w:lang w:val="en-US" w:eastAsia="zh-CN"/>
        </w:rPr>
        <w:t>2019年度财政收入预算数97.14万元，财拔决算比预算多9.77万元，增幅 10.06%，原因为人员工资、社保费用等增长，单位业务增加。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2、收入结构分析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2019年度全年总收入106.91万元。其中财政决算收入106.91万元，其他收入0万元；2019年度全年决算总支出106.91万元，其中财政决算支出106.91元，其他资金支出0万元。支出按以下分类说明：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①支出功能分类：106.91万元，民主党派及工商联事务。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②支出性质分类：106.91万元，其中人员经费77.93万元；公用经费28.98万元。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auto"/>
          <w:spacing w:val="0"/>
          <w:sz w:val="28"/>
          <w:szCs w:val="28"/>
          <w:shd w:val="clear" w:fill="FFFFFF"/>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③支出经济分类：106.91万元。其中工资福利77.93万元；商品服务支出28.79万元；对个人和家庭的补助支出 0万元；资本性支出0.19万元。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bCs/>
          <w:i w:val="0"/>
          <w:caps w:val="0"/>
          <w:color w:val="auto"/>
          <w:spacing w:val="0"/>
          <w:sz w:val="28"/>
          <w:szCs w:val="28"/>
          <w:shd w:val="clear" w:fill="FFFFFF"/>
          <w:lang w:val="en-US" w:eastAsia="zh-CN"/>
        </w:rPr>
      </w:pPr>
      <w:r>
        <w:rPr>
          <w:rFonts w:hint="eastAsia" w:asciiTheme="minorEastAsia" w:hAnsiTheme="minorEastAsia" w:eastAsiaTheme="minorEastAsia" w:cstheme="minorEastAsia"/>
          <w:b/>
          <w:bCs/>
          <w:i w:val="0"/>
          <w:caps w:val="0"/>
          <w:color w:val="auto"/>
          <w:spacing w:val="0"/>
          <w:sz w:val="28"/>
          <w:szCs w:val="28"/>
          <w:shd w:val="clear" w:fill="FFFFFF"/>
          <w:lang w:val="en-US" w:eastAsia="zh-CN"/>
        </w:rPr>
        <w:t>（二）关于“三公”经费支出说明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仿宋_GB2312" w:hAnsi="仿宋" w:eastAsia="仿宋_GB2312"/>
          <w:color w:val="auto"/>
          <w:sz w:val="32"/>
          <w:szCs w:val="32"/>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本年三公经费支出5.92万元。</w:t>
      </w:r>
      <w:r>
        <w:rPr>
          <w:rFonts w:hint="eastAsia" w:ascii="仿宋_GB2312" w:hAnsi="仿宋" w:eastAsia="仿宋_GB2312"/>
          <w:color w:val="auto"/>
          <w:sz w:val="32"/>
          <w:szCs w:val="32"/>
          <w:lang w:eastAsia="zh-CN"/>
        </w:rPr>
        <w:t>其中：</w:t>
      </w:r>
      <w:r>
        <w:rPr>
          <w:rFonts w:hint="eastAsia" w:ascii="仿宋_GB2312" w:hAnsi="仿宋" w:eastAsia="仿宋_GB2312"/>
          <w:color w:val="auto"/>
          <w:sz w:val="32"/>
          <w:szCs w:val="32"/>
        </w:rPr>
        <w:t>本年度发生因公出国费用5.83万元</w:t>
      </w:r>
      <w:r>
        <w:rPr>
          <w:rFonts w:hint="eastAsia" w:ascii="仿宋_GB2312" w:hAnsi="仿宋" w:eastAsia="仿宋_GB2312"/>
          <w:color w:val="auto"/>
          <w:sz w:val="32"/>
          <w:szCs w:val="32"/>
          <w:lang w:eastAsia="zh-CN"/>
        </w:rPr>
        <w:t>，主要是统战部长杨自强同志参加市侨联组织的侨务经贸团，于2018年12月访问南非、坦桑尼亚，相关费用发生在</w:t>
      </w:r>
      <w:r>
        <w:rPr>
          <w:rFonts w:hint="eastAsia" w:ascii="仿宋_GB2312" w:hAnsi="仿宋" w:eastAsia="仿宋_GB2312"/>
          <w:color w:val="auto"/>
          <w:sz w:val="32"/>
          <w:szCs w:val="32"/>
          <w:lang w:val="en-US" w:eastAsia="zh-CN"/>
        </w:rPr>
        <w:t>2019年度；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eastAsia="仿宋_GB2312" w:asciiTheme="minorEastAsia" w:hAnsiTheme="minorEastAsia" w:cstheme="minorEastAsia"/>
          <w:b/>
          <w:bCs/>
          <w:i w:val="0"/>
          <w:caps w:val="0"/>
          <w:color w:val="auto"/>
          <w:spacing w:val="0"/>
          <w:sz w:val="28"/>
          <w:szCs w:val="28"/>
          <w:shd w:val="clear" w:fill="FFFFFF"/>
          <w:lang w:val="en-US" w:eastAsia="zh-CN"/>
        </w:rPr>
      </w:pPr>
      <w:r>
        <w:rPr>
          <w:rFonts w:hint="eastAsia" w:ascii="仿宋_GB2312" w:hAnsi="仿宋" w:eastAsia="仿宋_GB2312"/>
          <w:color w:val="auto"/>
          <w:sz w:val="32"/>
          <w:szCs w:val="32"/>
        </w:rPr>
        <w:t>公务接待0.09万元。</w:t>
      </w:r>
      <w:r>
        <w:rPr>
          <w:rFonts w:hint="eastAsia" w:ascii="仿宋_GB2312" w:hAnsi="仿宋" w:eastAsia="仿宋_GB2312"/>
          <w:color w:val="auto"/>
          <w:sz w:val="32"/>
          <w:szCs w:val="32"/>
          <w:lang w:eastAsia="zh-CN"/>
        </w:rPr>
        <w:t>全年发生公务接待一批次共</w:t>
      </w:r>
      <w:r>
        <w:rPr>
          <w:rFonts w:hint="eastAsia" w:ascii="仿宋_GB2312" w:hAnsi="仿宋" w:eastAsia="仿宋_GB2312"/>
          <w:color w:val="auto"/>
          <w:sz w:val="32"/>
          <w:szCs w:val="32"/>
          <w:lang w:val="en-US" w:eastAsia="zh-CN"/>
        </w:rPr>
        <w:t>6人。</w:t>
      </w:r>
      <w:bookmarkStart w:id="0" w:name="_GoBack"/>
      <w:bookmarkEnd w:id="0"/>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bCs/>
          <w:i w:val="0"/>
          <w:caps w:val="0"/>
          <w:color w:val="auto"/>
          <w:spacing w:val="0"/>
          <w:sz w:val="28"/>
          <w:szCs w:val="28"/>
          <w:shd w:val="clear" w:fill="FFFFFF"/>
          <w:lang w:val="en-US" w:eastAsia="zh-CN"/>
        </w:rPr>
      </w:pPr>
      <w:r>
        <w:rPr>
          <w:rFonts w:hint="eastAsia" w:asciiTheme="minorEastAsia" w:hAnsiTheme="minorEastAsia" w:eastAsiaTheme="minorEastAsia" w:cstheme="minorEastAsia"/>
          <w:b/>
          <w:bCs/>
          <w:i w:val="0"/>
          <w:caps w:val="0"/>
          <w:color w:val="auto"/>
          <w:spacing w:val="0"/>
          <w:sz w:val="28"/>
          <w:szCs w:val="28"/>
          <w:shd w:val="clear" w:fill="FFFFFF"/>
          <w:lang w:val="en-US" w:eastAsia="zh-CN"/>
        </w:rPr>
        <w:t>关于机关运行经费支出说明</w:t>
      </w:r>
    </w:p>
    <w:p>
      <w:pPr>
        <w:widowControl/>
        <w:shd w:val="clear" w:color="auto" w:fill="FFFFFF"/>
        <w:snapToGrid w:val="0"/>
        <w:spacing w:line="560" w:lineRule="atLeast"/>
        <w:ind w:firstLine="562"/>
        <w:jc w:val="left"/>
        <w:rPr>
          <w:rFonts w:hint="default" w:ascii="宋体" w:hAnsi="宋体" w:cs="宋体"/>
          <w:color w:val="auto"/>
          <w:kern w:val="0"/>
          <w:sz w:val="28"/>
          <w:szCs w:val="28"/>
          <w:lang w:val="en-US" w:eastAsia="zh-CN"/>
        </w:rPr>
      </w:pPr>
      <w:r>
        <w:rPr>
          <w:rFonts w:hint="eastAsia" w:asciiTheme="minorEastAsia" w:hAnsiTheme="minorEastAsia" w:eastAsiaTheme="minorEastAsia" w:cstheme="minorEastAsia"/>
          <w:b w:val="0"/>
          <w:i w:val="0"/>
          <w:caps w:val="0"/>
          <w:color w:val="auto"/>
          <w:spacing w:val="0"/>
          <w:sz w:val="28"/>
          <w:szCs w:val="28"/>
          <w:shd w:val="clear" w:fill="FFFFFF"/>
          <w:lang w:eastAsia="zh-CN"/>
        </w:rPr>
        <w:t>2019年度</w:t>
      </w:r>
      <w:r>
        <w:rPr>
          <w:rFonts w:hint="eastAsia" w:asciiTheme="minorEastAsia" w:hAnsiTheme="minorEastAsia" w:eastAsiaTheme="minorEastAsia" w:cstheme="minorEastAsia"/>
          <w:b w:val="0"/>
          <w:i w:val="0"/>
          <w:caps w:val="0"/>
          <w:color w:val="auto"/>
          <w:spacing w:val="0"/>
          <w:sz w:val="28"/>
          <w:szCs w:val="28"/>
          <w:shd w:val="clear" w:fill="FFFFFF"/>
        </w:rPr>
        <w:t>度机关运行经费支出</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106.91</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其中：</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人员经费77.93万元；日常公用经费28.98万元。日常公用经费包括：</w:t>
      </w:r>
      <w:r>
        <w:rPr>
          <w:rFonts w:hint="eastAsia" w:asciiTheme="minorEastAsia" w:hAnsiTheme="minorEastAsia" w:eastAsiaTheme="minorEastAsia" w:cstheme="minorEastAsia"/>
          <w:b w:val="0"/>
          <w:i w:val="0"/>
          <w:caps w:val="0"/>
          <w:color w:val="auto"/>
          <w:spacing w:val="0"/>
          <w:sz w:val="28"/>
          <w:szCs w:val="28"/>
          <w:shd w:val="clear" w:fill="FFFFFF"/>
          <w:lang w:eastAsia="zh-CN"/>
        </w:rPr>
        <w:t>办公费</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13.62</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、出国费</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5.83万元、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差旅费</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0.48</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公务招待0.09万元</w:t>
      </w:r>
      <w:r>
        <w:rPr>
          <w:rFonts w:hint="eastAsia" w:asciiTheme="minorEastAsia" w:hAnsiTheme="minorEastAsia" w:eastAsiaTheme="minorEastAsia" w:cstheme="minorEastAsia"/>
          <w:b w:val="0"/>
          <w:i w:val="0"/>
          <w:caps w:val="0"/>
          <w:color w:val="auto"/>
          <w:spacing w:val="0"/>
          <w:sz w:val="28"/>
          <w:szCs w:val="28"/>
          <w:shd w:val="clear" w:fill="FFFFFF"/>
          <w:lang w:eastAsia="zh-CN"/>
        </w:rPr>
        <w:t>、</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工会经费0.96万元、其他7.83万元、办公设备购置0.19万元。2019年度度机关运行经费支出106.91万元</w:t>
      </w:r>
      <w:r>
        <w:rPr>
          <w:rFonts w:hint="eastAsia" w:asciiTheme="minorEastAsia" w:hAnsiTheme="minorEastAsia" w:eastAsiaTheme="minorEastAsia" w:cstheme="minorEastAsia"/>
          <w:b w:val="0"/>
          <w:i w:val="0"/>
          <w:caps w:val="0"/>
          <w:color w:val="00B0F0"/>
          <w:spacing w:val="0"/>
          <w:sz w:val="28"/>
          <w:szCs w:val="28"/>
          <w:shd w:val="clear" w:fill="FFFFFF"/>
          <w:lang w:val="en-US" w:eastAsia="zh-CN"/>
        </w:rPr>
        <w:t>，</w:t>
      </w:r>
      <w:r>
        <w:rPr>
          <w:rFonts w:hint="eastAsia" w:asciiTheme="minorEastAsia" w:hAnsiTheme="minorEastAsia" w:eastAsiaTheme="minorEastAsia" w:cstheme="minorEastAsia"/>
          <w:b w:val="0"/>
          <w:i w:val="0"/>
          <w:caps w:val="0"/>
          <w:color w:val="auto"/>
          <w:spacing w:val="0"/>
          <w:sz w:val="28"/>
          <w:szCs w:val="28"/>
          <w:shd w:val="clear" w:fill="FFFFFF"/>
        </w:rPr>
        <w:t>比</w:t>
      </w:r>
      <w:r>
        <w:rPr>
          <w:rFonts w:hint="eastAsia" w:asciiTheme="minorEastAsia" w:hAnsiTheme="minorEastAsia" w:eastAsiaTheme="minorEastAsia" w:cstheme="minorEastAsia"/>
          <w:b w:val="0"/>
          <w:i w:val="0"/>
          <w:caps w:val="0"/>
          <w:color w:val="auto"/>
          <w:spacing w:val="0"/>
          <w:sz w:val="28"/>
          <w:szCs w:val="28"/>
          <w:shd w:val="clear" w:fill="FFFFFF"/>
          <w:lang w:eastAsia="zh-CN"/>
        </w:rPr>
        <w:t>年初预算数</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 xml:space="preserve">97.17 万元增加9.77   </w:t>
      </w:r>
      <w:r>
        <w:rPr>
          <w:rFonts w:hint="eastAsia" w:asciiTheme="minorEastAsia" w:hAnsiTheme="minorEastAsia" w:eastAsiaTheme="minorEastAsia" w:cstheme="minorEastAsia"/>
          <w:b w:val="0"/>
          <w:i w:val="0"/>
          <w:caps w:val="0"/>
          <w:color w:val="auto"/>
          <w:spacing w:val="0"/>
          <w:sz w:val="28"/>
          <w:szCs w:val="28"/>
          <w:shd w:val="clear" w:fill="FFFFFF"/>
        </w:rPr>
        <w:t>万元，</w:t>
      </w:r>
      <w:r>
        <w:rPr>
          <w:rFonts w:hint="eastAsia" w:asciiTheme="minorEastAsia" w:hAnsiTheme="minorEastAsia" w:eastAsiaTheme="minorEastAsia" w:cstheme="minorEastAsia"/>
          <w:b w:val="0"/>
          <w:i w:val="0"/>
          <w:caps w:val="0"/>
          <w:color w:val="auto"/>
          <w:spacing w:val="0"/>
          <w:sz w:val="28"/>
          <w:szCs w:val="28"/>
          <w:shd w:val="clear" w:fill="FFFFFF"/>
          <w:lang w:val="en-US" w:eastAsia="zh-CN"/>
        </w:rPr>
        <w:t>增加10.06</w:t>
      </w:r>
      <w:r>
        <w:rPr>
          <w:rFonts w:hint="eastAsia" w:asciiTheme="minorEastAsia" w:hAnsiTheme="minorEastAsia" w:eastAsiaTheme="minorEastAsia" w:cstheme="minorEastAsia"/>
          <w:b w:val="0"/>
          <w:i w:val="0"/>
          <w:caps w:val="0"/>
          <w:color w:val="auto"/>
          <w:spacing w:val="0"/>
          <w:sz w:val="28"/>
          <w:szCs w:val="28"/>
          <w:shd w:val="clear" w:fill="FFFFFF"/>
        </w:rPr>
        <w:t>%。主要原因是：</w:t>
      </w:r>
      <w:r>
        <w:rPr>
          <w:rFonts w:hint="eastAsia" w:ascii="宋体" w:hAnsi="宋体" w:cs="宋体"/>
          <w:color w:val="auto"/>
          <w:kern w:val="0"/>
          <w:sz w:val="28"/>
          <w:szCs w:val="28"/>
          <w:lang w:val="en-US" w:eastAsia="zh-CN"/>
        </w:rPr>
        <w:t>原因为人员工资、社保费用等增长，单位业务增加。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bCs/>
          <w:i w:val="0"/>
          <w:caps w:val="0"/>
          <w:color w:val="333333"/>
          <w:spacing w:val="0"/>
          <w:sz w:val="28"/>
          <w:szCs w:val="28"/>
          <w:shd w:val="clear" w:fill="FFFFFF"/>
          <w:lang w:val="en-US" w:eastAsia="zh-CN"/>
        </w:rPr>
      </w:pPr>
      <w:r>
        <w:rPr>
          <w:rFonts w:hint="eastAsia" w:asciiTheme="minorEastAsia" w:hAnsiTheme="minorEastAsia" w:eastAsiaTheme="minorEastAsia" w:cstheme="minorEastAsia"/>
          <w:b/>
          <w:bCs/>
          <w:i w:val="0"/>
          <w:caps w:val="0"/>
          <w:color w:val="333333"/>
          <w:spacing w:val="0"/>
          <w:sz w:val="28"/>
          <w:szCs w:val="28"/>
          <w:shd w:val="clear" w:fill="FFFFFF"/>
          <w:lang w:val="en-US" w:eastAsia="zh-CN"/>
        </w:rPr>
        <w:t>（四）关于政府采购支出说明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r>
        <w:rPr>
          <w:rFonts w:hint="eastAsia" w:asciiTheme="minorEastAsia" w:hAnsiTheme="minorEastAsia" w:eastAsiaTheme="minorEastAsia" w:cstheme="minorEastAsia"/>
          <w:b w:val="0"/>
          <w:i w:val="0"/>
          <w:caps w:val="0"/>
          <w:color w:val="333333"/>
          <w:spacing w:val="0"/>
          <w:sz w:val="28"/>
          <w:szCs w:val="28"/>
          <w:shd w:val="clear" w:fill="FFFFFF"/>
        </w:rPr>
        <w:t>本年无政府采购支出。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bCs/>
          <w:i w:val="0"/>
          <w:caps w:val="0"/>
          <w:color w:val="333333"/>
          <w:spacing w:val="0"/>
          <w:sz w:val="28"/>
          <w:szCs w:val="28"/>
          <w:shd w:val="clear" w:fill="FFFFFF"/>
          <w:lang w:val="en-US" w:eastAsia="zh-CN"/>
        </w:rPr>
      </w:pPr>
      <w:r>
        <w:rPr>
          <w:rFonts w:hint="eastAsia" w:asciiTheme="minorEastAsia" w:hAnsiTheme="minorEastAsia" w:eastAsiaTheme="minorEastAsia" w:cstheme="minorEastAsia"/>
          <w:b/>
          <w:bCs/>
          <w:i w:val="0"/>
          <w:caps w:val="0"/>
          <w:color w:val="333333"/>
          <w:spacing w:val="0"/>
          <w:sz w:val="28"/>
          <w:szCs w:val="28"/>
          <w:shd w:val="clear" w:fill="FFFFFF"/>
          <w:lang w:val="en-US" w:eastAsia="zh-CN"/>
        </w:rPr>
        <w:t>（五）关于国有资产占用情况说明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r>
        <w:rPr>
          <w:rFonts w:hint="eastAsia" w:asciiTheme="minorEastAsia" w:hAnsiTheme="minorEastAsia" w:eastAsiaTheme="minorEastAsia" w:cstheme="minorEastAsia"/>
          <w:b w:val="0"/>
          <w:i w:val="0"/>
          <w:caps w:val="0"/>
          <w:color w:val="333333"/>
          <w:spacing w:val="0"/>
          <w:sz w:val="28"/>
          <w:szCs w:val="28"/>
          <w:shd w:val="clear" w:fill="FFFFFF"/>
        </w:rPr>
        <w:t>本单位无公车和大型设备。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bCs/>
          <w:i w:val="0"/>
          <w:caps w:val="0"/>
          <w:color w:val="333333"/>
          <w:spacing w:val="0"/>
          <w:sz w:val="28"/>
          <w:szCs w:val="28"/>
          <w:shd w:val="clear" w:fill="FFFFFF"/>
          <w:lang w:val="en-US" w:eastAsia="zh-CN"/>
        </w:rPr>
      </w:pPr>
      <w:r>
        <w:rPr>
          <w:rFonts w:hint="eastAsia" w:asciiTheme="minorEastAsia" w:hAnsiTheme="minorEastAsia" w:eastAsiaTheme="minorEastAsia" w:cstheme="minorEastAsia"/>
          <w:b/>
          <w:bCs/>
          <w:i w:val="0"/>
          <w:caps w:val="0"/>
          <w:color w:val="333333"/>
          <w:spacing w:val="0"/>
          <w:sz w:val="28"/>
          <w:szCs w:val="28"/>
          <w:shd w:val="clear" w:fill="FFFFFF"/>
          <w:lang w:val="en-US" w:eastAsia="zh-CN"/>
        </w:rPr>
        <w:t>（六）重点绩效评价结果等预算绩效情况说明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lang w:eastAsia="zh-CN"/>
        </w:rPr>
      </w:pPr>
      <w:r>
        <w:rPr>
          <w:rFonts w:hint="eastAsia" w:asciiTheme="minorEastAsia" w:hAnsiTheme="minorEastAsia" w:eastAsiaTheme="minorEastAsia" w:cstheme="minorEastAsia"/>
          <w:b w:val="0"/>
          <w:i w:val="0"/>
          <w:caps w:val="0"/>
          <w:color w:val="333333"/>
          <w:spacing w:val="0"/>
          <w:sz w:val="28"/>
          <w:szCs w:val="28"/>
          <w:shd w:val="clear" w:fill="FFFFFF"/>
          <w:lang w:val="en-US" w:eastAsia="zh-CN"/>
        </w:rPr>
        <w:t>2019年， 根据预算绩效管理要求，我单位组织2019年度一般公共预算项目支出全面开展绩效自评，共涉及项目4个，资金50万元。 2019年项目资金投入50万元，已使用50万元，使用率达100%。使用从评价结果看，项目立项程序完整、规范，预算执行及时、有效，绩效目标得到较好实现，绩效管理水平不断提高，绩效指标体系建设逐渐丰富和完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rPr>
        <w:t>第四部分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fill="FFFFFF"/>
        </w:rPr>
        <w:t>名词解释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一、财政补助收入：指县级财政当年拨付的资金。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二、其他收入：指除“财政拨款收入”、“上级补助收入”、“事业收入”、“经营收入”等以外的收入。主要是存款利息收入等。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三、年初结转和结余：指以前年度尚未完成、结转到本年按有关规定继续使用的资金。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四、一般公共服务（类）行政运行（项）：指县行政单位及参照公务员管理事业单位用于保障机构正常运行、开展日常工作的基本支出。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六、一般公共服务（类）机关服务（项）：指县</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黄石港区委统战部</w:t>
      </w:r>
      <w:r>
        <w:rPr>
          <w:rFonts w:hint="eastAsia" w:asciiTheme="minorEastAsia" w:hAnsiTheme="minorEastAsia" w:eastAsiaTheme="minorEastAsia" w:cstheme="minorEastAsia"/>
          <w:b w:val="0"/>
          <w:i w:val="0"/>
          <w:caps w:val="0"/>
          <w:color w:val="333333"/>
          <w:spacing w:val="0"/>
          <w:sz w:val="28"/>
          <w:szCs w:val="28"/>
          <w:shd w:val="clear" w:fill="FFFFFF"/>
        </w:rPr>
        <w:t>为机关提供办公楼日常维修、维护等后勤保障服务的支出。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七、一般公共服务（类）其他一般公共服务支出（款）其他一般公共服务支出（项）：指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黄石港区委统战部</w:t>
      </w:r>
      <w:r>
        <w:rPr>
          <w:rFonts w:hint="eastAsia" w:asciiTheme="minorEastAsia" w:hAnsiTheme="minorEastAsia" w:eastAsiaTheme="minorEastAsia" w:cstheme="minorEastAsia"/>
          <w:b w:val="0"/>
          <w:i w:val="0"/>
          <w:caps w:val="0"/>
          <w:color w:val="333333"/>
          <w:spacing w:val="0"/>
          <w:sz w:val="28"/>
          <w:szCs w:val="28"/>
          <w:shd w:val="clear" w:fill="FFFFFF"/>
        </w:rPr>
        <w:t>用于其他一般公共服务方面的支出。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八、教育（类）普通教育（款）高等教育（项）：指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黄石港区委统战部</w:t>
      </w:r>
      <w:r>
        <w:rPr>
          <w:rFonts w:hint="eastAsia" w:asciiTheme="minorEastAsia" w:hAnsiTheme="minorEastAsia" w:eastAsiaTheme="minorEastAsia" w:cstheme="minorEastAsia"/>
          <w:b w:val="0"/>
          <w:i w:val="0"/>
          <w:caps w:val="0"/>
          <w:color w:val="333333"/>
          <w:spacing w:val="0"/>
          <w:sz w:val="28"/>
          <w:szCs w:val="28"/>
          <w:shd w:val="clear" w:fill="FFFFFF"/>
        </w:rPr>
        <w:t>支持地方高校的重点发展和特色办学，组织专家对省属院校申报的建设规划和项目预算进行评审等相关工作的支出。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九、社会保障和就业(类)行政事业单位离退休（款）归口管理的行政单位离退休（项）：指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黄石港区委统战部</w:t>
      </w:r>
      <w:r>
        <w:rPr>
          <w:rFonts w:hint="eastAsia" w:asciiTheme="minorEastAsia" w:hAnsiTheme="minorEastAsia" w:eastAsiaTheme="minorEastAsia" w:cstheme="minorEastAsia"/>
          <w:b w:val="0"/>
          <w:i w:val="0"/>
          <w:caps w:val="0"/>
          <w:color w:val="333333"/>
          <w:spacing w:val="0"/>
          <w:sz w:val="28"/>
          <w:szCs w:val="28"/>
          <w:shd w:val="clear" w:fill="FFFFFF"/>
        </w:rPr>
        <w:t>用于离退休人员的支出、退休人员支出，以及提供管理服务工作的离退休干部处的支出。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十、社会保障和就业(类)行政事业单位离退休（款）其他行政事业单位离退休支出（项）：指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黄石港区委统战部</w:t>
      </w:r>
      <w:r>
        <w:rPr>
          <w:rFonts w:hint="eastAsia" w:asciiTheme="minorEastAsia" w:hAnsiTheme="minorEastAsia" w:eastAsiaTheme="minorEastAsia" w:cstheme="minorEastAsia"/>
          <w:b w:val="0"/>
          <w:i w:val="0"/>
          <w:caps w:val="0"/>
          <w:color w:val="333333"/>
          <w:spacing w:val="0"/>
          <w:sz w:val="28"/>
          <w:szCs w:val="28"/>
          <w:shd w:val="clear" w:fill="FFFFFF"/>
        </w:rPr>
        <w:t>用于离退休方面的其他支出。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十一、医疗卫生与计划生育（类）医疗保障（款）行政单位医疗（项）：指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黄石港区委统战部</w:t>
      </w:r>
      <w:r>
        <w:rPr>
          <w:rFonts w:hint="eastAsia" w:asciiTheme="minorEastAsia" w:hAnsiTheme="minorEastAsia" w:eastAsiaTheme="minorEastAsia" w:cstheme="minorEastAsia"/>
          <w:b w:val="0"/>
          <w:i w:val="0"/>
          <w:caps w:val="0"/>
          <w:color w:val="333333"/>
          <w:spacing w:val="0"/>
          <w:sz w:val="28"/>
          <w:szCs w:val="28"/>
          <w:shd w:val="clear" w:fill="FFFFFF"/>
        </w:rPr>
        <w:t>用于机关干部职工及离退休人员医疗方面的支出。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十二、住房保障（类）住房改革支出（款）购房补贴（项）：指按照相关住房分配货币化改革的政策规定和标准，对无房和住房未达标职工发放的住房分配货币化补贴资金。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十三、年末结转和结余：指本年度或以前年度预算安排、因客观条件发生变化无法按原计划实施，需要延迟到以后年度按有关规定继续使用的资金。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十四、基本支出：指为保障机构正常运转、完成日常工作任务而发生的人员支出（包括基本工资、津贴补贴等）和公用支出（包括办公费、水电费、邮电费、交通费、差旅费等）。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十五、项目支出：指在基本支出之外为完成特定行政任务和事业发展目标所发生的支出。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十六、“三公”经费：是指用财政拨款安排的因公出国（境）费、公务用车购置及运行维护费、公务接待费。</w:t>
      </w:r>
    </w:p>
    <w:p>
      <w:pPr>
        <w:rPr>
          <w:rFonts w:hint="eastAsia"/>
        </w:rPr>
      </w:pPr>
    </w:p>
    <w:p>
      <w:pPr>
        <w:rPr>
          <w:rFonts w:hint="eastAsia"/>
        </w:rPr>
      </w:pPr>
    </w:p>
    <w:sectPr>
      <w:pgSz w:w="16838" w:h="11906" w:orient="landscape"/>
      <w:pgMar w:top="1134" w:right="1134" w:bottom="567" w:left="1440" w:header="851" w:footer="992" w:gutter="0"/>
      <w:pgBorders>
        <w:top w:val="none" w:sz="0" w:space="0"/>
        <w:left w:val="none" w:sz="0" w:space="0"/>
        <w:bottom w:val="none" w:sz="0" w:space="0"/>
        <w:right w:val="none" w:sz="0" w:space="0"/>
      </w:pgBorders>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7B0525B"/>
    <w:multiLevelType w:val="singleLevel"/>
    <w:tmpl w:val="97B0525B"/>
    <w:lvl w:ilvl="0" w:tentative="0">
      <w:start w:val="3"/>
      <w:numFmt w:val="chineseCounting"/>
      <w:suff w:val="nothing"/>
      <w:lvlText w:val="（%1）"/>
      <w:lvlJc w:val="left"/>
      <w:rPr>
        <w:rFonts w:hint="eastAsia"/>
      </w:rPr>
    </w:lvl>
  </w:abstractNum>
  <w:abstractNum w:abstractNumId="1">
    <w:nsid w:val="EC802125"/>
    <w:multiLevelType w:val="singleLevel"/>
    <w:tmpl w:val="EC802125"/>
    <w:lvl w:ilvl="0" w:tentative="0">
      <w:start w:val="3"/>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CE2E59"/>
    <w:rsid w:val="01796184"/>
    <w:rsid w:val="03542749"/>
    <w:rsid w:val="09FD1073"/>
    <w:rsid w:val="0A445AD0"/>
    <w:rsid w:val="0B3E79EC"/>
    <w:rsid w:val="0C221F56"/>
    <w:rsid w:val="13EE6189"/>
    <w:rsid w:val="155C2D09"/>
    <w:rsid w:val="1B0F040E"/>
    <w:rsid w:val="212C79E0"/>
    <w:rsid w:val="21A10756"/>
    <w:rsid w:val="27022EAC"/>
    <w:rsid w:val="2D2D40CE"/>
    <w:rsid w:val="359A0E89"/>
    <w:rsid w:val="37354323"/>
    <w:rsid w:val="394547C6"/>
    <w:rsid w:val="3A1E3719"/>
    <w:rsid w:val="3A2D0398"/>
    <w:rsid w:val="3BEE408B"/>
    <w:rsid w:val="3E282439"/>
    <w:rsid w:val="474F6F98"/>
    <w:rsid w:val="4CCA5C65"/>
    <w:rsid w:val="4CF91627"/>
    <w:rsid w:val="54DF5B62"/>
    <w:rsid w:val="563B3094"/>
    <w:rsid w:val="56933F97"/>
    <w:rsid w:val="5AA45117"/>
    <w:rsid w:val="5ACE2E59"/>
    <w:rsid w:val="5D4B28F4"/>
    <w:rsid w:val="5F87474B"/>
    <w:rsid w:val="62FF488C"/>
    <w:rsid w:val="63D60970"/>
    <w:rsid w:val="68F36FC0"/>
    <w:rsid w:val="69FE52AE"/>
    <w:rsid w:val="6AE241A2"/>
    <w:rsid w:val="6BE0438F"/>
    <w:rsid w:val="6F626137"/>
    <w:rsid w:val="6FEB6E4D"/>
    <w:rsid w:val="70F1392F"/>
    <w:rsid w:val="72EE17BA"/>
    <w:rsid w:val="7A2932FF"/>
    <w:rsid w:val="7D8A07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5"/>
    <w:basedOn w:val="1"/>
    <w:next w:val="1"/>
    <w:qFormat/>
    <w:uiPriority w:val="99"/>
    <w:pPr>
      <w:spacing w:beforeAutospacing="1" w:afterAutospacing="1"/>
      <w:jc w:val="left"/>
      <w:outlineLvl w:val="4"/>
    </w:pPr>
    <w:rPr>
      <w:rFonts w:ascii="宋体" w:hAnsi="宋体"/>
      <w:b/>
      <w:kern w:val="0"/>
      <w:sz w:val="20"/>
      <w:szCs w:val="20"/>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customStyle="1" w:styleId="7">
    <w:name w:val="ca-2"/>
    <w:basedOn w:val="5"/>
    <w:qFormat/>
    <w:uiPriority w:val="0"/>
  </w:style>
  <w:style w:type="character" w:customStyle="1" w:styleId="8">
    <w:name w:val="ca-3"/>
    <w:basedOn w:val="5"/>
    <w:qFormat/>
    <w:uiPriority w:val="0"/>
  </w:style>
  <w:style w:type="paragraph" w:customStyle="1" w:styleId="9">
    <w:name w:val="正文缩进 + 首行缩进:  2 字符"/>
    <w:basedOn w:val="1"/>
    <w:qFormat/>
    <w:uiPriority w:val="0"/>
    <w:pPr>
      <w:spacing w:line="560" w:lineRule="exact"/>
      <w:ind w:firstLine="640"/>
    </w:pPr>
    <w:rPr>
      <w:rFonts w:ascii="仿宋" w:hAnsi="仿宋" w:eastAsia="仿宋" w:cs="宋体"/>
      <w:sz w:val="32"/>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2019-09-04T06:13:00Z</dcterms:created>
  <dc:creator>米</dc:creator>
  <cp:lastModifiedBy>盼</cp:lastModifiedBy>
  <dcterms:modified xsi:type="dcterms:W3CDTF">2021-05-26T09:17:34Z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