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文体局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黄石港区文体局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ind w:firstLine="465"/>
        <w:jc w:val="left"/>
        <w:rPr>
          <w:rFonts w:hint="eastAsia" w:ascii="仿宋_GB2312" w:eastAsia="仿宋_GB2312"/>
          <w:sz w:val="27"/>
          <w:szCs w:val="27"/>
        </w:rPr>
      </w:pPr>
      <w:r>
        <w:rPr>
          <w:rFonts w:hint="eastAsia" w:ascii="宋体" w:hAnsi="宋体" w:cs="宋体"/>
          <w:color w:val="333333"/>
          <w:kern w:val="0"/>
          <w:sz w:val="24"/>
        </w:rPr>
        <w:t>　（</w:t>
      </w:r>
      <w:r>
        <w:rPr>
          <w:rFonts w:hint="eastAsia" w:ascii="仿宋_GB2312" w:eastAsia="仿宋_GB2312"/>
          <w:sz w:val="27"/>
          <w:szCs w:val="27"/>
        </w:rPr>
        <w:t>一）主要职责</w:t>
      </w:r>
    </w:p>
    <w:p>
      <w:pPr>
        <w:spacing w:line="600" w:lineRule="exact"/>
        <w:ind w:firstLine="568" w:firstLineChars="200"/>
        <w:rPr>
          <w:rFonts w:hint="eastAsia" w:cs="Courier New"/>
          <w:color w:val="000000"/>
          <w:spacing w:val="2"/>
          <w:sz w:val="28"/>
          <w:szCs w:val="28"/>
        </w:rPr>
      </w:pPr>
      <w:r>
        <w:rPr>
          <w:rFonts w:hint="eastAsia" w:cs="Courier New"/>
          <w:color w:val="000000"/>
          <w:spacing w:val="2"/>
          <w:sz w:val="28"/>
          <w:szCs w:val="28"/>
        </w:rPr>
        <w:t xml:space="preserve">（一）整合的职能  </w:t>
      </w:r>
    </w:p>
    <w:p>
      <w:pPr>
        <w:spacing w:line="600" w:lineRule="exact"/>
        <w:ind w:firstLine="568" w:firstLineChars="200"/>
        <w:rPr>
          <w:rFonts w:hint="eastAsia"/>
          <w:color w:val="000000"/>
          <w:spacing w:val="2"/>
          <w:sz w:val="28"/>
          <w:szCs w:val="28"/>
        </w:rPr>
      </w:pPr>
      <w:r>
        <w:rPr>
          <w:rFonts w:hint="eastAsia"/>
          <w:color w:val="000000"/>
          <w:spacing w:val="2"/>
          <w:sz w:val="28"/>
          <w:szCs w:val="28"/>
        </w:rPr>
        <w:t>将原区卫生文化体育局承担的文化、体育的职责整体划入区文化体育局。</w:t>
      </w:r>
    </w:p>
    <w:p>
      <w:pPr>
        <w:spacing w:line="600" w:lineRule="exact"/>
        <w:ind w:firstLine="568" w:firstLineChars="200"/>
        <w:rPr>
          <w:rFonts w:hint="eastAsia"/>
          <w:color w:val="000000"/>
          <w:spacing w:val="2"/>
          <w:sz w:val="28"/>
          <w:szCs w:val="28"/>
        </w:rPr>
      </w:pPr>
      <w:r>
        <w:rPr>
          <w:rFonts w:hint="eastAsia" w:cs="Courier New"/>
          <w:color w:val="000000"/>
          <w:spacing w:val="2"/>
          <w:sz w:val="28"/>
          <w:szCs w:val="28"/>
        </w:rPr>
        <w:t>（二）下放的职能</w:t>
      </w:r>
    </w:p>
    <w:p>
      <w:pPr>
        <w:spacing w:line="600" w:lineRule="exact"/>
        <w:ind w:firstLine="568" w:firstLineChars="200"/>
        <w:rPr>
          <w:rFonts w:hint="eastAsia"/>
          <w:color w:val="000000"/>
          <w:spacing w:val="2"/>
          <w:sz w:val="28"/>
          <w:szCs w:val="28"/>
        </w:rPr>
      </w:pPr>
      <w:r>
        <w:rPr>
          <w:rFonts w:hint="eastAsia"/>
          <w:color w:val="000000"/>
          <w:spacing w:val="2"/>
          <w:sz w:val="28"/>
          <w:szCs w:val="28"/>
        </w:rPr>
        <w:t>娱乐场所设立许可，互联网上网服务营业场所的设立、变更审批职能。</w:t>
      </w:r>
    </w:p>
    <w:p>
      <w:pPr>
        <w:spacing w:line="600" w:lineRule="exact"/>
        <w:ind w:firstLine="556" w:firstLineChars="196"/>
        <w:rPr>
          <w:rFonts w:hint="eastAsia"/>
          <w:color w:val="000000"/>
          <w:spacing w:val="2"/>
          <w:sz w:val="28"/>
          <w:szCs w:val="28"/>
        </w:rPr>
      </w:pPr>
      <w:r>
        <w:rPr>
          <w:rFonts w:hint="eastAsia" w:hAnsi="黑体"/>
          <w:color w:val="000000"/>
          <w:spacing w:val="2"/>
          <w:sz w:val="28"/>
          <w:szCs w:val="28"/>
        </w:rPr>
        <w:t>（三）主要职责</w:t>
      </w:r>
    </w:p>
    <w:p>
      <w:pPr>
        <w:snapToGrid w:val="0"/>
        <w:spacing w:line="600" w:lineRule="exact"/>
        <w:ind w:firstLine="568" w:firstLineChars="200"/>
        <w:rPr>
          <w:rFonts w:hint="eastAsia"/>
          <w:color w:val="000000"/>
          <w:spacing w:val="2"/>
          <w:sz w:val="28"/>
          <w:szCs w:val="28"/>
        </w:rPr>
      </w:pPr>
      <w:r>
        <w:rPr>
          <w:rFonts w:hint="eastAsia"/>
          <w:color w:val="000000"/>
          <w:spacing w:val="2"/>
          <w:sz w:val="28"/>
          <w:szCs w:val="28"/>
        </w:rPr>
        <w:t>（一）贯彻执行党中央、国务院关于文化、体育工作的路线、方针、政策，组织实施文化、体育工作的政策、法律、法规。</w:t>
      </w:r>
    </w:p>
    <w:p>
      <w:pPr>
        <w:snapToGrid w:val="0"/>
        <w:spacing w:line="600" w:lineRule="exact"/>
        <w:ind w:firstLine="568" w:firstLineChars="200"/>
        <w:rPr>
          <w:rFonts w:hint="eastAsia"/>
          <w:color w:val="000000"/>
          <w:spacing w:val="2"/>
          <w:sz w:val="28"/>
          <w:szCs w:val="28"/>
        </w:rPr>
      </w:pPr>
      <w:r>
        <w:rPr>
          <w:rFonts w:hint="eastAsia"/>
          <w:color w:val="000000"/>
          <w:spacing w:val="2"/>
          <w:sz w:val="28"/>
          <w:szCs w:val="28"/>
        </w:rPr>
        <w:t>（二）负责全区文化事业、体育工作的管理、指导、监督和服务工作。</w:t>
      </w:r>
    </w:p>
    <w:p>
      <w:pPr>
        <w:snapToGrid w:val="0"/>
        <w:spacing w:line="600" w:lineRule="exact"/>
        <w:ind w:firstLine="568" w:firstLineChars="200"/>
        <w:rPr>
          <w:rFonts w:hint="eastAsia"/>
          <w:color w:val="000000"/>
          <w:spacing w:val="2"/>
          <w:sz w:val="28"/>
          <w:szCs w:val="28"/>
        </w:rPr>
      </w:pPr>
      <w:r>
        <w:rPr>
          <w:rFonts w:hint="eastAsia"/>
          <w:color w:val="000000"/>
          <w:spacing w:val="2"/>
          <w:sz w:val="28"/>
          <w:szCs w:val="28"/>
        </w:rPr>
        <w:t>（三）组织实施《全民健身计划纲要》、《全民健身条例》，统筹规划全区群众体育发展，负责推行全民健身计划，推动全区国民体质监测和社会体育指导工作队伍制度建设，指导公共体育设施建设，推动体育事业的发展，促进社会主义精神文明建设。</w:t>
      </w:r>
    </w:p>
    <w:p>
      <w:pPr>
        <w:spacing w:line="600" w:lineRule="exact"/>
        <w:ind w:firstLine="568" w:firstLineChars="200"/>
        <w:rPr>
          <w:rFonts w:hint="eastAsia"/>
          <w:color w:val="000000"/>
          <w:spacing w:val="2"/>
          <w:sz w:val="28"/>
          <w:szCs w:val="28"/>
        </w:rPr>
      </w:pPr>
      <w:r>
        <w:rPr>
          <w:rFonts w:hint="eastAsia"/>
          <w:color w:val="000000"/>
          <w:spacing w:val="2"/>
          <w:sz w:val="28"/>
          <w:szCs w:val="28"/>
        </w:rPr>
        <w:t>（四）组织群众开展文化活动，积极参与全市重大文化活动。指导文化信息资源共享工程建设工作；指导开展基层群众文化活动；指导社区文化活动室和社区文化活动中心建设。</w:t>
      </w:r>
    </w:p>
    <w:p>
      <w:pPr>
        <w:widowControl/>
        <w:shd w:val="clear" w:color="auto" w:fill="FFFFFF"/>
        <w:ind w:firstLine="465"/>
        <w:jc w:val="left"/>
        <w:rPr>
          <w:rFonts w:hint="eastAsia" w:ascii="仿宋_GB2312" w:eastAsia="仿宋_GB2312"/>
          <w:sz w:val="27"/>
          <w:szCs w:val="27"/>
        </w:rPr>
      </w:pPr>
      <w:r>
        <w:rPr>
          <w:rFonts w:hint="eastAsia"/>
          <w:color w:val="000000"/>
          <w:spacing w:val="2"/>
          <w:sz w:val="28"/>
          <w:szCs w:val="28"/>
        </w:rPr>
        <w:t>（五）承办上级交办的其他事项。</w:t>
      </w:r>
    </w:p>
    <w:p>
      <w:pPr>
        <w:widowControl/>
        <w:shd w:val="clear" w:color="auto" w:fill="FFFFFF"/>
        <w:ind w:firstLine="480"/>
        <w:jc w:val="left"/>
        <w:rPr>
          <w:rFonts w:hint="eastAsia" w:ascii="宋体" w:hAnsi="宋体" w:cs="宋体"/>
          <w:color w:val="333333"/>
          <w:kern w:val="0"/>
          <w:sz w:val="24"/>
        </w:rPr>
      </w:pPr>
      <w:r>
        <w:rPr>
          <w:rFonts w:hint="eastAsia" w:ascii="仿宋_GB2312" w:eastAsia="仿宋_GB2312"/>
          <w:sz w:val="27"/>
          <w:szCs w:val="27"/>
        </w:rPr>
        <w:t>（二）单位基本信息(机构设置等</w:t>
      </w:r>
      <w:r>
        <w:rPr>
          <w:rFonts w:hint="eastAsia" w:ascii="宋体" w:hAnsi="宋体" w:cs="宋体"/>
          <w:color w:val="333333"/>
          <w:kern w:val="0"/>
          <w:sz w:val="24"/>
        </w:rPr>
        <w:t>)</w:t>
      </w:r>
    </w:p>
    <w:p>
      <w:pPr>
        <w:spacing w:line="600" w:lineRule="exact"/>
        <w:ind w:firstLine="1136" w:firstLineChars="400"/>
        <w:rPr>
          <w:rFonts w:hint="eastAsia"/>
          <w:color w:val="000000"/>
          <w:spacing w:val="2"/>
          <w:sz w:val="28"/>
          <w:szCs w:val="32"/>
        </w:rPr>
      </w:pPr>
      <w:r>
        <w:rPr>
          <w:rFonts w:hint="eastAsia"/>
          <w:color w:val="000000"/>
          <w:spacing w:val="2"/>
          <w:sz w:val="28"/>
          <w:szCs w:val="32"/>
        </w:rPr>
        <w:t>根据《省编办关于组建市县卫生和计划生育部门的通知》（鄂编办文[2013]132号）、《关于组建县（市、区）卫生和计划生育部门的通知》（黄编办文[2013]54号）和《关于组建黄石港区卫生和计划生育局等机构的批复》（黄编办文[2013]58号）文件精神，</w:t>
      </w:r>
      <w:r>
        <w:rPr>
          <w:rFonts w:hint="eastAsia" w:cs="Courier New"/>
          <w:color w:val="000000"/>
          <w:spacing w:val="2"/>
          <w:sz w:val="28"/>
          <w:szCs w:val="32"/>
        </w:rPr>
        <w:t>设立黄石港</w:t>
      </w:r>
      <w:r>
        <w:rPr>
          <w:rFonts w:hint="eastAsia"/>
          <w:color w:val="000000"/>
          <w:spacing w:val="2"/>
          <w:sz w:val="28"/>
          <w:szCs w:val="32"/>
        </w:rPr>
        <w:t>区文化体育局，为区政府工作部门。2016年2月黄石港区旅游局挂靠区文化体育局。下设区文化体育服务中心,为区文化体育局管理的副科级事业单位。核定人员编制3名，设领导职数1正（副科级）。</w:t>
      </w:r>
    </w:p>
    <w:p>
      <w:pPr>
        <w:spacing w:line="600" w:lineRule="exact"/>
        <w:ind w:left="78" w:leftChars="37" w:firstLine="568" w:firstLineChars="200"/>
        <w:rPr>
          <w:rFonts w:hint="eastAsia"/>
          <w:color w:val="000000"/>
          <w:spacing w:val="2"/>
          <w:sz w:val="28"/>
          <w:szCs w:val="32"/>
        </w:rPr>
      </w:pPr>
      <w:r>
        <w:rPr>
          <w:rFonts w:hint="eastAsia"/>
          <w:color w:val="000000"/>
          <w:spacing w:val="2"/>
          <w:sz w:val="28"/>
          <w:szCs w:val="32"/>
        </w:rPr>
        <w:t>区文化体育服务中心主要职责：指导艺术创作与生产，推动各门类艺术的发展，组织区群众性大型文化、体育活动。</w:t>
      </w:r>
    </w:p>
    <w:p>
      <w:pPr>
        <w:spacing w:line="600" w:lineRule="exact"/>
        <w:rPr>
          <w:rFonts w:hint="eastAsia"/>
          <w:color w:val="000000"/>
          <w:spacing w:val="2"/>
          <w:sz w:val="28"/>
          <w:szCs w:val="32"/>
        </w:rPr>
      </w:pPr>
      <w:r>
        <w:rPr>
          <w:rFonts w:hint="eastAsia" w:hAnsi="黑体"/>
          <w:color w:val="000000"/>
          <w:spacing w:val="2"/>
          <w:sz w:val="28"/>
          <w:szCs w:val="32"/>
        </w:rPr>
        <w:t>人员情况：</w:t>
      </w:r>
    </w:p>
    <w:p>
      <w:pPr>
        <w:widowControl/>
        <w:spacing w:before="100" w:beforeAutospacing="1" w:after="100" w:afterAutospacing="1" w:line="408" w:lineRule="auto"/>
        <w:ind w:firstLine="620"/>
        <w:jc w:val="left"/>
        <w:rPr>
          <w:rFonts w:hint="eastAsia"/>
          <w:color w:val="333333"/>
          <w:sz w:val="28"/>
          <w:szCs w:val="28"/>
        </w:rPr>
      </w:pPr>
      <w:r>
        <w:rPr>
          <w:rFonts w:hint="eastAsia" w:cs="Courier New"/>
          <w:color w:val="000000"/>
          <w:spacing w:val="2"/>
          <w:sz w:val="28"/>
          <w:szCs w:val="32"/>
        </w:rPr>
        <w:t>201</w:t>
      </w:r>
      <w:r>
        <w:rPr>
          <w:rFonts w:hint="eastAsia" w:cs="Courier New"/>
          <w:color w:val="000000"/>
          <w:spacing w:val="2"/>
          <w:sz w:val="28"/>
          <w:szCs w:val="32"/>
          <w:lang w:val="en-US" w:eastAsia="zh-CN"/>
        </w:rPr>
        <w:t>7</w:t>
      </w:r>
      <w:r>
        <w:rPr>
          <w:rFonts w:hint="eastAsia" w:cs="Courier New"/>
          <w:color w:val="000000"/>
          <w:spacing w:val="2"/>
          <w:sz w:val="28"/>
          <w:szCs w:val="32"/>
        </w:rPr>
        <w:t>年文体局工作人员8人，其中局长1人，书记1人，文体中心主任1人，解除领导职务1人，科员4人。</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52490" cy="5269865"/>
            <wp:effectExtent l="0" t="0" r="10160" b="6985"/>
            <wp:docPr id="213" name="图片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213"/>
                    <pic:cNvPicPr>
                      <a:picLocks noChangeAspect="1"/>
                    </pic:cNvPicPr>
                  </pic:nvPicPr>
                  <pic:blipFill>
                    <a:blip r:embed="rId4"/>
                    <a:stretch>
                      <a:fillRect/>
                    </a:stretch>
                  </pic:blipFill>
                  <pic:spPr>
                    <a:xfrm>
                      <a:off x="0" y="0"/>
                      <a:ext cx="5952490" cy="5269865"/>
                    </a:xfrm>
                    <a:prstGeom prst="rect">
                      <a:avLst/>
                    </a:prstGeom>
                    <a:noFill/>
                    <a:ln w="9525">
                      <a:noFill/>
                    </a:ln>
                  </pic:spPr>
                </pic:pic>
              </a:graphicData>
            </a:graphic>
          </wp:inline>
        </w:drawing>
      </w:r>
      <w:r>
        <w:drawing>
          <wp:inline distT="0" distB="0" distL="114300" distR="114300">
            <wp:extent cx="8853170" cy="3058160"/>
            <wp:effectExtent l="0" t="0" r="5080" b="8890"/>
            <wp:docPr id="214" name="图片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14"/>
                    <pic:cNvPicPr>
                      <a:picLocks noChangeAspect="1"/>
                    </pic:cNvPicPr>
                  </pic:nvPicPr>
                  <pic:blipFill>
                    <a:blip r:embed="rId5"/>
                    <a:stretch>
                      <a:fillRect/>
                    </a:stretch>
                  </pic:blipFill>
                  <pic:spPr>
                    <a:xfrm>
                      <a:off x="0" y="0"/>
                      <a:ext cx="8853170" cy="3058160"/>
                    </a:xfrm>
                    <a:prstGeom prst="rect">
                      <a:avLst/>
                    </a:prstGeom>
                    <a:noFill/>
                    <a:ln w="9525">
                      <a:noFill/>
                    </a:ln>
                  </pic:spPr>
                </pic:pic>
              </a:graphicData>
            </a:graphic>
          </wp:inline>
        </w:drawing>
      </w:r>
      <w:r>
        <w:drawing>
          <wp:inline distT="0" distB="0" distL="114300" distR="114300">
            <wp:extent cx="8858250" cy="3952875"/>
            <wp:effectExtent l="0" t="0" r="0" b="9525"/>
            <wp:docPr id="215" name="图片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15"/>
                    <pic:cNvPicPr>
                      <a:picLocks noChangeAspect="1"/>
                    </pic:cNvPicPr>
                  </pic:nvPicPr>
                  <pic:blipFill>
                    <a:blip r:embed="rId6"/>
                    <a:stretch>
                      <a:fillRect/>
                    </a:stretch>
                  </pic:blipFill>
                  <pic:spPr>
                    <a:xfrm>
                      <a:off x="0" y="0"/>
                      <a:ext cx="8858250" cy="3952875"/>
                    </a:xfrm>
                    <a:prstGeom prst="rect">
                      <a:avLst/>
                    </a:prstGeom>
                    <a:noFill/>
                    <a:ln w="9525">
                      <a:noFill/>
                    </a:ln>
                  </pic:spPr>
                </pic:pic>
              </a:graphicData>
            </a:graphic>
          </wp:inline>
        </w:drawing>
      </w:r>
      <w:r>
        <w:drawing>
          <wp:inline distT="0" distB="0" distL="114300" distR="114300">
            <wp:extent cx="6496050" cy="5114925"/>
            <wp:effectExtent l="0" t="0" r="0" b="9525"/>
            <wp:docPr id="216" name="图片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216"/>
                    <pic:cNvPicPr>
                      <a:picLocks noChangeAspect="1"/>
                    </pic:cNvPicPr>
                  </pic:nvPicPr>
                  <pic:blipFill>
                    <a:blip r:embed="rId7"/>
                    <a:stretch>
                      <a:fillRect/>
                    </a:stretch>
                  </pic:blipFill>
                  <pic:spPr>
                    <a:xfrm>
                      <a:off x="0" y="0"/>
                      <a:ext cx="6496050" cy="5114925"/>
                    </a:xfrm>
                    <a:prstGeom prst="rect">
                      <a:avLst/>
                    </a:prstGeom>
                    <a:noFill/>
                    <a:ln w="9525">
                      <a:noFill/>
                    </a:ln>
                  </pic:spPr>
                </pic:pic>
              </a:graphicData>
            </a:graphic>
          </wp:inline>
        </w:drawing>
      </w:r>
      <w:r>
        <w:drawing>
          <wp:inline distT="0" distB="0" distL="114300" distR="114300">
            <wp:extent cx="5943600" cy="3867150"/>
            <wp:effectExtent l="0" t="0" r="0" b="0"/>
            <wp:docPr id="217" name="图片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217"/>
                    <pic:cNvPicPr>
                      <a:picLocks noChangeAspect="1"/>
                    </pic:cNvPicPr>
                  </pic:nvPicPr>
                  <pic:blipFill>
                    <a:blip r:embed="rId8"/>
                    <a:stretch>
                      <a:fillRect/>
                    </a:stretch>
                  </pic:blipFill>
                  <pic:spPr>
                    <a:xfrm>
                      <a:off x="0" y="0"/>
                      <a:ext cx="5943600" cy="3867150"/>
                    </a:xfrm>
                    <a:prstGeom prst="rect">
                      <a:avLst/>
                    </a:prstGeom>
                    <a:noFill/>
                    <a:ln w="9525">
                      <a:noFill/>
                    </a:ln>
                  </pic:spPr>
                </pic:pic>
              </a:graphicData>
            </a:graphic>
          </wp:inline>
        </w:drawing>
      </w:r>
      <w:r>
        <w:drawing>
          <wp:inline distT="0" distB="0" distL="114300" distR="114300">
            <wp:extent cx="8856980" cy="5076190"/>
            <wp:effectExtent l="0" t="0" r="1270" b="10160"/>
            <wp:docPr id="218" name="图片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18"/>
                    <pic:cNvPicPr>
                      <a:picLocks noChangeAspect="1"/>
                    </pic:cNvPicPr>
                  </pic:nvPicPr>
                  <pic:blipFill>
                    <a:blip r:embed="rId9"/>
                    <a:stretch>
                      <a:fillRect/>
                    </a:stretch>
                  </pic:blipFill>
                  <pic:spPr>
                    <a:xfrm>
                      <a:off x="0" y="0"/>
                      <a:ext cx="8856980" cy="5076190"/>
                    </a:xfrm>
                    <a:prstGeom prst="rect">
                      <a:avLst/>
                    </a:prstGeom>
                    <a:noFill/>
                    <a:ln w="9525">
                      <a:noFill/>
                    </a:ln>
                  </pic:spPr>
                </pic:pic>
              </a:graphicData>
            </a:graphic>
          </wp:inline>
        </w:drawing>
      </w:r>
      <w:r>
        <w:drawing>
          <wp:inline distT="0" distB="0" distL="114300" distR="114300">
            <wp:extent cx="8862060" cy="1930400"/>
            <wp:effectExtent l="0" t="0" r="15240" b="12700"/>
            <wp:docPr id="219" name="图片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219"/>
                    <pic:cNvPicPr>
                      <a:picLocks noChangeAspect="1"/>
                    </pic:cNvPicPr>
                  </pic:nvPicPr>
                  <pic:blipFill>
                    <a:blip r:embed="rId10"/>
                    <a:stretch>
                      <a:fillRect/>
                    </a:stretch>
                  </pic:blipFill>
                  <pic:spPr>
                    <a:xfrm>
                      <a:off x="0" y="0"/>
                      <a:ext cx="8862060" cy="1930400"/>
                    </a:xfrm>
                    <a:prstGeom prst="rect">
                      <a:avLst/>
                    </a:prstGeom>
                    <a:noFill/>
                    <a:ln w="9525">
                      <a:noFill/>
                    </a:ln>
                  </pic:spPr>
                </pic:pic>
              </a:graphicData>
            </a:graphic>
          </wp:inline>
        </w:drawing>
      </w:r>
      <w:r>
        <w:drawing>
          <wp:inline distT="0" distB="0" distL="114300" distR="114300">
            <wp:extent cx="8856345" cy="2233930"/>
            <wp:effectExtent l="0" t="0" r="1905" b="13970"/>
            <wp:docPr id="220" name="图片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20"/>
                    <pic:cNvPicPr>
                      <a:picLocks noChangeAspect="1"/>
                    </pic:cNvPicPr>
                  </pic:nvPicPr>
                  <pic:blipFill>
                    <a:blip r:embed="rId11"/>
                    <a:stretch>
                      <a:fillRect/>
                    </a:stretch>
                  </pic:blipFill>
                  <pic:spPr>
                    <a:xfrm>
                      <a:off x="0" y="0"/>
                      <a:ext cx="8856345" cy="223393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（一）预算执行情况分析</w:t>
      </w:r>
    </w:p>
    <w:p>
      <w:pPr>
        <w:widowControl/>
        <w:rPr>
          <w:rFonts w:hint="eastAsia"/>
          <w:color w:val="000000"/>
          <w:spacing w:val="2"/>
          <w:sz w:val="28"/>
          <w:szCs w:val="28"/>
        </w:rPr>
      </w:pPr>
      <w:r>
        <w:rPr>
          <w:rFonts w:hint="eastAsia" w:hAnsi="宋体"/>
          <w:color w:val="000000"/>
          <w:spacing w:val="2"/>
          <w:sz w:val="28"/>
          <w:szCs w:val="28"/>
        </w:rPr>
        <w:t>（一）收入支出预算安排情况</w:t>
      </w:r>
    </w:p>
    <w:p>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年财政收入预算数</w:t>
      </w:r>
      <w:r>
        <w:rPr>
          <w:rFonts w:hint="eastAsia"/>
          <w:color w:val="000000"/>
          <w:spacing w:val="2"/>
          <w:sz w:val="28"/>
          <w:szCs w:val="28"/>
        </w:rPr>
        <w:t>1007289.42</w:t>
      </w:r>
      <w:r>
        <w:rPr>
          <w:rFonts w:hint="eastAsia" w:hAnsi="宋体"/>
          <w:color w:val="000000"/>
          <w:spacing w:val="2"/>
          <w:sz w:val="28"/>
          <w:szCs w:val="28"/>
        </w:rPr>
        <w:t>元，其中人员经费606721元，公用经费390568.42元</w:t>
      </w:r>
      <w:r>
        <w:rPr>
          <w:rFonts w:hint="eastAsia"/>
          <w:color w:val="000000"/>
          <w:spacing w:val="2"/>
          <w:sz w:val="28"/>
          <w:szCs w:val="28"/>
        </w:rPr>
        <w:t>, 2017</w:t>
      </w:r>
      <w:r>
        <w:rPr>
          <w:rFonts w:hint="eastAsia" w:hAnsi="宋体"/>
          <w:color w:val="000000"/>
          <w:spacing w:val="2"/>
          <w:sz w:val="28"/>
          <w:szCs w:val="28"/>
        </w:rPr>
        <w:t>年财政支出预算数</w:t>
      </w:r>
      <w:r>
        <w:rPr>
          <w:rFonts w:hint="eastAsia"/>
          <w:color w:val="000000"/>
          <w:spacing w:val="2"/>
          <w:sz w:val="28"/>
          <w:szCs w:val="28"/>
        </w:rPr>
        <w:t>1007289.42</w:t>
      </w:r>
      <w:r>
        <w:rPr>
          <w:rFonts w:hint="eastAsia" w:hAnsi="宋体"/>
          <w:color w:val="000000"/>
          <w:spacing w:val="2"/>
          <w:sz w:val="28"/>
          <w:szCs w:val="28"/>
        </w:rPr>
        <w:t>元，其中人员经费606721元，公用经费390568.42元</w:t>
      </w:r>
      <w:r>
        <w:rPr>
          <w:rFonts w:hint="eastAsia"/>
          <w:color w:val="000000"/>
          <w:spacing w:val="2"/>
          <w:sz w:val="28"/>
          <w:szCs w:val="28"/>
        </w:rPr>
        <w:t>2016</w:t>
      </w:r>
      <w:r>
        <w:rPr>
          <w:rFonts w:hint="eastAsia" w:hAnsi="宋体"/>
          <w:color w:val="000000"/>
          <w:spacing w:val="2"/>
          <w:sz w:val="28"/>
          <w:szCs w:val="28"/>
        </w:rPr>
        <w:t>年财政收入预算数</w:t>
      </w:r>
      <w:r>
        <w:rPr>
          <w:rFonts w:hint="eastAsia"/>
          <w:color w:val="000000"/>
          <w:spacing w:val="2"/>
          <w:sz w:val="28"/>
          <w:szCs w:val="28"/>
        </w:rPr>
        <w:t>700253.00</w:t>
      </w:r>
      <w:r>
        <w:rPr>
          <w:rFonts w:hint="eastAsia" w:hAnsi="宋体"/>
          <w:color w:val="000000"/>
          <w:spacing w:val="2"/>
          <w:sz w:val="28"/>
          <w:szCs w:val="28"/>
        </w:rPr>
        <w:t>元，其中人员经费３５９２３１．００元，公用经费３４１０２２．</w:t>
      </w:r>
      <w:r>
        <w:rPr>
          <w:rFonts w:hint="eastAsia"/>
          <w:color w:val="000000"/>
          <w:spacing w:val="2"/>
          <w:sz w:val="28"/>
          <w:szCs w:val="28"/>
        </w:rPr>
        <w:t>00</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年财政支出预算数</w:t>
      </w:r>
      <w:r>
        <w:rPr>
          <w:rFonts w:hint="eastAsia"/>
          <w:color w:val="000000"/>
          <w:spacing w:val="2"/>
          <w:sz w:val="28"/>
          <w:szCs w:val="28"/>
        </w:rPr>
        <w:t>700253.00</w:t>
      </w:r>
      <w:r>
        <w:rPr>
          <w:rFonts w:hint="eastAsia" w:hAnsi="宋体"/>
          <w:color w:val="000000"/>
          <w:spacing w:val="2"/>
          <w:sz w:val="28"/>
          <w:szCs w:val="28"/>
        </w:rPr>
        <w:t>元，其中人员经费３５９２３１．００元，公用经费３４１０２２．</w:t>
      </w:r>
      <w:r>
        <w:rPr>
          <w:rFonts w:hint="eastAsia"/>
          <w:color w:val="000000"/>
          <w:spacing w:val="2"/>
          <w:sz w:val="28"/>
          <w:szCs w:val="28"/>
        </w:rPr>
        <w:t>00</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年收入预算数安排比上年增加</w:t>
      </w:r>
      <w:r>
        <w:rPr>
          <w:rFonts w:hint="eastAsia"/>
          <w:color w:val="000000"/>
          <w:spacing w:val="2"/>
          <w:sz w:val="28"/>
          <w:szCs w:val="28"/>
        </w:rPr>
        <w:t>307036.42</w:t>
      </w:r>
      <w:r>
        <w:rPr>
          <w:rFonts w:hint="eastAsia" w:hAnsi="宋体"/>
          <w:color w:val="000000"/>
          <w:spacing w:val="2"/>
          <w:sz w:val="28"/>
          <w:szCs w:val="28"/>
        </w:rPr>
        <w:t>元，幅度为</w:t>
      </w:r>
      <w:r>
        <w:rPr>
          <w:rFonts w:hint="eastAsia"/>
          <w:color w:val="000000"/>
          <w:spacing w:val="2"/>
          <w:sz w:val="28"/>
          <w:szCs w:val="28"/>
        </w:rPr>
        <w:t>30%</w:t>
      </w:r>
      <w:r>
        <w:rPr>
          <w:rFonts w:hint="eastAsia" w:hAnsi="宋体"/>
          <w:color w:val="000000"/>
          <w:spacing w:val="2"/>
          <w:sz w:val="28"/>
          <w:szCs w:val="28"/>
        </w:rPr>
        <w:t>，</w:t>
      </w:r>
      <w:r>
        <w:rPr>
          <w:rFonts w:hint="eastAsia"/>
          <w:color w:val="000000"/>
          <w:spacing w:val="2"/>
          <w:sz w:val="28"/>
          <w:szCs w:val="28"/>
        </w:rPr>
        <w:t>2016</w:t>
      </w:r>
      <w:r>
        <w:rPr>
          <w:rFonts w:hint="eastAsia" w:hAnsi="宋体"/>
          <w:color w:val="000000"/>
          <w:spacing w:val="2"/>
          <w:sz w:val="28"/>
          <w:szCs w:val="28"/>
        </w:rPr>
        <w:t>年支出预算数安排比上年增加</w:t>
      </w:r>
      <w:r>
        <w:rPr>
          <w:rFonts w:hint="eastAsia"/>
          <w:color w:val="000000"/>
          <w:spacing w:val="2"/>
          <w:sz w:val="28"/>
          <w:szCs w:val="28"/>
        </w:rPr>
        <w:t>307036.42</w:t>
      </w:r>
      <w:r>
        <w:rPr>
          <w:rFonts w:hint="eastAsia" w:hAnsi="宋体"/>
          <w:color w:val="000000"/>
          <w:spacing w:val="2"/>
          <w:sz w:val="28"/>
          <w:szCs w:val="28"/>
        </w:rPr>
        <w:t>元，幅度为</w:t>
      </w:r>
      <w:r>
        <w:rPr>
          <w:rFonts w:hint="eastAsia"/>
          <w:color w:val="000000"/>
          <w:spacing w:val="2"/>
          <w:sz w:val="28"/>
          <w:szCs w:val="28"/>
        </w:rPr>
        <w:t>30%</w:t>
      </w:r>
      <w:r>
        <w:rPr>
          <w:rFonts w:hint="eastAsia" w:hAnsi="宋体"/>
          <w:color w:val="000000"/>
          <w:spacing w:val="2"/>
          <w:sz w:val="28"/>
          <w:szCs w:val="28"/>
        </w:rPr>
        <w:t>，主要原因业务增加。</w:t>
      </w:r>
    </w:p>
    <w:p>
      <w:pPr>
        <w:widowControl/>
        <w:rPr>
          <w:rFonts w:hint="eastAsia"/>
          <w:color w:val="000000"/>
          <w:spacing w:val="2"/>
          <w:sz w:val="28"/>
          <w:szCs w:val="28"/>
        </w:rPr>
      </w:pPr>
      <w:r>
        <w:rPr>
          <w:rFonts w:hint="eastAsia" w:hAnsi="宋体"/>
          <w:color w:val="000000"/>
          <w:spacing w:val="2"/>
          <w:sz w:val="28"/>
          <w:szCs w:val="28"/>
        </w:rPr>
        <w:t>（二）、收入支出预算执行情况</w:t>
      </w:r>
    </w:p>
    <w:p>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年财政收入预算数</w:t>
      </w:r>
      <w:r>
        <w:rPr>
          <w:rFonts w:hint="eastAsia"/>
          <w:color w:val="000000"/>
          <w:spacing w:val="2"/>
          <w:sz w:val="28"/>
          <w:szCs w:val="28"/>
        </w:rPr>
        <w:t>1007289.42</w:t>
      </w:r>
      <w:r>
        <w:rPr>
          <w:rFonts w:hint="eastAsia" w:hAnsi="宋体"/>
          <w:color w:val="000000"/>
          <w:spacing w:val="2"/>
          <w:sz w:val="28"/>
          <w:szCs w:val="28"/>
        </w:rPr>
        <w:t>元，其中人员经费606721元，公用经费390568.42元</w:t>
      </w:r>
      <w:r>
        <w:rPr>
          <w:rFonts w:hint="eastAsia"/>
          <w:color w:val="000000"/>
          <w:spacing w:val="2"/>
          <w:sz w:val="28"/>
          <w:szCs w:val="28"/>
        </w:rPr>
        <w:t>, 2017</w:t>
      </w:r>
      <w:r>
        <w:rPr>
          <w:rFonts w:hint="eastAsia" w:hAnsi="宋体"/>
          <w:color w:val="000000"/>
          <w:spacing w:val="2"/>
          <w:sz w:val="28"/>
          <w:szCs w:val="28"/>
        </w:rPr>
        <w:t>年财政支出预算数</w:t>
      </w:r>
      <w:r>
        <w:rPr>
          <w:rFonts w:hint="eastAsia"/>
          <w:color w:val="000000"/>
          <w:spacing w:val="2"/>
          <w:sz w:val="28"/>
          <w:szCs w:val="28"/>
        </w:rPr>
        <w:t>1007289.42</w:t>
      </w:r>
      <w:r>
        <w:rPr>
          <w:rFonts w:hint="eastAsia" w:hAnsi="宋体"/>
          <w:color w:val="000000"/>
          <w:spacing w:val="2"/>
          <w:sz w:val="28"/>
          <w:szCs w:val="28"/>
        </w:rPr>
        <w:t>元，其中人员经费606721元，公用经费390568.42元</w:t>
      </w:r>
      <w:r>
        <w:rPr>
          <w:rFonts w:hint="eastAsia"/>
          <w:color w:val="000000"/>
          <w:spacing w:val="2"/>
          <w:sz w:val="28"/>
          <w:szCs w:val="28"/>
        </w:rPr>
        <w:t>2016</w:t>
      </w:r>
      <w:r>
        <w:rPr>
          <w:rFonts w:hint="eastAsia" w:hAnsi="宋体"/>
          <w:color w:val="000000"/>
          <w:spacing w:val="2"/>
          <w:sz w:val="28"/>
          <w:szCs w:val="28"/>
        </w:rPr>
        <w:t>年财政收入预算数</w:t>
      </w:r>
      <w:r>
        <w:rPr>
          <w:rFonts w:hint="eastAsia"/>
          <w:color w:val="000000"/>
          <w:spacing w:val="2"/>
          <w:sz w:val="28"/>
          <w:szCs w:val="28"/>
        </w:rPr>
        <w:t>700253.00</w:t>
      </w:r>
      <w:r>
        <w:rPr>
          <w:rFonts w:hint="eastAsia" w:hAnsi="宋体"/>
          <w:color w:val="000000"/>
          <w:spacing w:val="2"/>
          <w:sz w:val="28"/>
          <w:szCs w:val="28"/>
        </w:rPr>
        <w:t>元，其中人员经费３５９２３１．００元，公用经费３４１０２２．</w:t>
      </w:r>
      <w:r>
        <w:rPr>
          <w:rFonts w:hint="eastAsia"/>
          <w:color w:val="000000"/>
          <w:spacing w:val="2"/>
          <w:sz w:val="28"/>
          <w:szCs w:val="28"/>
        </w:rPr>
        <w:t>00</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年财政支出预算数</w:t>
      </w:r>
      <w:r>
        <w:rPr>
          <w:rFonts w:hint="eastAsia"/>
          <w:color w:val="000000"/>
          <w:spacing w:val="2"/>
          <w:sz w:val="28"/>
          <w:szCs w:val="28"/>
        </w:rPr>
        <w:t>700253.00</w:t>
      </w:r>
      <w:r>
        <w:rPr>
          <w:rFonts w:hint="eastAsia" w:hAnsi="宋体"/>
          <w:color w:val="000000"/>
          <w:spacing w:val="2"/>
          <w:sz w:val="28"/>
          <w:szCs w:val="28"/>
        </w:rPr>
        <w:t>元，其中人员经费３５９２３１．００元，公用经费３４１０２２．</w:t>
      </w:r>
      <w:r>
        <w:rPr>
          <w:rFonts w:hint="eastAsia"/>
          <w:color w:val="000000"/>
          <w:spacing w:val="2"/>
          <w:sz w:val="28"/>
          <w:szCs w:val="28"/>
        </w:rPr>
        <w:t>00</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年收入预算数安排比上年增加</w:t>
      </w:r>
      <w:r>
        <w:rPr>
          <w:rFonts w:hint="eastAsia"/>
          <w:color w:val="000000"/>
          <w:spacing w:val="2"/>
          <w:sz w:val="28"/>
          <w:szCs w:val="28"/>
        </w:rPr>
        <w:t>307036.42</w:t>
      </w:r>
      <w:r>
        <w:rPr>
          <w:rFonts w:hint="eastAsia" w:hAnsi="宋体"/>
          <w:color w:val="000000"/>
          <w:spacing w:val="2"/>
          <w:sz w:val="28"/>
          <w:szCs w:val="28"/>
        </w:rPr>
        <w:t>元，幅度为</w:t>
      </w:r>
      <w:r>
        <w:rPr>
          <w:rFonts w:hint="eastAsia"/>
          <w:color w:val="000000"/>
          <w:spacing w:val="2"/>
          <w:sz w:val="28"/>
          <w:szCs w:val="28"/>
        </w:rPr>
        <w:t>30%</w:t>
      </w:r>
      <w:r>
        <w:rPr>
          <w:rFonts w:hint="eastAsia" w:hAnsi="宋体"/>
          <w:color w:val="000000"/>
          <w:spacing w:val="2"/>
          <w:sz w:val="28"/>
          <w:szCs w:val="28"/>
        </w:rPr>
        <w:t>，</w:t>
      </w:r>
      <w:r>
        <w:rPr>
          <w:rFonts w:hint="eastAsia"/>
          <w:color w:val="000000"/>
          <w:spacing w:val="2"/>
          <w:sz w:val="28"/>
          <w:szCs w:val="28"/>
        </w:rPr>
        <w:t>2016</w:t>
      </w:r>
      <w:r>
        <w:rPr>
          <w:rFonts w:hint="eastAsia" w:hAnsi="宋体"/>
          <w:color w:val="000000"/>
          <w:spacing w:val="2"/>
          <w:sz w:val="28"/>
          <w:szCs w:val="28"/>
        </w:rPr>
        <w:t>年支出预算数安排比上年增加</w:t>
      </w:r>
      <w:r>
        <w:rPr>
          <w:rFonts w:hint="eastAsia"/>
          <w:color w:val="000000"/>
          <w:spacing w:val="2"/>
          <w:sz w:val="28"/>
          <w:szCs w:val="28"/>
        </w:rPr>
        <w:t>307036.42</w:t>
      </w:r>
      <w:r>
        <w:rPr>
          <w:rFonts w:hint="eastAsia" w:hAnsi="宋体"/>
          <w:color w:val="000000"/>
          <w:spacing w:val="2"/>
          <w:sz w:val="28"/>
          <w:szCs w:val="28"/>
        </w:rPr>
        <w:t>元，幅度为</w:t>
      </w:r>
      <w:r>
        <w:rPr>
          <w:rFonts w:hint="eastAsia"/>
          <w:color w:val="000000"/>
          <w:spacing w:val="2"/>
          <w:sz w:val="28"/>
          <w:szCs w:val="28"/>
        </w:rPr>
        <w:t>30%</w:t>
      </w:r>
      <w:r>
        <w:rPr>
          <w:rFonts w:hint="eastAsia" w:hAnsi="宋体"/>
          <w:color w:val="000000"/>
          <w:spacing w:val="2"/>
          <w:sz w:val="28"/>
          <w:szCs w:val="28"/>
        </w:rPr>
        <w:t>，主要原因业务增加。</w:t>
      </w:r>
    </w:p>
    <w:p>
      <w:pPr>
        <w:widowControl/>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568" w:firstLineChars="200"/>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3771745.73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3771745.73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2118170.28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项目支出其它文化支出</w:t>
      </w:r>
      <w:r>
        <w:rPr>
          <w:rFonts w:hint="eastAsia"/>
          <w:color w:val="000000"/>
          <w:spacing w:val="2"/>
          <w:sz w:val="28"/>
          <w:szCs w:val="28"/>
        </w:rPr>
        <w:t>1653575.45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4234614.57</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3771745.73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2118170.28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项目支出其它文化支出</w:t>
      </w:r>
      <w:r>
        <w:rPr>
          <w:rFonts w:hint="eastAsia"/>
          <w:color w:val="000000"/>
          <w:spacing w:val="2"/>
          <w:sz w:val="28"/>
          <w:szCs w:val="28"/>
        </w:rPr>
        <w:t>1653575.45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462868.84</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 xml:space="preserve"> 其它资金结余</w:t>
      </w:r>
      <w:r>
        <w:rPr>
          <w:rFonts w:hint="eastAsia"/>
          <w:color w:val="000000"/>
          <w:spacing w:val="2"/>
          <w:sz w:val="28"/>
          <w:szCs w:val="28"/>
        </w:rPr>
        <w:t>1140529.44</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1007289.42</w:t>
      </w:r>
      <w:r>
        <w:rPr>
          <w:rFonts w:hint="eastAsia" w:hAnsi="宋体"/>
          <w:color w:val="000000"/>
          <w:spacing w:val="2"/>
          <w:sz w:val="28"/>
          <w:szCs w:val="28"/>
        </w:rPr>
        <w:t>元</w:t>
      </w:r>
    </w:p>
    <w:p>
      <w:pPr>
        <w:spacing w:line="440" w:lineRule="exact"/>
        <w:ind w:firstLine="568" w:firstLineChars="200"/>
        <w:rPr>
          <w:rFonts w:hint="eastAsia"/>
          <w:color w:val="000000"/>
          <w:spacing w:val="2"/>
          <w:sz w:val="28"/>
          <w:szCs w:val="28"/>
        </w:rPr>
      </w:pPr>
      <w:r>
        <w:rPr>
          <w:rFonts w:hint="eastAsia"/>
          <w:color w:val="000000"/>
          <w:spacing w:val="2"/>
          <w:sz w:val="28"/>
          <w:szCs w:val="28"/>
        </w:rPr>
        <w:t>2016</w:t>
      </w:r>
      <w:r>
        <w:rPr>
          <w:rFonts w:hint="eastAsia" w:hAnsi="宋体"/>
          <w:color w:val="000000"/>
          <w:spacing w:val="2"/>
          <w:sz w:val="28"/>
          <w:szCs w:val="28"/>
        </w:rPr>
        <w:t>年全年总收入</w:t>
      </w:r>
      <w:r>
        <w:rPr>
          <w:rFonts w:hint="eastAsia"/>
          <w:color w:val="000000"/>
          <w:spacing w:val="2"/>
          <w:sz w:val="28"/>
          <w:szCs w:val="28"/>
        </w:rPr>
        <w:t>2829795.00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1090683.25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940683.25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项目支出其它文化支出</w:t>
      </w:r>
      <w:r>
        <w:rPr>
          <w:rFonts w:hint="eastAsia"/>
          <w:color w:val="000000"/>
          <w:spacing w:val="2"/>
          <w:sz w:val="28"/>
          <w:szCs w:val="28"/>
        </w:rPr>
        <w:t>150000.00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1739111.75</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年全年总支出</w:t>
      </w:r>
      <w:r>
        <w:rPr>
          <w:rFonts w:hint="eastAsia"/>
          <w:color w:val="000000"/>
          <w:spacing w:val="2"/>
          <w:sz w:val="28"/>
          <w:szCs w:val="28"/>
        </w:rPr>
        <w:t>1629084.85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1090683.25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940683.25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项目支出其它文化支出</w:t>
      </w:r>
      <w:r>
        <w:rPr>
          <w:rFonts w:hint="eastAsia"/>
          <w:color w:val="000000"/>
          <w:spacing w:val="2"/>
          <w:sz w:val="28"/>
          <w:szCs w:val="28"/>
        </w:rPr>
        <w:t>150000.00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538401.6</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年财政预算数</w:t>
      </w:r>
      <w:r>
        <w:rPr>
          <w:rFonts w:hint="eastAsia"/>
          <w:color w:val="000000"/>
          <w:spacing w:val="2"/>
          <w:sz w:val="28"/>
          <w:szCs w:val="28"/>
        </w:rPr>
        <w:t>700253.00</w:t>
      </w:r>
      <w:r>
        <w:rPr>
          <w:rFonts w:hint="eastAsia" w:hAnsi="宋体"/>
          <w:color w:val="000000"/>
          <w:spacing w:val="2"/>
          <w:sz w:val="28"/>
          <w:szCs w:val="28"/>
        </w:rPr>
        <w:t>元，</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spacing w:line="440" w:lineRule="exact"/>
        <w:ind w:firstLine="568" w:firstLineChars="200"/>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3771745.73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3771745.73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2118170.28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项目支出其它文化支出</w:t>
      </w:r>
      <w:r>
        <w:rPr>
          <w:rFonts w:hint="eastAsia"/>
          <w:color w:val="000000"/>
          <w:spacing w:val="2"/>
          <w:sz w:val="28"/>
          <w:szCs w:val="28"/>
        </w:rPr>
        <w:t>1653575.45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4234614.57</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3771745.73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2118170.28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项目支出其它文化支出</w:t>
      </w:r>
      <w:r>
        <w:rPr>
          <w:rFonts w:hint="eastAsia"/>
          <w:color w:val="000000"/>
          <w:spacing w:val="2"/>
          <w:sz w:val="28"/>
          <w:szCs w:val="28"/>
        </w:rPr>
        <w:t>1653575.45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462868.84</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 xml:space="preserve"> 其它资金结余</w:t>
      </w:r>
      <w:r>
        <w:rPr>
          <w:rFonts w:hint="eastAsia"/>
          <w:color w:val="000000"/>
          <w:spacing w:val="2"/>
          <w:sz w:val="28"/>
          <w:szCs w:val="28"/>
        </w:rPr>
        <w:t>1140529.44</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1007289.42</w:t>
      </w:r>
      <w:r>
        <w:rPr>
          <w:rFonts w:hint="eastAsia" w:hAnsi="宋体"/>
          <w:color w:val="000000"/>
          <w:spacing w:val="2"/>
          <w:sz w:val="28"/>
          <w:szCs w:val="28"/>
        </w:rPr>
        <w:t>元</w:t>
      </w:r>
    </w:p>
    <w:p>
      <w:pPr>
        <w:widowControl/>
        <w:shd w:val="clear" w:color="auto" w:fill="FFFFFF"/>
        <w:ind w:firstLine="480"/>
        <w:jc w:val="left"/>
        <w:rPr>
          <w:rFonts w:hint="eastAsia"/>
          <w:color w:val="000000"/>
          <w:spacing w:val="2"/>
          <w:sz w:val="28"/>
          <w:szCs w:val="28"/>
        </w:rPr>
      </w:pPr>
      <w:r>
        <w:rPr>
          <w:rFonts w:hint="eastAsia"/>
          <w:color w:val="000000"/>
          <w:spacing w:val="2"/>
          <w:sz w:val="28"/>
          <w:szCs w:val="28"/>
        </w:rPr>
        <w:t>2016</w:t>
      </w:r>
      <w:r>
        <w:rPr>
          <w:rFonts w:hint="eastAsia" w:hAnsi="宋体"/>
          <w:color w:val="000000"/>
          <w:spacing w:val="2"/>
          <w:sz w:val="28"/>
          <w:szCs w:val="28"/>
        </w:rPr>
        <w:t>年全年总收入</w:t>
      </w:r>
      <w:r>
        <w:rPr>
          <w:rFonts w:hint="eastAsia"/>
          <w:color w:val="000000"/>
          <w:spacing w:val="2"/>
          <w:sz w:val="28"/>
          <w:szCs w:val="28"/>
        </w:rPr>
        <w:t>2829795.00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1090683.25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940683.25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其它文化支出</w:t>
      </w:r>
      <w:r>
        <w:rPr>
          <w:rFonts w:hint="eastAsia"/>
          <w:color w:val="000000"/>
          <w:spacing w:val="2"/>
          <w:sz w:val="28"/>
          <w:szCs w:val="28"/>
        </w:rPr>
        <w:t>150000.00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占总收入</w:t>
      </w:r>
      <w:r>
        <w:rPr>
          <w:rFonts w:hint="eastAsia"/>
          <w:color w:val="000000"/>
          <w:spacing w:val="2"/>
          <w:sz w:val="28"/>
          <w:szCs w:val="28"/>
        </w:rPr>
        <w:t>38%,</w:t>
      </w:r>
      <w:r>
        <w:rPr>
          <w:rFonts w:hint="eastAsia" w:hAnsi="宋体"/>
          <w:color w:val="000000"/>
          <w:spacing w:val="2"/>
          <w:sz w:val="28"/>
          <w:szCs w:val="28"/>
        </w:rPr>
        <w:t>其它收入</w:t>
      </w:r>
      <w:r>
        <w:rPr>
          <w:rFonts w:hint="eastAsia"/>
          <w:color w:val="000000"/>
          <w:spacing w:val="2"/>
          <w:sz w:val="28"/>
          <w:szCs w:val="28"/>
        </w:rPr>
        <w:t>1739111.75</w:t>
      </w:r>
      <w:r>
        <w:rPr>
          <w:rFonts w:hint="eastAsia" w:hAnsi="宋体"/>
          <w:color w:val="000000"/>
          <w:spacing w:val="2"/>
          <w:sz w:val="28"/>
          <w:szCs w:val="28"/>
        </w:rPr>
        <w:t>元</w:t>
      </w:r>
      <w:r>
        <w:rPr>
          <w:rFonts w:hint="eastAsia"/>
          <w:color w:val="000000"/>
          <w:spacing w:val="2"/>
          <w:sz w:val="28"/>
          <w:szCs w:val="28"/>
        </w:rPr>
        <w:t xml:space="preserve">, </w:t>
      </w:r>
      <w:r>
        <w:rPr>
          <w:rFonts w:hint="eastAsia" w:hAnsi="宋体"/>
          <w:color w:val="000000"/>
          <w:spacing w:val="2"/>
          <w:sz w:val="28"/>
          <w:szCs w:val="28"/>
        </w:rPr>
        <w:t>占总收入</w:t>
      </w:r>
      <w:r>
        <w:rPr>
          <w:rFonts w:hint="eastAsia"/>
          <w:color w:val="000000"/>
          <w:spacing w:val="2"/>
          <w:sz w:val="28"/>
          <w:szCs w:val="28"/>
        </w:rPr>
        <w:t>62%, 2016</w:t>
      </w:r>
      <w:r>
        <w:rPr>
          <w:rFonts w:hint="eastAsia" w:hAnsi="宋体"/>
          <w:color w:val="000000"/>
          <w:spacing w:val="2"/>
          <w:sz w:val="28"/>
          <w:szCs w:val="28"/>
        </w:rPr>
        <w:t>年全年总支出</w:t>
      </w:r>
      <w:r>
        <w:rPr>
          <w:rFonts w:hint="eastAsia"/>
          <w:color w:val="000000"/>
          <w:spacing w:val="2"/>
          <w:sz w:val="28"/>
          <w:szCs w:val="28"/>
        </w:rPr>
        <w:t>1629084.85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1090683.25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940683.25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项目支出其它文化支出</w:t>
      </w:r>
      <w:r>
        <w:rPr>
          <w:rFonts w:hint="eastAsia"/>
          <w:color w:val="000000"/>
          <w:spacing w:val="2"/>
          <w:sz w:val="28"/>
          <w:szCs w:val="28"/>
        </w:rPr>
        <w:t>150000.00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占总支出</w:t>
      </w:r>
      <w:r>
        <w:rPr>
          <w:rFonts w:hint="eastAsia"/>
          <w:color w:val="000000"/>
          <w:spacing w:val="2"/>
          <w:sz w:val="28"/>
          <w:szCs w:val="28"/>
        </w:rPr>
        <w:t>66%,</w:t>
      </w:r>
      <w:r>
        <w:rPr>
          <w:rFonts w:hint="eastAsia" w:hAnsi="宋体"/>
          <w:color w:val="000000"/>
          <w:spacing w:val="2"/>
          <w:sz w:val="28"/>
          <w:szCs w:val="28"/>
        </w:rPr>
        <w:t>其它资金支出</w:t>
      </w:r>
      <w:r>
        <w:rPr>
          <w:rFonts w:hint="eastAsia"/>
          <w:color w:val="000000"/>
          <w:spacing w:val="2"/>
          <w:sz w:val="28"/>
          <w:szCs w:val="28"/>
        </w:rPr>
        <w:t>538401.6</w:t>
      </w:r>
      <w:r>
        <w:rPr>
          <w:rFonts w:hint="eastAsia" w:hAnsi="宋体"/>
          <w:color w:val="000000"/>
          <w:spacing w:val="2"/>
          <w:sz w:val="28"/>
          <w:szCs w:val="28"/>
        </w:rPr>
        <w:t>元</w:t>
      </w:r>
      <w:r>
        <w:rPr>
          <w:rFonts w:hint="eastAsia"/>
          <w:color w:val="000000"/>
          <w:spacing w:val="2"/>
          <w:sz w:val="28"/>
          <w:szCs w:val="28"/>
        </w:rPr>
        <w:t xml:space="preserve">, </w:t>
      </w:r>
      <w:r>
        <w:rPr>
          <w:rFonts w:hint="eastAsia" w:hAnsi="宋体"/>
          <w:color w:val="000000"/>
          <w:spacing w:val="2"/>
          <w:sz w:val="28"/>
          <w:szCs w:val="28"/>
        </w:rPr>
        <w:t>占总支出</w:t>
      </w:r>
      <w:r>
        <w:rPr>
          <w:rFonts w:hint="eastAsia"/>
          <w:color w:val="000000"/>
          <w:spacing w:val="2"/>
          <w:sz w:val="28"/>
          <w:szCs w:val="28"/>
        </w:rPr>
        <w:t>34%.</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（二）关于“三公”经费支出说明</w:t>
      </w:r>
    </w:p>
    <w:p>
      <w:pPr>
        <w:spacing w:line="440" w:lineRule="exact"/>
        <w:ind w:firstLine="568" w:firstLineChars="200"/>
        <w:rPr>
          <w:rFonts w:hint="eastAsia"/>
          <w:color w:val="000000"/>
          <w:spacing w:val="2"/>
          <w:sz w:val="28"/>
          <w:szCs w:val="28"/>
        </w:rPr>
      </w:pPr>
      <w:r>
        <w:rPr>
          <w:rFonts w:hint="eastAsia"/>
          <w:color w:val="000000"/>
          <w:spacing w:val="2"/>
          <w:sz w:val="28"/>
          <w:szCs w:val="28"/>
        </w:rPr>
        <w:t>2017年决算公务车运行维护费0元，预算数为0万元； 2017年决算公务接待数为1287元，预算数为0万元。公务接待批次为1次，公务接待人数为21人。</w:t>
      </w:r>
    </w:p>
    <w:p>
      <w:pPr>
        <w:pStyle w:val="9"/>
        <w:ind w:firstLine="568" w:firstLineChars="200"/>
        <w:rPr>
          <w:rFonts w:hint="eastAsia" w:ascii="仿宋_GB2312" w:eastAsia="仿宋_GB2312"/>
          <w:sz w:val="27"/>
          <w:szCs w:val="27"/>
        </w:rPr>
      </w:pPr>
      <w:r>
        <w:rPr>
          <w:rFonts w:hint="eastAsia" w:ascii="Times New Roman" w:hAnsi="Times New Roman" w:cs="Times New Roman"/>
          <w:color w:val="000000"/>
          <w:spacing w:val="2"/>
          <w:sz w:val="28"/>
          <w:szCs w:val="28"/>
        </w:rPr>
        <w:t>2016年决算公务车运行维护费3727.5元，预算数为0万元； 2016年决算公务接待数为0万元，预算数为0万元</w:t>
      </w:r>
      <w:r>
        <w:rPr>
          <w:rFonts w:hint="eastAsia" w:ascii="仿宋_GB2312" w:hAnsi="Times New Roman" w:eastAsia="仿宋_GB2312" w:cs="Times New Roman"/>
          <w:sz w:val="27"/>
          <w:szCs w:val="27"/>
        </w:rPr>
        <w:t>。</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（三）关于机关运行经费支出说明</w:t>
      </w:r>
    </w:p>
    <w:p>
      <w:pPr>
        <w:pStyle w:val="9"/>
        <w:rPr>
          <w:rFonts w:hint="eastAsia" w:ascii="仿宋_GB2312" w:eastAsia="仿宋_GB2312"/>
          <w:sz w:val="27"/>
          <w:szCs w:val="27"/>
        </w:rPr>
      </w:pPr>
      <w:r>
        <w:rPr>
          <w:spacing w:val="2"/>
          <w:sz w:val="28"/>
          <w:szCs w:val="28"/>
        </w:rPr>
        <w:t>201</w:t>
      </w:r>
      <w:r>
        <w:rPr>
          <w:rFonts w:hint="eastAsia"/>
          <w:spacing w:val="2"/>
          <w:sz w:val="28"/>
          <w:szCs w:val="28"/>
        </w:rPr>
        <w:t>7</w:t>
      </w:r>
      <w:r>
        <w:rPr>
          <w:rFonts w:hint="eastAsia" w:hAnsi="宋体"/>
          <w:spacing w:val="2"/>
          <w:sz w:val="28"/>
          <w:szCs w:val="28"/>
        </w:rPr>
        <w:t>年</w:t>
      </w:r>
      <w:r>
        <w:rPr>
          <w:rFonts w:hint="eastAsia" w:ascii="仿宋_GB2312" w:eastAsia="仿宋_GB2312"/>
          <w:sz w:val="27"/>
          <w:szCs w:val="27"/>
        </w:rPr>
        <w:t>机</w:t>
      </w:r>
      <w:r>
        <w:rPr>
          <w:rFonts w:hint="eastAsia" w:hAnsi="宋体"/>
          <w:spacing w:val="2"/>
          <w:sz w:val="28"/>
          <w:szCs w:val="28"/>
        </w:rPr>
        <w:t>关运行经费支出</w:t>
      </w:r>
      <w:r>
        <w:rPr>
          <w:rFonts w:hAnsi="宋体"/>
          <w:spacing w:val="2"/>
          <w:sz w:val="28"/>
          <w:szCs w:val="28"/>
        </w:rPr>
        <w:t>2,595,165.01</w:t>
      </w:r>
      <w:r>
        <w:rPr>
          <w:rFonts w:hint="eastAsia" w:hAnsi="宋体"/>
          <w:spacing w:val="2"/>
          <w:sz w:val="28"/>
          <w:szCs w:val="28"/>
        </w:rPr>
        <w:t>元</w:t>
      </w:r>
      <w:r>
        <w:rPr>
          <w:rFonts w:hAnsi="宋体"/>
          <w:spacing w:val="2"/>
          <w:sz w:val="28"/>
          <w:szCs w:val="28"/>
        </w:rPr>
        <w:t>, 201</w:t>
      </w:r>
      <w:r>
        <w:rPr>
          <w:rFonts w:hint="eastAsia" w:hAnsi="宋体"/>
          <w:spacing w:val="2"/>
          <w:sz w:val="28"/>
          <w:szCs w:val="28"/>
        </w:rPr>
        <w:t>6年机关运行经费支出</w:t>
      </w:r>
      <w:r>
        <w:rPr>
          <w:rFonts w:hAnsi="宋体"/>
          <w:spacing w:val="2"/>
          <w:sz w:val="28"/>
          <w:szCs w:val="28"/>
        </w:rPr>
        <w:t>322,193.50</w:t>
      </w:r>
      <w:r>
        <w:rPr>
          <w:rFonts w:hint="eastAsia" w:hAnsi="宋体"/>
          <w:spacing w:val="2"/>
          <w:sz w:val="28"/>
          <w:szCs w:val="28"/>
        </w:rPr>
        <w:t>元</w:t>
      </w:r>
      <w:r>
        <w:rPr>
          <w:rFonts w:hAnsi="宋体"/>
          <w:spacing w:val="2"/>
          <w:sz w:val="28"/>
          <w:szCs w:val="28"/>
        </w:rPr>
        <w:t>,</w:t>
      </w:r>
      <w:r>
        <w:rPr>
          <w:rFonts w:hint="eastAsia" w:hAnsi="宋体"/>
          <w:spacing w:val="2"/>
          <w:sz w:val="28"/>
          <w:szCs w:val="28"/>
        </w:rPr>
        <w:t>同比上年增加</w:t>
      </w:r>
      <w:r>
        <w:rPr>
          <w:rFonts w:hAnsi="宋体"/>
          <w:spacing w:val="2"/>
          <w:sz w:val="28"/>
          <w:szCs w:val="28"/>
        </w:rPr>
        <w:t>2,272,971.51</w:t>
      </w:r>
      <w:r>
        <w:rPr>
          <w:rFonts w:hint="eastAsia" w:hAnsi="宋体"/>
          <w:spacing w:val="2"/>
          <w:sz w:val="28"/>
          <w:szCs w:val="28"/>
        </w:rPr>
        <w:t>元，同比上年</w:t>
      </w:r>
      <w:r>
        <w:rPr>
          <w:rFonts w:hint="eastAsia"/>
          <w:spacing w:val="2"/>
          <w:sz w:val="28"/>
          <w:szCs w:val="28"/>
        </w:rPr>
        <w:t>增加</w:t>
      </w:r>
      <w:r>
        <w:rPr>
          <w:spacing w:val="2"/>
          <w:sz w:val="28"/>
          <w:szCs w:val="28"/>
        </w:rPr>
        <w:t>705.47</w:t>
      </w:r>
      <w:r>
        <w:rPr>
          <w:rFonts w:hint="eastAsia"/>
          <w:spacing w:val="2"/>
          <w:sz w:val="28"/>
          <w:szCs w:val="28"/>
        </w:rPr>
        <w:t>%，</w:t>
      </w:r>
      <w:r>
        <w:rPr>
          <w:rFonts w:hint="eastAsia" w:hAnsi="宋体"/>
          <w:spacing w:val="2"/>
          <w:sz w:val="28"/>
          <w:szCs w:val="28"/>
        </w:rPr>
        <w:t>原因是上年结转文体专项资金在本年内支出，及补发以前年度工资</w:t>
      </w:r>
      <w:r>
        <w:rPr>
          <w:rFonts w:hint="eastAsia" w:ascii="仿宋_GB2312" w:hAnsi="Times New Roman" w:eastAsia="仿宋_GB2312" w:cs="Times New Roman"/>
          <w:sz w:val="27"/>
          <w:szCs w:val="27"/>
        </w:rPr>
        <w:t>。</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（四）关于政府采购支出说明</w:t>
      </w:r>
    </w:p>
    <w:p>
      <w:pPr>
        <w:pStyle w:val="9"/>
        <w:ind w:firstLine="540" w:firstLineChars="200"/>
        <w:rPr>
          <w:rFonts w:hint="eastAsia" w:ascii="仿宋_GB2312" w:eastAsia="仿宋_GB2312"/>
          <w:sz w:val="27"/>
          <w:szCs w:val="27"/>
        </w:rPr>
      </w:pPr>
      <w:r>
        <w:rPr>
          <w:rFonts w:hint="eastAsia" w:ascii="仿宋_GB2312" w:hAnsi="Times New Roman" w:eastAsia="仿宋_GB2312" w:cs="Times New Roman"/>
          <w:sz w:val="27"/>
          <w:szCs w:val="27"/>
        </w:rPr>
        <w:t>无</w:t>
      </w:r>
      <w:r>
        <w:rPr>
          <w:rFonts w:hint="eastAsia" w:ascii="仿宋_GB2312" w:eastAsia="仿宋_GB2312"/>
          <w:sz w:val="27"/>
          <w:szCs w:val="27"/>
        </w:rPr>
        <w:t>政府采购支出。</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（五）关于国有资产占用情况说明</w:t>
      </w:r>
    </w:p>
    <w:p>
      <w:pPr>
        <w:pStyle w:val="9"/>
        <w:ind w:firstLine="405" w:firstLineChars="150"/>
        <w:rPr>
          <w:rFonts w:hint="eastAsia" w:ascii="仿宋_GB2312" w:hAnsi="Times New Roman" w:eastAsia="仿宋_GB2312" w:cs="Times New Roman"/>
          <w:sz w:val="27"/>
          <w:szCs w:val="27"/>
        </w:rPr>
      </w:pPr>
      <w:r>
        <w:rPr>
          <w:rFonts w:hint="eastAsia" w:ascii="仿宋_GB2312" w:hAnsi="Times New Roman" w:eastAsia="仿宋_GB2312" w:cs="Times New Roman"/>
          <w:sz w:val="27"/>
          <w:szCs w:val="27"/>
        </w:rPr>
        <w:t>截至2017年12月31日，本单位无国有资金占用情况。</w:t>
      </w:r>
    </w:p>
    <w:p>
      <w:pPr>
        <w:pStyle w:val="5"/>
        <w:widowControl/>
        <w:spacing w:before="0" w:beforeAutospacing="0" w:after="0" w:afterAutospacing="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黄石港区文体局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黄石港区文体局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黄石港区文体局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黄石港区文体局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黄石港区文体局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黄石港区文体局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9FF39B4"/>
    <w:rsid w:val="10157CA5"/>
    <w:rsid w:val="11411182"/>
    <w:rsid w:val="13FA6E94"/>
    <w:rsid w:val="1D3216D7"/>
    <w:rsid w:val="219E41B4"/>
    <w:rsid w:val="255E033E"/>
    <w:rsid w:val="27272230"/>
    <w:rsid w:val="27390172"/>
    <w:rsid w:val="2CCE2491"/>
    <w:rsid w:val="2F081AB6"/>
    <w:rsid w:val="401A2F36"/>
    <w:rsid w:val="408F5EDF"/>
    <w:rsid w:val="44064590"/>
    <w:rsid w:val="457D21A1"/>
    <w:rsid w:val="49D83A19"/>
    <w:rsid w:val="507C1CF5"/>
    <w:rsid w:val="57193076"/>
    <w:rsid w:val="61773BFF"/>
    <w:rsid w:val="621B3808"/>
    <w:rsid w:val="67E4782B"/>
    <w:rsid w:val="746766E2"/>
    <w:rsid w:val="74EA7B66"/>
    <w:rsid w:val="78186405"/>
    <w:rsid w:val="784C1E5B"/>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2019-02-27T11:36:25Z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