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2111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0" w:lineRule="atLeast"/>
        <w:ind w:left="0" w:right="0" w:firstLine="0"/>
        <w:jc w:val="center"/>
        <w:rPr>
          <w:rFonts w:ascii="微软雅黑" w:hAnsi="微软雅黑" w:eastAsia="微软雅黑" w:cs="微软雅黑"/>
          <w:b/>
          <w:i w:val="0"/>
          <w:caps w:val="0"/>
          <w:color w:val="BC1010"/>
          <w:spacing w:val="0"/>
          <w:sz w:val="40"/>
          <w:szCs w:val="40"/>
        </w:rPr>
      </w:pPr>
      <w:bookmarkStart w:id="0" w:name="_GoBack"/>
      <w:r>
        <w:rPr>
          <w:rFonts w:hint="eastAsia" w:ascii="微软雅黑" w:hAnsi="微软雅黑" w:eastAsia="微软雅黑" w:cs="微软雅黑"/>
          <w:b/>
          <w:i w:val="0"/>
          <w:caps w:val="0"/>
          <w:color w:val="BC1010"/>
          <w:spacing w:val="0"/>
          <w:sz w:val="40"/>
          <w:szCs w:val="40"/>
          <w:shd w:val="clear" w:fill="FFFFFF"/>
          <w:lang w:eastAsia="zh-CN"/>
        </w:rPr>
        <w:t>文旅局2019</w:t>
      </w:r>
      <w:r>
        <w:rPr>
          <w:rFonts w:hint="eastAsia" w:ascii="微软雅黑" w:hAnsi="微软雅黑" w:eastAsia="微软雅黑" w:cs="微软雅黑"/>
          <w:b/>
          <w:i w:val="0"/>
          <w:caps w:val="0"/>
          <w:color w:val="BC1010"/>
          <w:spacing w:val="0"/>
          <w:sz w:val="40"/>
          <w:szCs w:val="40"/>
          <w:shd w:val="clear" w:fill="FFFFFF"/>
        </w:rPr>
        <w:t>年决算公开</w:t>
      </w:r>
    </w:p>
    <w:bookmarkEnd w:id="0"/>
    <w:p w14:paraId="0538D35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r>
        <w:rPr>
          <w:rStyle w:val="8"/>
          <w:rFonts w:hint="eastAsia" w:ascii="微软雅黑" w:hAnsi="微软雅黑" w:eastAsia="微软雅黑" w:cs="微软雅黑"/>
          <w:i w:val="0"/>
          <w:caps w:val="0"/>
          <w:color w:val="333333"/>
          <w:spacing w:val="0"/>
          <w:sz w:val="24"/>
          <w:szCs w:val="24"/>
          <w:shd w:val="clear" w:fill="FFFFFF"/>
          <w:lang w:eastAsia="zh-CN"/>
        </w:rPr>
        <w:t>黄石港区文</w:t>
      </w:r>
      <w:r>
        <w:rPr>
          <w:rStyle w:val="8"/>
          <w:rFonts w:hint="eastAsia" w:ascii="微软雅黑" w:hAnsi="微软雅黑" w:eastAsia="微软雅黑" w:cs="微软雅黑"/>
          <w:i w:val="0"/>
          <w:caps w:val="0"/>
          <w:color w:val="333333"/>
          <w:spacing w:val="0"/>
          <w:sz w:val="24"/>
          <w:szCs w:val="24"/>
          <w:shd w:val="clear" w:fill="FFFFFF"/>
          <w:lang w:val="en-US" w:eastAsia="zh-CN"/>
        </w:rPr>
        <w:t>旅</w:t>
      </w:r>
      <w:r>
        <w:rPr>
          <w:rStyle w:val="8"/>
          <w:rFonts w:hint="eastAsia" w:ascii="微软雅黑" w:hAnsi="微软雅黑" w:eastAsia="微软雅黑" w:cs="微软雅黑"/>
          <w:i w:val="0"/>
          <w:caps w:val="0"/>
          <w:color w:val="333333"/>
          <w:spacing w:val="0"/>
          <w:sz w:val="24"/>
          <w:szCs w:val="24"/>
          <w:shd w:val="clear" w:fill="FFFFFF"/>
          <w:lang w:eastAsia="zh-CN"/>
        </w:rPr>
        <w:t>局2019</w:t>
      </w:r>
      <w:r>
        <w:rPr>
          <w:rStyle w:val="8"/>
          <w:rFonts w:hint="eastAsia" w:ascii="微软雅黑" w:hAnsi="微软雅黑" w:eastAsia="微软雅黑" w:cs="微软雅黑"/>
          <w:i w:val="0"/>
          <w:caps w:val="0"/>
          <w:color w:val="333333"/>
          <w:spacing w:val="0"/>
          <w:sz w:val="24"/>
          <w:szCs w:val="24"/>
          <w:shd w:val="clear" w:fill="FFFFFF"/>
        </w:rPr>
        <w:t>年决算公开</w:t>
      </w:r>
    </w:p>
    <w:p w14:paraId="33E90EB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目  录</w:t>
      </w:r>
    </w:p>
    <w:p w14:paraId="1A2800B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第一部分:部门基本情况</w:t>
      </w:r>
    </w:p>
    <w:p w14:paraId="4A9AF1E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一、部门主要职责</w:t>
      </w:r>
    </w:p>
    <w:p w14:paraId="5C644B1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二、部门决算单位构成</w:t>
      </w:r>
    </w:p>
    <w:p w14:paraId="2FA5D5F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第二部分: 部门</w:t>
      </w:r>
      <w:r>
        <w:rPr>
          <w:rFonts w:hint="eastAsia" w:ascii="微软雅黑" w:hAnsi="微软雅黑" w:eastAsia="微软雅黑" w:cs="微软雅黑"/>
          <w:b w:val="0"/>
          <w:i w:val="0"/>
          <w:caps w:val="0"/>
          <w:color w:val="333333"/>
          <w:spacing w:val="0"/>
          <w:sz w:val="24"/>
          <w:szCs w:val="24"/>
          <w:shd w:val="clear" w:fill="FFFFFF"/>
          <w:lang w:eastAsia="zh-CN"/>
        </w:rPr>
        <w:t>2019</w:t>
      </w:r>
      <w:r>
        <w:rPr>
          <w:rFonts w:hint="eastAsia" w:ascii="微软雅黑" w:hAnsi="微软雅黑" w:eastAsia="微软雅黑" w:cs="微软雅黑"/>
          <w:b w:val="0"/>
          <w:i w:val="0"/>
          <w:caps w:val="0"/>
          <w:color w:val="333333"/>
          <w:spacing w:val="0"/>
          <w:sz w:val="24"/>
          <w:szCs w:val="24"/>
          <w:shd w:val="clear" w:fill="FFFFFF"/>
        </w:rPr>
        <w:t>年部门决算表</w:t>
      </w:r>
    </w:p>
    <w:p w14:paraId="6ACE06E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一、收入支出决算总表（表1）</w:t>
      </w:r>
    </w:p>
    <w:p w14:paraId="3EE2718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二、收入决算表（表2）</w:t>
      </w:r>
    </w:p>
    <w:p w14:paraId="7271331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三、支出决算表（表3）</w:t>
      </w:r>
    </w:p>
    <w:p w14:paraId="0F9B1CC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四、财政拨款收入支出决算总表（表4）</w:t>
      </w:r>
    </w:p>
    <w:p w14:paraId="3A2BE4E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五、一般公共预算财政拨款支出决算表（表5）</w:t>
      </w:r>
    </w:p>
    <w:p w14:paraId="12793D9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六、一般公共预算财政拨款基本支出决算表（表6）</w:t>
      </w:r>
    </w:p>
    <w:p w14:paraId="213DEC4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七、一般公共预算财政拨款“三公”经费支出决算表（表7）</w:t>
      </w:r>
    </w:p>
    <w:p w14:paraId="02EDA8C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第三部分：部门</w:t>
      </w:r>
      <w:r>
        <w:rPr>
          <w:rFonts w:hint="eastAsia" w:ascii="微软雅黑" w:hAnsi="微软雅黑" w:eastAsia="微软雅黑" w:cs="微软雅黑"/>
          <w:b w:val="0"/>
          <w:i w:val="0"/>
          <w:caps w:val="0"/>
          <w:color w:val="333333"/>
          <w:spacing w:val="0"/>
          <w:sz w:val="24"/>
          <w:szCs w:val="24"/>
          <w:shd w:val="clear" w:fill="FFFFFF"/>
          <w:lang w:eastAsia="zh-CN"/>
        </w:rPr>
        <w:t>2019</w:t>
      </w:r>
      <w:r>
        <w:rPr>
          <w:rFonts w:hint="eastAsia" w:ascii="微软雅黑" w:hAnsi="微软雅黑" w:eastAsia="微软雅黑" w:cs="微软雅黑"/>
          <w:b w:val="0"/>
          <w:i w:val="0"/>
          <w:caps w:val="0"/>
          <w:color w:val="333333"/>
          <w:spacing w:val="0"/>
          <w:sz w:val="24"/>
          <w:szCs w:val="24"/>
          <w:shd w:val="clear" w:fill="FFFFFF"/>
        </w:rPr>
        <w:t>年部门决算情况说明</w:t>
      </w:r>
    </w:p>
    <w:p w14:paraId="0AC7393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微软雅黑" w:hAnsi="微软雅黑" w:eastAsia="微软雅黑" w:cs="微软雅黑"/>
          <w:b w:val="0"/>
          <w:i w:val="0"/>
          <w:caps w:val="0"/>
          <w:color w:val="333333"/>
          <w:spacing w:val="0"/>
          <w:sz w:val="24"/>
          <w:szCs w:val="24"/>
          <w:shd w:val="clear" w:fill="FFFFFF"/>
          <w:lang w:eastAsia="zh-CN"/>
        </w:rPr>
      </w:pPr>
      <w:r>
        <w:rPr>
          <w:rFonts w:hint="eastAsia" w:ascii="微软雅黑" w:hAnsi="微软雅黑" w:eastAsia="微软雅黑" w:cs="微软雅黑"/>
          <w:b w:val="0"/>
          <w:i w:val="0"/>
          <w:caps w:val="0"/>
          <w:color w:val="333333"/>
          <w:spacing w:val="0"/>
          <w:sz w:val="24"/>
          <w:szCs w:val="24"/>
          <w:shd w:val="clear" w:fill="FFFFFF"/>
          <w:lang w:eastAsia="zh-CN"/>
        </w:rPr>
        <w:t>一、收入与支出预算执行情况分析</w:t>
      </w:r>
    </w:p>
    <w:p w14:paraId="6DE5C1C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微软雅黑" w:hAnsi="微软雅黑" w:eastAsia="微软雅黑" w:cs="微软雅黑"/>
          <w:b w:val="0"/>
          <w:i w:val="0"/>
          <w:caps w:val="0"/>
          <w:color w:val="333333"/>
          <w:spacing w:val="0"/>
          <w:sz w:val="24"/>
          <w:szCs w:val="24"/>
          <w:shd w:val="clear" w:fill="FFFFFF"/>
          <w:lang w:eastAsia="zh-CN"/>
        </w:rPr>
      </w:pPr>
      <w:r>
        <w:rPr>
          <w:rFonts w:hint="eastAsia" w:ascii="微软雅黑" w:hAnsi="微软雅黑" w:eastAsia="微软雅黑" w:cs="微软雅黑"/>
          <w:b w:val="0"/>
          <w:i w:val="0"/>
          <w:caps w:val="0"/>
          <w:color w:val="333333"/>
          <w:spacing w:val="0"/>
          <w:sz w:val="24"/>
          <w:szCs w:val="24"/>
          <w:shd w:val="clear" w:fill="FFFFFF"/>
          <w:lang w:eastAsia="zh-CN"/>
        </w:rPr>
        <w:t>二、关于机关运行经费支出说明</w:t>
      </w:r>
    </w:p>
    <w:p w14:paraId="12EB8A6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微软雅黑" w:hAnsi="微软雅黑" w:eastAsia="微软雅黑" w:cs="微软雅黑"/>
          <w:b w:val="0"/>
          <w:i w:val="0"/>
          <w:caps w:val="0"/>
          <w:color w:val="333333"/>
          <w:spacing w:val="0"/>
          <w:sz w:val="24"/>
          <w:szCs w:val="24"/>
          <w:shd w:val="clear" w:fill="FFFFFF"/>
          <w:lang w:eastAsia="zh-CN"/>
        </w:rPr>
      </w:pPr>
      <w:r>
        <w:rPr>
          <w:rFonts w:hint="eastAsia" w:ascii="微软雅黑" w:hAnsi="微软雅黑" w:eastAsia="微软雅黑" w:cs="微软雅黑"/>
          <w:b w:val="0"/>
          <w:i w:val="0"/>
          <w:caps w:val="0"/>
          <w:color w:val="333333"/>
          <w:spacing w:val="0"/>
          <w:sz w:val="24"/>
          <w:szCs w:val="24"/>
          <w:shd w:val="clear" w:fill="FFFFFF"/>
          <w:lang w:eastAsia="zh-CN"/>
        </w:rPr>
        <w:t>三、关于政府采购支出说明</w:t>
      </w:r>
    </w:p>
    <w:p w14:paraId="58D25CC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微软雅黑" w:hAnsi="微软雅黑" w:eastAsia="微软雅黑" w:cs="微软雅黑"/>
          <w:b w:val="0"/>
          <w:i w:val="0"/>
          <w:caps w:val="0"/>
          <w:color w:val="333333"/>
          <w:spacing w:val="0"/>
          <w:sz w:val="24"/>
          <w:szCs w:val="24"/>
          <w:shd w:val="clear" w:fill="FFFFFF"/>
          <w:lang w:eastAsia="zh-CN"/>
        </w:rPr>
      </w:pPr>
      <w:r>
        <w:rPr>
          <w:rFonts w:hint="eastAsia" w:ascii="微软雅黑" w:hAnsi="微软雅黑" w:eastAsia="微软雅黑" w:cs="微软雅黑"/>
          <w:b w:val="0"/>
          <w:i w:val="0"/>
          <w:caps w:val="0"/>
          <w:color w:val="333333"/>
          <w:spacing w:val="0"/>
          <w:sz w:val="24"/>
          <w:szCs w:val="24"/>
          <w:shd w:val="clear" w:fill="FFFFFF"/>
          <w:lang w:eastAsia="zh-CN"/>
        </w:rPr>
        <w:t>四、关于国有资产占用情况说明</w:t>
      </w:r>
    </w:p>
    <w:p w14:paraId="67CE3E6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微软雅黑" w:hAnsi="微软雅黑" w:eastAsia="微软雅黑" w:cs="微软雅黑"/>
          <w:b w:val="0"/>
          <w:i w:val="0"/>
          <w:caps w:val="0"/>
          <w:color w:val="333333"/>
          <w:spacing w:val="0"/>
          <w:sz w:val="24"/>
          <w:szCs w:val="24"/>
          <w:shd w:val="clear" w:fill="FFFFFF"/>
          <w:lang w:eastAsia="zh-CN"/>
        </w:rPr>
      </w:pPr>
      <w:r>
        <w:rPr>
          <w:rFonts w:hint="eastAsia" w:ascii="微软雅黑" w:hAnsi="微软雅黑" w:eastAsia="微软雅黑" w:cs="微软雅黑"/>
          <w:b w:val="0"/>
          <w:i w:val="0"/>
          <w:caps w:val="0"/>
          <w:color w:val="333333"/>
          <w:spacing w:val="0"/>
          <w:sz w:val="24"/>
          <w:szCs w:val="24"/>
          <w:shd w:val="clear" w:fill="FFFFFF"/>
          <w:lang w:eastAsia="zh-CN"/>
        </w:rPr>
        <w:t>五、年末结转和结余情况</w:t>
      </w:r>
    </w:p>
    <w:p w14:paraId="7EE9388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微软雅黑" w:hAnsi="微软雅黑" w:eastAsia="微软雅黑" w:cs="微软雅黑"/>
          <w:b w:val="0"/>
          <w:i w:val="0"/>
          <w:caps w:val="0"/>
          <w:color w:val="333333"/>
          <w:spacing w:val="0"/>
          <w:sz w:val="24"/>
          <w:szCs w:val="24"/>
          <w:shd w:val="clear" w:fill="FFFFFF"/>
          <w:lang w:eastAsia="zh-CN"/>
        </w:rPr>
      </w:pPr>
      <w:r>
        <w:rPr>
          <w:rFonts w:hint="eastAsia" w:ascii="微软雅黑" w:hAnsi="微软雅黑" w:eastAsia="微软雅黑" w:cs="微软雅黑"/>
          <w:b w:val="0"/>
          <w:i w:val="0"/>
          <w:caps w:val="0"/>
          <w:color w:val="333333"/>
          <w:spacing w:val="0"/>
          <w:sz w:val="24"/>
          <w:szCs w:val="24"/>
          <w:shd w:val="clear" w:fill="FFFFFF"/>
          <w:lang w:eastAsia="zh-CN"/>
        </w:rPr>
        <w:t>六、资产负债情况分析</w:t>
      </w:r>
    </w:p>
    <w:p w14:paraId="2C35D25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微软雅黑" w:hAnsi="微软雅黑" w:eastAsia="微软雅黑" w:cs="微软雅黑"/>
          <w:b w:val="0"/>
          <w:i w:val="0"/>
          <w:caps w:val="0"/>
          <w:color w:val="333333"/>
          <w:spacing w:val="0"/>
          <w:sz w:val="24"/>
          <w:szCs w:val="24"/>
          <w:shd w:val="clear" w:fill="FFFFFF"/>
          <w:lang w:eastAsia="zh-CN"/>
        </w:rPr>
      </w:pPr>
      <w:r>
        <w:rPr>
          <w:rFonts w:hint="eastAsia" w:ascii="微软雅黑" w:hAnsi="微软雅黑" w:eastAsia="微软雅黑" w:cs="微软雅黑"/>
          <w:b w:val="0"/>
          <w:i w:val="0"/>
          <w:caps w:val="0"/>
          <w:color w:val="333333"/>
          <w:spacing w:val="0"/>
          <w:sz w:val="24"/>
          <w:szCs w:val="24"/>
          <w:shd w:val="clear" w:fill="FFFFFF"/>
          <w:lang w:eastAsia="zh-CN"/>
        </w:rPr>
        <w:t>七、决算收支增减变化情况</w:t>
      </w:r>
    </w:p>
    <w:p w14:paraId="54A5890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Style w:val="8"/>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rPr>
        <w:t>第四部分：名词解释 </w:t>
      </w:r>
    </w:p>
    <w:p w14:paraId="098D968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r>
        <w:rPr>
          <w:rStyle w:val="8"/>
          <w:rFonts w:hint="eastAsia" w:ascii="微软雅黑" w:hAnsi="微软雅黑" w:eastAsia="微软雅黑" w:cs="微软雅黑"/>
          <w:i w:val="0"/>
          <w:caps w:val="0"/>
          <w:color w:val="333333"/>
          <w:spacing w:val="0"/>
          <w:sz w:val="24"/>
          <w:szCs w:val="24"/>
          <w:shd w:val="clear" w:fill="FFFFFF"/>
          <w:lang w:eastAsia="zh-CN"/>
        </w:rPr>
        <w:t>2019</w:t>
      </w:r>
      <w:r>
        <w:rPr>
          <w:rStyle w:val="8"/>
          <w:rFonts w:hint="eastAsia" w:ascii="微软雅黑" w:hAnsi="微软雅黑" w:eastAsia="微软雅黑" w:cs="微软雅黑"/>
          <w:i w:val="0"/>
          <w:caps w:val="0"/>
          <w:color w:val="333333"/>
          <w:spacing w:val="0"/>
          <w:sz w:val="24"/>
          <w:szCs w:val="24"/>
          <w:shd w:val="clear" w:fill="FFFFFF"/>
        </w:rPr>
        <w:t>年部门决算</w:t>
      </w:r>
    </w:p>
    <w:p w14:paraId="0940E18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Style w:val="8"/>
          <w:rFonts w:hint="eastAsia" w:ascii="微软雅黑" w:hAnsi="微软雅黑" w:eastAsia="微软雅黑" w:cs="微软雅黑"/>
          <w:i w:val="0"/>
          <w:caps w:val="0"/>
          <w:color w:val="333333"/>
          <w:spacing w:val="0"/>
          <w:sz w:val="24"/>
          <w:szCs w:val="24"/>
          <w:shd w:val="clear" w:fill="FFFFFF"/>
          <w:lang w:eastAsia="zh-CN"/>
        </w:rPr>
        <w:t>第一部分</w:t>
      </w:r>
      <w:r>
        <w:rPr>
          <w:rStyle w:val="8"/>
          <w:rFonts w:hint="eastAsia" w:ascii="微软雅黑" w:hAnsi="微软雅黑" w:eastAsia="微软雅黑" w:cs="微软雅黑"/>
          <w:i w:val="0"/>
          <w:caps w:val="0"/>
          <w:color w:val="333333"/>
          <w:spacing w:val="0"/>
          <w:sz w:val="24"/>
          <w:szCs w:val="24"/>
          <w:shd w:val="clear" w:fill="FFFFFF"/>
          <w:lang w:val="en-US" w:eastAsia="zh-CN"/>
        </w:rPr>
        <w:t xml:space="preserve"> </w:t>
      </w:r>
      <w:r>
        <w:rPr>
          <w:rStyle w:val="8"/>
          <w:rFonts w:hint="eastAsia" w:ascii="微软雅黑" w:hAnsi="微软雅黑" w:eastAsia="微软雅黑" w:cs="微软雅黑"/>
          <w:i w:val="0"/>
          <w:caps w:val="0"/>
          <w:color w:val="333333"/>
          <w:spacing w:val="0"/>
          <w:sz w:val="24"/>
          <w:szCs w:val="24"/>
          <w:shd w:val="clear" w:fill="FFFFFF"/>
        </w:rPr>
        <w:t>部门概况</w:t>
      </w:r>
    </w:p>
    <w:p w14:paraId="27F8FBB7">
      <w:pPr>
        <w:widowControl/>
        <w:shd w:val="clear" w:color="auto" w:fill="FFFFFF"/>
        <w:ind w:firstLine="480"/>
        <w:jc w:val="left"/>
        <w:rPr>
          <w:rFonts w:hint="eastAsia" w:ascii="宋体" w:hAnsi="宋体" w:cs="宋体"/>
          <w:color w:val="333333"/>
          <w:kern w:val="0"/>
          <w:sz w:val="28"/>
          <w:szCs w:val="28"/>
          <w:lang w:eastAsia="zh-CN"/>
        </w:rPr>
      </w:pPr>
      <w:r>
        <w:rPr>
          <w:rFonts w:hint="eastAsia" w:ascii="宋体" w:hAnsi="宋体" w:cs="宋体"/>
          <w:color w:val="333333"/>
          <w:kern w:val="0"/>
          <w:sz w:val="28"/>
          <w:szCs w:val="28"/>
        </w:rPr>
        <w:t>（一）主要</w:t>
      </w:r>
      <w:r>
        <w:rPr>
          <w:rFonts w:hint="eastAsia" w:ascii="宋体" w:hAnsi="宋体" w:cs="宋体"/>
          <w:color w:val="333333"/>
          <w:kern w:val="0"/>
          <w:sz w:val="28"/>
          <w:szCs w:val="28"/>
          <w:lang w:eastAsia="zh-CN"/>
        </w:rPr>
        <w:t>职能</w:t>
      </w:r>
    </w:p>
    <w:p w14:paraId="2D865816">
      <w:pPr>
        <w:keepNext w:val="0"/>
        <w:keepLines w:val="0"/>
        <w:pageBreakBefore w:val="0"/>
        <w:widowControl/>
        <w:shd w:val="clear" w:color="auto" w:fill="FFFFFF"/>
        <w:kinsoku/>
        <w:wordWrap/>
        <w:overflowPunct/>
        <w:topLinePunct w:val="0"/>
        <w:autoSpaceDE/>
        <w:autoSpaceDN/>
        <w:bidi w:val="0"/>
        <w:adjustRightInd/>
        <w:snapToGrid/>
        <w:ind w:firstLine="560" w:firstLineChars="200"/>
        <w:jc w:val="left"/>
        <w:textAlignment w:val="auto"/>
        <w:rPr>
          <w:rFonts w:hint="eastAsia" w:ascii="宋体" w:hAnsi="宋体" w:cs="宋体"/>
          <w:color w:val="333333"/>
          <w:kern w:val="0"/>
          <w:sz w:val="28"/>
          <w:szCs w:val="28"/>
        </w:rPr>
      </w:pPr>
      <w:r>
        <w:rPr>
          <w:rFonts w:hint="eastAsia" w:ascii="宋体" w:hAnsi="宋体" w:cs="宋体"/>
          <w:color w:val="333333"/>
          <w:kern w:val="0"/>
          <w:sz w:val="28"/>
          <w:szCs w:val="28"/>
        </w:rPr>
        <w:t>整合的职能</w:t>
      </w:r>
      <w:r>
        <w:rPr>
          <w:rFonts w:hint="eastAsia" w:ascii="宋体" w:hAnsi="宋体" w:cs="宋体"/>
          <w:color w:val="333333"/>
          <w:kern w:val="0"/>
          <w:sz w:val="28"/>
          <w:szCs w:val="28"/>
          <w:lang w:eastAsia="zh-CN"/>
        </w:rPr>
        <w:t>：</w:t>
      </w:r>
      <w:r>
        <w:rPr>
          <w:rFonts w:hint="eastAsia" w:ascii="宋体" w:hAnsi="宋体" w:cs="宋体"/>
          <w:color w:val="333333"/>
          <w:kern w:val="0"/>
          <w:sz w:val="28"/>
          <w:szCs w:val="28"/>
        </w:rPr>
        <w:t>将原区文化体育局承担的文化、体育的职责整体划入区文化</w:t>
      </w:r>
      <w:r>
        <w:rPr>
          <w:rFonts w:hint="eastAsia" w:ascii="宋体" w:hAnsi="宋体" w:cs="宋体"/>
          <w:color w:val="333333"/>
          <w:kern w:val="0"/>
          <w:sz w:val="28"/>
          <w:szCs w:val="28"/>
          <w:lang w:val="en-US" w:eastAsia="zh-CN"/>
        </w:rPr>
        <w:t>和旅游</w:t>
      </w:r>
      <w:r>
        <w:rPr>
          <w:rFonts w:hint="eastAsia" w:ascii="宋体" w:hAnsi="宋体" w:cs="宋体"/>
          <w:color w:val="333333"/>
          <w:kern w:val="0"/>
          <w:sz w:val="28"/>
          <w:szCs w:val="28"/>
        </w:rPr>
        <w:t>局</w:t>
      </w:r>
      <w:r>
        <w:rPr>
          <w:rFonts w:hint="eastAsia" w:ascii="宋体" w:hAnsi="宋体" w:cs="宋体"/>
          <w:color w:val="333333"/>
          <w:kern w:val="0"/>
          <w:sz w:val="28"/>
          <w:szCs w:val="28"/>
          <w:lang w:eastAsia="zh-CN"/>
        </w:rPr>
        <w:t>；</w:t>
      </w:r>
      <w:r>
        <w:rPr>
          <w:rFonts w:hint="eastAsia" w:ascii="宋体" w:hAnsi="宋体" w:cs="宋体"/>
          <w:color w:val="333333"/>
          <w:kern w:val="0"/>
          <w:sz w:val="28"/>
          <w:szCs w:val="28"/>
        </w:rPr>
        <w:t>下放的职能</w:t>
      </w:r>
      <w:r>
        <w:rPr>
          <w:rFonts w:hint="eastAsia" w:ascii="宋体" w:hAnsi="宋体" w:cs="宋体"/>
          <w:color w:val="333333"/>
          <w:kern w:val="0"/>
          <w:sz w:val="28"/>
          <w:szCs w:val="28"/>
          <w:lang w:eastAsia="zh-CN"/>
        </w:rPr>
        <w:t>：</w:t>
      </w:r>
      <w:r>
        <w:rPr>
          <w:rFonts w:hint="eastAsia" w:ascii="宋体" w:hAnsi="宋体" w:cs="宋体"/>
          <w:color w:val="333333"/>
          <w:kern w:val="0"/>
          <w:sz w:val="28"/>
          <w:szCs w:val="28"/>
        </w:rPr>
        <w:t>娱乐场所设立许可，互联网上网服务营业场所的设立、变更审批</w:t>
      </w:r>
      <w:r>
        <w:rPr>
          <w:rFonts w:hint="eastAsia" w:ascii="宋体" w:hAnsi="宋体" w:cs="宋体"/>
          <w:color w:val="333333"/>
          <w:kern w:val="0"/>
          <w:sz w:val="28"/>
          <w:szCs w:val="28"/>
          <w:lang w:eastAsia="zh-CN"/>
        </w:rPr>
        <w:t>，</w:t>
      </w:r>
      <w:r>
        <w:rPr>
          <w:rFonts w:hint="eastAsia" w:ascii="宋体" w:hAnsi="宋体" w:cs="宋体"/>
          <w:color w:val="333333"/>
          <w:kern w:val="0"/>
          <w:sz w:val="28"/>
          <w:szCs w:val="28"/>
          <w:lang w:val="en-US" w:eastAsia="zh-CN"/>
        </w:rPr>
        <w:t>旅行社设立许可、变更审批职能</w:t>
      </w:r>
      <w:r>
        <w:rPr>
          <w:rFonts w:hint="eastAsia" w:ascii="宋体" w:hAnsi="宋体" w:cs="宋体"/>
          <w:color w:val="333333"/>
          <w:kern w:val="0"/>
          <w:sz w:val="28"/>
          <w:szCs w:val="28"/>
        </w:rPr>
        <w:t>。</w:t>
      </w:r>
    </w:p>
    <w:p w14:paraId="269DFAB9">
      <w:pPr>
        <w:widowControl/>
        <w:shd w:val="clear" w:color="auto" w:fill="FFFFFF"/>
        <w:ind w:firstLine="480"/>
        <w:jc w:val="left"/>
        <w:rPr>
          <w:rFonts w:hint="eastAsia" w:ascii="宋体" w:hAnsi="宋体" w:cs="宋体"/>
          <w:color w:val="333333"/>
          <w:kern w:val="0"/>
          <w:sz w:val="28"/>
          <w:szCs w:val="28"/>
        </w:rPr>
      </w:pPr>
      <w:r>
        <w:rPr>
          <w:rFonts w:hint="eastAsia" w:ascii="宋体" w:hAnsi="宋体" w:cs="宋体"/>
          <w:color w:val="333333"/>
          <w:kern w:val="0"/>
          <w:sz w:val="28"/>
          <w:szCs w:val="28"/>
          <w:lang w:val="en-US" w:eastAsia="zh-CN"/>
        </w:rPr>
        <w:t>（二）</w:t>
      </w:r>
      <w:r>
        <w:rPr>
          <w:rFonts w:hint="eastAsia" w:ascii="宋体" w:hAnsi="宋体" w:cs="宋体"/>
          <w:color w:val="333333"/>
          <w:kern w:val="0"/>
          <w:sz w:val="28"/>
          <w:szCs w:val="28"/>
        </w:rPr>
        <w:t>主要职责</w:t>
      </w:r>
    </w:p>
    <w:p w14:paraId="757A70D4">
      <w:pPr>
        <w:widowControl/>
        <w:shd w:val="clear" w:color="auto" w:fill="FFFFFF"/>
        <w:ind w:firstLine="480"/>
        <w:jc w:val="left"/>
        <w:rPr>
          <w:rFonts w:hint="eastAsia" w:ascii="宋体" w:hAnsi="宋体" w:cs="宋体"/>
          <w:color w:val="333333"/>
          <w:kern w:val="0"/>
          <w:sz w:val="28"/>
          <w:szCs w:val="28"/>
        </w:rPr>
      </w:pPr>
      <w:r>
        <w:rPr>
          <w:rFonts w:hint="eastAsia" w:ascii="宋体" w:hAnsi="宋体" w:cs="宋体"/>
          <w:color w:val="333333"/>
          <w:kern w:val="0"/>
          <w:sz w:val="28"/>
          <w:szCs w:val="28"/>
        </w:rPr>
        <w:t>贯彻执行党中央、国务院关于文化、</w:t>
      </w:r>
      <w:r>
        <w:rPr>
          <w:rFonts w:hint="eastAsia" w:ascii="宋体" w:hAnsi="宋体" w:cs="宋体"/>
          <w:color w:val="333333"/>
          <w:kern w:val="0"/>
          <w:sz w:val="28"/>
          <w:szCs w:val="28"/>
          <w:lang w:val="en-US" w:eastAsia="zh-CN"/>
        </w:rPr>
        <w:t>文物、旅游、</w:t>
      </w:r>
      <w:r>
        <w:rPr>
          <w:rFonts w:hint="eastAsia" w:ascii="宋体" w:hAnsi="宋体" w:cs="宋体"/>
          <w:color w:val="333333"/>
          <w:kern w:val="0"/>
          <w:sz w:val="28"/>
          <w:szCs w:val="28"/>
        </w:rPr>
        <w:t>体育</w:t>
      </w:r>
      <w:r>
        <w:rPr>
          <w:rFonts w:hint="eastAsia" w:ascii="宋体" w:hAnsi="宋体" w:cs="宋体"/>
          <w:color w:val="333333"/>
          <w:kern w:val="0"/>
          <w:sz w:val="28"/>
          <w:szCs w:val="28"/>
          <w:lang w:eastAsia="zh-CN"/>
        </w:rPr>
        <w:t>、</w:t>
      </w:r>
      <w:r>
        <w:rPr>
          <w:rFonts w:hint="eastAsia" w:ascii="宋体" w:hAnsi="宋体" w:cs="宋体"/>
          <w:color w:val="333333"/>
          <w:kern w:val="0"/>
          <w:sz w:val="28"/>
          <w:szCs w:val="28"/>
          <w:lang w:val="en-US" w:eastAsia="zh-CN"/>
        </w:rPr>
        <w:t>广电的方针政策和决策部署</w:t>
      </w:r>
      <w:r>
        <w:rPr>
          <w:rFonts w:hint="eastAsia" w:ascii="宋体" w:hAnsi="宋体" w:cs="宋体"/>
          <w:color w:val="333333"/>
          <w:kern w:val="0"/>
          <w:sz w:val="28"/>
          <w:szCs w:val="28"/>
        </w:rPr>
        <w:t>，</w:t>
      </w:r>
      <w:r>
        <w:rPr>
          <w:rFonts w:hint="eastAsia" w:ascii="宋体" w:hAnsi="宋体" w:cs="宋体"/>
          <w:color w:val="333333"/>
          <w:kern w:val="0"/>
          <w:sz w:val="28"/>
          <w:szCs w:val="28"/>
          <w:lang w:val="en-US" w:eastAsia="zh-CN"/>
        </w:rPr>
        <w:t>落实区委工作要求，在履行职责过程中坚持和加强党对文化、文物、旅游、体育、广电工作的集中统一领导。只要职责是：（一）贯彻执行党中央、国务院关于文化、文物、旅游、体育、广电工作的路线、方针、政策，组织实施文化、文物、旅游、体育、广电工作的政策、法律、法规。（二）负责全区文化和旅游事业、体育工作、广播电视、文物工作的管理、指导、监督和服务工作。（三）</w:t>
      </w:r>
      <w:r>
        <w:rPr>
          <w:rFonts w:hint="eastAsia" w:ascii="宋体" w:hAnsi="宋体" w:cs="宋体"/>
          <w:color w:val="333333"/>
          <w:kern w:val="0"/>
          <w:sz w:val="28"/>
          <w:szCs w:val="28"/>
        </w:rPr>
        <w:t>组织实施《全民健身计划纲要》、《全民健身条例》，统筹规划全区群众体育发展，负责推行全民健身计划，推动全区国民体质监测和社会体育指导工作队伍制度建设，指导公共体育设施建设，推动体育事业的发展，促进社会主义精神文明建设</w:t>
      </w:r>
      <w:r>
        <w:rPr>
          <w:rFonts w:hint="eastAsia" w:ascii="宋体" w:hAnsi="宋体" w:cs="宋体"/>
          <w:color w:val="333333"/>
          <w:kern w:val="0"/>
          <w:sz w:val="28"/>
          <w:szCs w:val="28"/>
          <w:lang w:eastAsia="zh-CN"/>
        </w:rPr>
        <w:t>。（</w:t>
      </w:r>
      <w:r>
        <w:rPr>
          <w:rFonts w:hint="eastAsia" w:ascii="宋体" w:hAnsi="宋体" w:cs="宋体"/>
          <w:color w:val="333333"/>
          <w:kern w:val="0"/>
          <w:sz w:val="28"/>
          <w:szCs w:val="28"/>
          <w:lang w:val="en-US" w:eastAsia="zh-CN"/>
        </w:rPr>
        <w:t>四</w:t>
      </w:r>
      <w:r>
        <w:rPr>
          <w:rFonts w:hint="eastAsia" w:ascii="宋体" w:hAnsi="宋体" w:cs="宋体"/>
          <w:color w:val="333333"/>
          <w:kern w:val="0"/>
          <w:sz w:val="28"/>
          <w:szCs w:val="28"/>
          <w:lang w:eastAsia="zh-CN"/>
        </w:rPr>
        <w:t>）</w:t>
      </w:r>
      <w:r>
        <w:rPr>
          <w:rFonts w:hint="eastAsia" w:ascii="宋体" w:hAnsi="宋体" w:cs="宋体"/>
          <w:color w:val="333333"/>
          <w:kern w:val="0"/>
          <w:sz w:val="28"/>
          <w:szCs w:val="28"/>
        </w:rPr>
        <w:t>组织群众开展文化活动，积极参与全市重大文化活动。指导文化信息资源共享工程建设工作；指导开展基层群众文化活动；指导社区文化活动室和社区文化活动中心建设</w:t>
      </w:r>
      <w:r>
        <w:rPr>
          <w:rFonts w:hint="eastAsia" w:ascii="宋体" w:hAnsi="宋体" w:cs="宋体"/>
          <w:color w:val="333333"/>
          <w:kern w:val="0"/>
          <w:sz w:val="28"/>
          <w:szCs w:val="28"/>
          <w:lang w:eastAsia="zh-CN"/>
        </w:rPr>
        <w:t>；（</w:t>
      </w:r>
      <w:r>
        <w:rPr>
          <w:rFonts w:hint="eastAsia" w:ascii="宋体" w:hAnsi="宋体" w:cs="宋体"/>
          <w:color w:val="333333"/>
          <w:kern w:val="0"/>
          <w:sz w:val="28"/>
          <w:szCs w:val="28"/>
          <w:lang w:val="en-US" w:eastAsia="zh-CN"/>
        </w:rPr>
        <w:t>五</w:t>
      </w:r>
      <w:r>
        <w:rPr>
          <w:rFonts w:hint="eastAsia" w:ascii="宋体" w:hAnsi="宋体" w:cs="宋体"/>
          <w:color w:val="333333"/>
          <w:kern w:val="0"/>
          <w:sz w:val="28"/>
          <w:szCs w:val="28"/>
          <w:lang w:eastAsia="zh-CN"/>
        </w:rPr>
        <w:t>）</w:t>
      </w:r>
      <w:r>
        <w:rPr>
          <w:rFonts w:hint="eastAsia" w:ascii="宋体" w:hAnsi="宋体" w:cs="宋体"/>
          <w:color w:val="333333"/>
          <w:kern w:val="0"/>
          <w:sz w:val="28"/>
          <w:szCs w:val="28"/>
          <w:lang w:val="en-US" w:eastAsia="zh-CN"/>
        </w:rPr>
        <w:t>貫彻执行国家、省、市领市的有关旅游业的路线、方针、政策和法规，编制线区旅游工作发展的中长期规划和年度工作汁划并组织实施，协调并指导本区旅游产业的建设和发展：负责承办本区旅行社经营许可和审批工作，对区域旅游企业实施行业管理和质量监督，会同有关部门天展执法检查。(六)承担全区广播电视社会管理职能，负责全区卫星地面接收设施的管理工作。（七)负责全区文化、文物、旅游、体育、广播电视等方面的审批工作，组织实施行政许可事项，承担文化、文物、旅游、体育、广电行政审批事项的咨询、受理、办理和证照批文的核发工作，并依法管理文化、文物、旅游、休育、广电市场。(八)完成上级交办的其他任务。(九)职能转变：将新闻出版管理职责和有关电影管理职责划入到区委宣传部。</w:t>
      </w:r>
      <w:r>
        <w:rPr>
          <w:rFonts w:hint="eastAsia" w:ascii="宋体" w:hAnsi="宋体" w:cs="宋体"/>
          <w:color w:val="333333"/>
          <w:kern w:val="0"/>
          <w:sz w:val="28"/>
          <w:szCs w:val="28"/>
        </w:rPr>
        <w:t>区文化体育</w:t>
      </w:r>
      <w:r>
        <w:rPr>
          <w:rFonts w:hint="eastAsia" w:ascii="宋体" w:hAnsi="宋体" w:cs="宋体"/>
          <w:color w:val="333333"/>
          <w:kern w:val="0"/>
          <w:sz w:val="28"/>
          <w:szCs w:val="28"/>
          <w:lang w:val="en-US" w:eastAsia="zh-CN"/>
        </w:rPr>
        <w:t>旅游</w:t>
      </w:r>
      <w:r>
        <w:rPr>
          <w:rFonts w:hint="eastAsia" w:ascii="宋体" w:hAnsi="宋体" w:cs="宋体"/>
          <w:color w:val="333333"/>
          <w:kern w:val="0"/>
          <w:sz w:val="28"/>
          <w:szCs w:val="28"/>
        </w:rPr>
        <w:t>服务中心主要职责：</w:t>
      </w:r>
      <w:r>
        <w:rPr>
          <w:rFonts w:hint="eastAsia" w:ascii="宋体" w:hAnsi="宋体" w:cs="宋体"/>
          <w:color w:val="333333"/>
          <w:kern w:val="0"/>
          <w:sz w:val="28"/>
          <w:szCs w:val="28"/>
          <w:lang w:val="en-US" w:eastAsia="zh-CN"/>
        </w:rPr>
        <w:t>负责全区文化、文物、旅游、体育、广播电视工作的管理、指导、监督和服务工作。完成上级部门交办的其他工作。</w:t>
      </w:r>
    </w:p>
    <w:p w14:paraId="7E0B5E9C">
      <w:pPr>
        <w:widowControl/>
        <w:shd w:val="clear" w:color="auto" w:fill="FFFFFF"/>
        <w:ind w:firstLine="480"/>
        <w:jc w:val="left"/>
        <w:rPr>
          <w:rFonts w:hint="eastAsia" w:ascii="宋体" w:hAnsi="宋体" w:cs="宋体"/>
          <w:color w:val="333333"/>
          <w:kern w:val="0"/>
          <w:sz w:val="28"/>
          <w:szCs w:val="28"/>
          <w:highlight w:val="none"/>
        </w:rPr>
      </w:pPr>
      <w:r>
        <w:rPr>
          <w:rFonts w:hint="eastAsia" w:ascii="宋体" w:hAnsi="宋体" w:cs="宋体"/>
          <w:color w:val="333333"/>
          <w:kern w:val="0"/>
          <w:sz w:val="28"/>
          <w:szCs w:val="28"/>
          <w:highlight w:val="none"/>
        </w:rPr>
        <w:t>（</w:t>
      </w:r>
      <w:r>
        <w:rPr>
          <w:rFonts w:hint="eastAsia" w:ascii="宋体" w:hAnsi="宋体" w:cs="宋体"/>
          <w:color w:val="333333"/>
          <w:kern w:val="0"/>
          <w:sz w:val="28"/>
          <w:szCs w:val="28"/>
          <w:highlight w:val="none"/>
          <w:lang w:eastAsia="zh-CN"/>
        </w:rPr>
        <w:t>三</w:t>
      </w:r>
      <w:r>
        <w:rPr>
          <w:rFonts w:hint="eastAsia" w:ascii="宋体" w:hAnsi="宋体" w:cs="宋体"/>
          <w:color w:val="333333"/>
          <w:kern w:val="0"/>
          <w:sz w:val="28"/>
          <w:szCs w:val="28"/>
          <w:highlight w:val="none"/>
        </w:rPr>
        <w:t>）单位基本信息(机构设置等)</w:t>
      </w:r>
    </w:p>
    <w:p w14:paraId="55DE46CB">
      <w:pPr>
        <w:widowControl/>
        <w:shd w:val="clear" w:color="auto" w:fill="FFFFFF"/>
        <w:ind w:firstLine="480"/>
        <w:jc w:val="left"/>
        <w:rPr>
          <w:rFonts w:hint="eastAsia" w:ascii="宋体" w:hAnsi="宋体" w:cs="宋体"/>
          <w:color w:val="333333"/>
          <w:kern w:val="0"/>
          <w:sz w:val="28"/>
          <w:szCs w:val="28"/>
          <w:highlight w:val="none"/>
        </w:rPr>
      </w:pPr>
      <w:r>
        <w:rPr>
          <w:rFonts w:hint="eastAsia" w:ascii="宋体" w:hAnsi="宋体" w:cs="宋体"/>
          <w:color w:val="333333"/>
          <w:kern w:val="0"/>
          <w:sz w:val="28"/>
          <w:szCs w:val="28"/>
          <w:highlight w:val="none"/>
        </w:rPr>
        <w:t>根据</w:t>
      </w:r>
      <w:r>
        <w:rPr>
          <w:rFonts w:hint="eastAsia" w:ascii="宋体" w:hAnsi="宋体" w:cs="宋体"/>
          <w:color w:val="333333"/>
          <w:kern w:val="0"/>
          <w:sz w:val="28"/>
          <w:szCs w:val="28"/>
          <w:highlight w:val="none"/>
          <w:lang w:val="en-US" w:eastAsia="zh-CN"/>
        </w:rPr>
        <w:t>区委办公室 区政府办公室关于印发《黄石港区文化和旅游局职能配置、内设机构和人员编制规定》的通知（港办文[2019]23号）</w:t>
      </w:r>
      <w:r>
        <w:rPr>
          <w:rFonts w:hint="eastAsia" w:ascii="宋体" w:hAnsi="宋体" w:cs="宋体"/>
          <w:color w:val="333333"/>
          <w:kern w:val="0"/>
          <w:sz w:val="28"/>
          <w:szCs w:val="28"/>
          <w:highlight w:val="none"/>
        </w:rPr>
        <w:t>文件精神，设立黄石港区文化</w:t>
      </w:r>
      <w:r>
        <w:rPr>
          <w:rFonts w:hint="eastAsia" w:ascii="宋体" w:hAnsi="宋体" w:cs="宋体"/>
          <w:color w:val="333333"/>
          <w:kern w:val="0"/>
          <w:sz w:val="28"/>
          <w:szCs w:val="28"/>
          <w:highlight w:val="none"/>
          <w:lang w:val="en-US" w:eastAsia="zh-CN"/>
        </w:rPr>
        <w:t>和旅游</w:t>
      </w:r>
      <w:r>
        <w:rPr>
          <w:rFonts w:hint="eastAsia" w:ascii="宋体" w:hAnsi="宋体" w:cs="宋体"/>
          <w:color w:val="333333"/>
          <w:kern w:val="0"/>
          <w:sz w:val="28"/>
          <w:szCs w:val="28"/>
          <w:highlight w:val="none"/>
        </w:rPr>
        <w:t>局，为区政府工作部门。下设区文化体育</w:t>
      </w:r>
      <w:r>
        <w:rPr>
          <w:rFonts w:hint="eastAsia" w:ascii="宋体" w:hAnsi="宋体" w:cs="宋体"/>
          <w:color w:val="333333"/>
          <w:kern w:val="0"/>
          <w:sz w:val="28"/>
          <w:szCs w:val="28"/>
          <w:highlight w:val="none"/>
          <w:lang w:val="en-US" w:eastAsia="zh-CN"/>
        </w:rPr>
        <w:t>旅游</w:t>
      </w:r>
      <w:r>
        <w:rPr>
          <w:rFonts w:hint="eastAsia" w:ascii="宋体" w:hAnsi="宋体" w:cs="宋体"/>
          <w:color w:val="333333"/>
          <w:kern w:val="0"/>
          <w:sz w:val="28"/>
          <w:szCs w:val="28"/>
          <w:highlight w:val="none"/>
        </w:rPr>
        <w:t>服务中心,为区文化</w:t>
      </w:r>
      <w:r>
        <w:rPr>
          <w:rFonts w:hint="eastAsia" w:ascii="宋体" w:hAnsi="宋体" w:cs="宋体"/>
          <w:color w:val="333333"/>
          <w:kern w:val="0"/>
          <w:sz w:val="28"/>
          <w:szCs w:val="28"/>
          <w:highlight w:val="none"/>
          <w:lang w:val="en-US" w:eastAsia="zh-CN"/>
        </w:rPr>
        <w:t>和旅游</w:t>
      </w:r>
      <w:r>
        <w:rPr>
          <w:rFonts w:hint="eastAsia" w:ascii="宋体" w:hAnsi="宋体" w:cs="宋体"/>
          <w:color w:val="333333"/>
          <w:kern w:val="0"/>
          <w:sz w:val="28"/>
          <w:szCs w:val="28"/>
          <w:highlight w:val="none"/>
        </w:rPr>
        <w:t>局管理的副科级事业单位。核定人员编制</w:t>
      </w:r>
      <w:r>
        <w:rPr>
          <w:rFonts w:hint="eastAsia" w:ascii="宋体" w:hAnsi="宋体" w:cs="宋体"/>
          <w:color w:val="333333"/>
          <w:kern w:val="0"/>
          <w:sz w:val="28"/>
          <w:szCs w:val="28"/>
          <w:highlight w:val="none"/>
          <w:lang w:val="en-US" w:eastAsia="zh-CN"/>
        </w:rPr>
        <w:t>5</w:t>
      </w:r>
      <w:r>
        <w:rPr>
          <w:rFonts w:hint="eastAsia" w:ascii="宋体" w:hAnsi="宋体" w:cs="宋体"/>
          <w:color w:val="333333"/>
          <w:kern w:val="0"/>
          <w:sz w:val="28"/>
          <w:szCs w:val="28"/>
          <w:highlight w:val="none"/>
        </w:rPr>
        <w:t>名，设领导职数1正（副科级）。</w:t>
      </w:r>
    </w:p>
    <w:p w14:paraId="4F32CE26">
      <w:pPr>
        <w:widowControl/>
        <w:shd w:val="clear" w:color="auto" w:fill="FFFFFF"/>
        <w:ind w:firstLine="480"/>
        <w:jc w:val="left"/>
        <w:rPr>
          <w:rFonts w:hint="eastAsia" w:ascii="宋体" w:hAnsi="宋体" w:cs="宋体"/>
          <w:color w:val="333333"/>
          <w:kern w:val="0"/>
          <w:sz w:val="28"/>
          <w:szCs w:val="28"/>
        </w:rPr>
      </w:pPr>
      <w:r>
        <w:rPr>
          <w:rFonts w:hint="eastAsia" w:ascii="宋体" w:hAnsi="宋体" w:cs="宋体"/>
          <w:color w:val="333333"/>
          <w:kern w:val="0"/>
          <w:sz w:val="28"/>
          <w:szCs w:val="28"/>
          <w:lang w:eastAsia="zh-CN"/>
        </w:rPr>
        <w:t>（四）</w:t>
      </w:r>
      <w:r>
        <w:rPr>
          <w:rFonts w:hint="eastAsia" w:ascii="宋体" w:hAnsi="宋体" w:cs="宋体"/>
          <w:color w:val="333333"/>
          <w:kern w:val="0"/>
          <w:sz w:val="28"/>
          <w:szCs w:val="28"/>
        </w:rPr>
        <w:t>人员情况：</w:t>
      </w:r>
    </w:p>
    <w:p w14:paraId="7F3D0253">
      <w:pPr>
        <w:widowControl/>
        <w:shd w:val="clear" w:color="auto" w:fill="FFFFFF"/>
        <w:ind w:firstLine="480"/>
        <w:jc w:val="left"/>
        <w:rPr>
          <w:rFonts w:hint="eastAsia" w:ascii="宋体" w:hAnsi="宋体" w:cs="宋体"/>
          <w:color w:val="333333"/>
          <w:kern w:val="0"/>
          <w:sz w:val="28"/>
          <w:szCs w:val="28"/>
        </w:rPr>
      </w:pPr>
      <w:r>
        <w:rPr>
          <w:rFonts w:hint="eastAsia" w:ascii="宋体" w:hAnsi="宋体" w:cs="宋体"/>
          <w:color w:val="333333"/>
          <w:kern w:val="0"/>
          <w:sz w:val="28"/>
          <w:szCs w:val="28"/>
          <w:lang w:eastAsia="zh-CN"/>
        </w:rPr>
        <w:t>2019</w:t>
      </w:r>
      <w:r>
        <w:rPr>
          <w:rFonts w:hint="eastAsia" w:ascii="宋体" w:hAnsi="宋体" w:cs="宋体"/>
          <w:color w:val="333333"/>
          <w:kern w:val="0"/>
          <w:sz w:val="28"/>
          <w:szCs w:val="28"/>
        </w:rPr>
        <w:t>年文</w:t>
      </w:r>
      <w:r>
        <w:rPr>
          <w:rFonts w:hint="eastAsia" w:ascii="宋体" w:hAnsi="宋体" w:cs="宋体"/>
          <w:color w:val="333333"/>
          <w:kern w:val="0"/>
          <w:sz w:val="28"/>
          <w:szCs w:val="28"/>
          <w:lang w:val="en-US" w:eastAsia="zh-CN"/>
        </w:rPr>
        <w:t>旅</w:t>
      </w:r>
      <w:r>
        <w:rPr>
          <w:rFonts w:hint="eastAsia" w:ascii="宋体" w:hAnsi="宋体" w:cs="宋体"/>
          <w:color w:val="333333"/>
          <w:kern w:val="0"/>
          <w:sz w:val="28"/>
          <w:szCs w:val="28"/>
        </w:rPr>
        <w:t>局工作人员</w:t>
      </w:r>
      <w:r>
        <w:rPr>
          <w:rFonts w:hint="eastAsia" w:ascii="宋体" w:hAnsi="宋体" w:cs="宋体"/>
          <w:color w:val="333333"/>
          <w:kern w:val="0"/>
          <w:sz w:val="28"/>
          <w:szCs w:val="28"/>
          <w:lang w:val="en-US" w:eastAsia="zh-CN"/>
        </w:rPr>
        <w:t>11</w:t>
      </w:r>
      <w:r>
        <w:rPr>
          <w:rFonts w:hint="eastAsia" w:ascii="宋体" w:hAnsi="宋体" w:cs="宋体"/>
          <w:color w:val="333333"/>
          <w:kern w:val="0"/>
          <w:sz w:val="28"/>
          <w:szCs w:val="28"/>
        </w:rPr>
        <w:t>人，其中局长</w:t>
      </w:r>
      <w:r>
        <w:rPr>
          <w:rFonts w:hint="eastAsia" w:ascii="宋体" w:hAnsi="宋体" w:cs="宋体"/>
          <w:color w:val="333333"/>
          <w:kern w:val="0"/>
          <w:sz w:val="28"/>
          <w:szCs w:val="28"/>
          <w:lang w:val="en-US" w:eastAsia="zh-CN"/>
        </w:rPr>
        <w:t>书记</w:t>
      </w:r>
      <w:r>
        <w:rPr>
          <w:rFonts w:hint="eastAsia" w:ascii="宋体" w:hAnsi="宋体" w:cs="宋体"/>
          <w:color w:val="333333"/>
          <w:kern w:val="0"/>
          <w:sz w:val="28"/>
          <w:szCs w:val="28"/>
        </w:rPr>
        <w:t>1人，文体</w:t>
      </w:r>
      <w:r>
        <w:rPr>
          <w:rFonts w:hint="eastAsia" w:ascii="宋体" w:hAnsi="宋体" w:cs="宋体"/>
          <w:color w:val="333333"/>
          <w:kern w:val="0"/>
          <w:sz w:val="28"/>
          <w:szCs w:val="28"/>
          <w:lang w:val="en-US" w:eastAsia="zh-CN"/>
        </w:rPr>
        <w:t>旅</w:t>
      </w:r>
      <w:r>
        <w:rPr>
          <w:rFonts w:hint="eastAsia" w:ascii="宋体" w:hAnsi="宋体" w:cs="宋体"/>
          <w:color w:val="333333"/>
          <w:kern w:val="0"/>
          <w:sz w:val="28"/>
          <w:szCs w:val="28"/>
        </w:rPr>
        <w:t>中心主任1人，解除领导职务1人，</w:t>
      </w:r>
      <w:r>
        <w:rPr>
          <w:rFonts w:hint="eastAsia" w:ascii="宋体" w:hAnsi="宋体" w:cs="宋体"/>
          <w:color w:val="333333"/>
          <w:kern w:val="0"/>
          <w:sz w:val="28"/>
          <w:szCs w:val="28"/>
          <w:lang w:val="en-US" w:eastAsia="zh-CN"/>
        </w:rPr>
        <w:t>副科级非领导职务1人，</w:t>
      </w:r>
      <w:r>
        <w:rPr>
          <w:rFonts w:hint="eastAsia" w:ascii="宋体" w:hAnsi="宋体" w:cs="宋体"/>
          <w:color w:val="333333"/>
          <w:kern w:val="0"/>
          <w:sz w:val="28"/>
          <w:szCs w:val="28"/>
        </w:rPr>
        <w:t>科员</w:t>
      </w:r>
      <w:r>
        <w:rPr>
          <w:rFonts w:hint="eastAsia" w:ascii="宋体" w:hAnsi="宋体" w:cs="宋体"/>
          <w:color w:val="333333"/>
          <w:kern w:val="0"/>
          <w:sz w:val="28"/>
          <w:szCs w:val="28"/>
          <w:lang w:val="en-US" w:eastAsia="zh-CN"/>
        </w:rPr>
        <w:t>2</w:t>
      </w:r>
      <w:r>
        <w:rPr>
          <w:rFonts w:hint="eastAsia" w:ascii="宋体" w:hAnsi="宋体" w:cs="宋体"/>
          <w:color w:val="333333"/>
          <w:kern w:val="0"/>
          <w:sz w:val="28"/>
          <w:szCs w:val="28"/>
        </w:rPr>
        <w:t>人</w:t>
      </w:r>
      <w:r>
        <w:rPr>
          <w:rFonts w:hint="eastAsia" w:ascii="宋体" w:hAnsi="宋体" w:cs="宋体"/>
          <w:color w:val="333333"/>
          <w:kern w:val="0"/>
          <w:sz w:val="28"/>
          <w:szCs w:val="28"/>
          <w:lang w:eastAsia="zh-CN"/>
        </w:rPr>
        <w:t>，</w:t>
      </w:r>
      <w:r>
        <w:rPr>
          <w:rFonts w:hint="eastAsia" w:ascii="宋体" w:hAnsi="宋体" w:cs="宋体"/>
          <w:color w:val="333333"/>
          <w:kern w:val="0"/>
          <w:sz w:val="28"/>
          <w:szCs w:val="28"/>
          <w:lang w:val="en-US" w:eastAsia="zh-CN"/>
        </w:rPr>
        <w:t>聘用人员4人，“三支一扶”人员1人</w:t>
      </w:r>
      <w:r>
        <w:rPr>
          <w:rFonts w:hint="eastAsia" w:ascii="宋体" w:hAnsi="宋体" w:cs="宋体"/>
          <w:color w:val="333333"/>
          <w:kern w:val="0"/>
          <w:sz w:val="28"/>
          <w:szCs w:val="28"/>
        </w:rPr>
        <w:t>。</w:t>
      </w:r>
    </w:p>
    <w:p w14:paraId="595F452E">
      <w:pPr>
        <w:widowControl/>
        <w:shd w:val="clear" w:color="auto" w:fill="FFFFFF"/>
        <w:jc w:val="left"/>
        <w:rPr>
          <w:rFonts w:hint="eastAsia" w:ascii="宋体" w:hAnsi="宋体" w:cs="宋体"/>
          <w:color w:val="333333"/>
          <w:kern w:val="0"/>
          <w:sz w:val="30"/>
          <w:szCs w:val="30"/>
        </w:rPr>
      </w:pPr>
      <w:r>
        <w:rPr>
          <w:rFonts w:hint="eastAsia" w:ascii="宋体" w:hAnsi="宋体" w:cs="宋体"/>
          <w:color w:val="333333"/>
          <w:kern w:val="0"/>
          <w:sz w:val="30"/>
          <w:szCs w:val="30"/>
        </w:rPr>
        <w:t xml:space="preserve"> </w:t>
      </w:r>
    </w:p>
    <w:p w14:paraId="77787841">
      <w:pPr>
        <w:widowControl/>
        <w:shd w:val="clear" w:color="auto" w:fill="FFFFFF"/>
        <w:jc w:val="left"/>
        <w:rPr>
          <w:rFonts w:hint="eastAsia" w:ascii="宋体" w:hAnsi="宋体" w:cs="宋体"/>
          <w:color w:val="333333"/>
          <w:kern w:val="0"/>
          <w:sz w:val="30"/>
          <w:szCs w:val="30"/>
        </w:rPr>
      </w:pPr>
    </w:p>
    <w:p w14:paraId="028C61A0">
      <w:pPr>
        <w:widowControl/>
        <w:shd w:val="clear" w:color="auto" w:fill="FFFFFF"/>
        <w:jc w:val="left"/>
        <w:rPr>
          <w:rFonts w:hint="eastAsia" w:ascii="宋体" w:hAnsi="宋体" w:cs="宋体"/>
          <w:color w:val="333333"/>
          <w:kern w:val="0"/>
          <w:sz w:val="30"/>
          <w:szCs w:val="30"/>
        </w:rPr>
      </w:pPr>
    </w:p>
    <w:p w14:paraId="2A5EF7C1">
      <w:pPr>
        <w:widowControl/>
        <w:shd w:val="clear" w:color="auto" w:fill="FFFFFF"/>
        <w:jc w:val="left"/>
        <w:rPr>
          <w:rFonts w:hint="eastAsia" w:ascii="宋体" w:hAnsi="宋体" w:cs="宋体"/>
          <w:color w:val="333333"/>
          <w:kern w:val="0"/>
          <w:sz w:val="30"/>
          <w:szCs w:val="30"/>
        </w:rPr>
      </w:pPr>
    </w:p>
    <w:p w14:paraId="0E9A928F">
      <w:pPr>
        <w:widowControl/>
        <w:shd w:val="clear" w:color="auto" w:fill="FFFFFF"/>
        <w:jc w:val="left"/>
        <w:rPr>
          <w:rFonts w:hint="eastAsia" w:ascii="宋体" w:hAnsi="宋体" w:cs="宋体"/>
          <w:color w:val="333333"/>
          <w:kern w:val="0"/>
          <w:sz w:val="30"/>
          <w:szCs w:val="30"/>
        </w:rPr>
      </w:pPr>
    </w:p>
    <w:p w14:paraId="0E7936F7">
      <w:pPr>
        <w:widowControl/>
        <w:shd w:val="clear" w:color="auto" w:fill="FFFFFF"/>
        <w:jc w:val="left"/>
        <w:rPr>
          <w:rFonts w:hint="eastAsia" w:ascii="宋体" w:hAnsi="宋体" w:cs="宋体"/>
          <w:color w:val="333333"/>
          <w:kern w:val="0"/>
          <w:sz w:val="30"/>
          <w:szCs w:val="30"/>
        </w:rPr>
      </w:pPr>
    </w:p>
    <w:p w14:paraId="6DF560BE">
      <w:pPr>
        <w:widowControl/>
        <w:shd w:val="clear" w:color="auto" w:fill="FFFFFF"/>
        <w:jc w:val="left"/>
        <w:rPr>
          <w:rFonts w:hint="eastAsia" w:ascii="宋体" w:hAnsi="宋体" w:cs="宋体"/>
          <w:color w:val="333333"/>
          <w:kern w:val="0"/>
          <w:sz w:val="30"/>
          <w:szCs w:val="30"/>
        </w:rPr>
      </w:pPr>
    </w:p>
    <w:p w14:paraId="6A0BF2B3">
      <w:pPr>
        <w:widowControl/>
        <w:shd w:val="clear" w:color="auto" w:fill="FFFFFF"/>
        <w:jc w:val="left"/>
        <w:rPr>
          <w:rFonts w:hint="eastAsia" w:ascii="宋体" w:hAnsi="宋体" w:cs="宋体"/>
          <w:color w:val="333333"/>
          <w:kern w:val="0"/>
          <w:sz w:val="30"/>
          <w:szCs w:val="30"/>
        </w:rPr>
      </w:pPr>
    </w:p>
    <w:p w14:paraId="7785161C">
      <w:pPr>
        <w:widowControl/>
        <w:shd w:val="clear" w:color="auto" w:fill="FFFFFF"/>
        <w:jc w:val="left"/>
        <w:rPr>
          <w:rFonts w:hint="eastAsia" w:ascii="宋体" w:hAnsi="宋体" w:cs="宋体"/>
          <w:color w:val="333333"/>
          <w:kern w:val="0"/>
          <w:sz w:val="30"/>
          <w:szCs w:val="30"/>
        </w:rPr>
      </w:pPr>
    </w:p>
    <w:p w14:paraId="227E93B0">
      <w:pPr>
        <w:widowControl/>
        <w:shd w:val="clear" w:color="auto" w:fill="FFFFFF"/>
        <w:jc w:val="left"/>
        <w:rPr>
          <w:rFonts w:hint="eastAsia" w:ascii="宋体" w:hAnsi="宋体" w:cs="宋体"/>
          <w:color w:val="333333"/>
          <w:kern w:val="0"/>
          <w:sz w:val="30"/>
          <w:szCs w:val="30"/>
        </w:rPr>
      </w:pPr>
    </w:p>
    <w:p w14:paraId="66B34EDE">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Style w:val="8"/>
          <w:rFonts w:hint="eastAsia" w:ascii="微软雅黑" w:hAnsi="微软雅黑" w:eastAsia="微软雅黑" w:cs="微软雅黑"/>
          <w:i w:val="0"/>
          <w:caps w:val="0"/>
          <w:color w:val="333333"/>
          <w:spacing w:val="0"/>
          <w:sz w:val="24"/>
          <w:szCs w:val="24"/>
          <w:shd w:val="clear" w:fill="FFFFFF"/>
          <w:lang w:eastAsia="zh-CN"/>
        </w:rPr>
      </w:pPr>
      <w:r>
        <w:rPr>
          <w:rStyle w:val="8"/>
          <w:rFonts w:hint="eastAsia" w:ascii="微软雅黑" w:hAnsi="微软雅黑" w:eastAsia="微软雅黑" w:cs="微软雅黑"/>
          <w:i w:val="0"/>
          <w:caps w:val="0"/>
          <w:color w:val="333333"/>
          <w:spacing w:val="0"/>
          <w:sz w:val="24"/>
          <w:szCs w:val="24"/>
          <w:shd w:val="clear" w:fill="FFFFFF"/>
          <w:lang w:val="en-US" w:eastAsia="zh-CN"/>
        </w:rPr>
        <w:t>部门</w:t>
      </w:r>
      <w:r>
        <w:rPr>
          <w:rStyle w:val="8"/>
          <w:rFonts w:hint="eastAsia" w:ascii="微软雅黑" w:hAnsi="微软雅黑" w:eastAsia="微软雅黑" w:cs="微软雅黑"/>
          <w:i w:val="0"/>
          <w:caps w:val="0"/>
          <w:color w:val="333333"/>
          <w:spacing w:val="0"/>
          <w:sz w:val="24"/>
          <w:szCs w:val="24"/>
          <w:shd w:val="clear" w:fill="FFFFFF"/>
          <w:lang w:eastAsia="zh-CN"/>
        </w:rPr>
        <w:t>2019</w:t>
      </w:r>
      <w:r>
        <w:rPr>
          <w:rStyle w:val="8"/>
          <w:rFonts w:hint="eastAsia" w:ascii="微软雅黑" w:hAnsi="微软雅黑" w:eastAsia="微软雅黑" w:cs="微软雅黑"/>
          <w:i w:val="0"/>
          <w:caps w:val="0"/>
          <w:color w:val="333333"/>
          <w:spacing w:val="0"/>
          <w:sz w:val="24"/>
          <w:szCs w:val="24"/>
          <w:shd w:val="clear" w:fill="FFFFFF"/>
        </w:rPr>
        <w:t>部门决算</w:t>
      </w:r>
      <w:r>
        <w:rPr>
          <w:rStyle w:val="8"/>
          <w:rFonts w:hint="eastAsia" w:ascii="微软雅黑" w:hAnsi="微软雅黑" w:eastAsia="微软雅黑" w:cs="微软雅黑"/>
          <w:i w:val="0"/>
          <w:caps w:val="0"/>
          <w:color w:val="333333"/>
          <w:spacing w:val="0"/>
          <w:sz w:val="24"/>
          <w:szCs w:val="24"/>
          <w:shd w:val="clear" w:fill="FFFFFF"/>
          <w:lang w:eastAsia="zh-CN"/>
        </w:rPr>
        <w:t>表</w:t>
      </w:r>
    </w:p>
    <w:p w14:paraId="179AB5DB">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420" w:leftChars="0" w:right="0" w:rightChars="0"/>
        <w:jc w:val="center"/>
        <w:rPr>
          <w:rStyle w:val="8"/>
          <w:rFonts w:hint="eastAsia" w:ascii="微软雅黑" w:hAnsi="微软雅黑" w:eastAsia="微软雅黑" w:cs="微软雅黑"/>
          <w:i w:val="0"/>
          <w:caps w:val="0"/>
          <w:color w:val="333333"/>
          <w:spacing w:val="0"/>
          <w:sz w:val="24"/>
          <w:szCs w:val="24"/>
          <w:shd w:val="clear" w:fill="FFFFFF"/>
          <w:lang w:eastAsia="zh-CN"/>
        </w:rPr>
      </w:pPr>
      <w:r>
        <w:drawing>
          <wp:inline distT="0" distB="0" distL="114300" distR="114300">
            <wp:extent cx="8623300" cy="466725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8623300" cy="4667250"/>
                    </a:xfrm>
                    <a:prstGeom prst="rect">
                      <a:avLst/>
                    </a:prstGeom>
                    <a:noFill/>
                    <a:ln>
                      <a:noFill/>
                    </a:ln>
                  </pic:spPr>
                </pic:pic>
              </a:graphicData>
            </a:graphic>
          </wp:inline>
        </w:drawing>
      </w:r>
    </w:p>
    <w:p w14:paraId="2762BA3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leftChars="0" w:right="0" w:firstLine="0" w:firstLineChars="0"/>
        <w:jc w:val="both"/>
      </w:pPr>
      <w:r>
        <w:drawing>
          <wp:inline distT="0" distB="0" distL="114300" distR="114300">
            <wp:extent cx="8854440" cy="4475480"/>
            <wp:effectExtent l="0" t="0" r="3810"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stretch>
                      <a:fillRect/>
                    </a:stretch>
                  </pic:blipFill>
                  <pic:spPr>
                    <a:xfrm>
                      <a:off x="0" y="0"/>
                      <a:ext cx="8854440" cy="4475480"/>
                    </a:xfrm>
                    <a:prstGeom prst="rect">
                      <a:avLst/>
                    </a:prstGeom>
                    <a:noFill/>
                    <a:ln>
                      <a:noFill/>
                    </a:ln>
                  </pic:spPr>
                </pic:pic>
              </a:graphicData>
            </a:graphic>
          </wp:inline>
        </w:drawing>
      </w:r>
    </w:p>
    <w:p w14:paraId="767F27F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leftChars="0" w:right="0" w:firstLine="0" w:firstLineChars="0"/>
      </w:pPr>
      <w:r>
        <w:drawing>
          <wp:inline distT="0" distB="0" distL="114300" distR="114300">
            <wp:extent cx="8818245" cy="4384675"/>
            <wp:effectExtent l="0" t="0" r="1905" b="1587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a:off x="0" y="0"/>
                      <a:ext cx="8818245" cy="4384675"/>
                    </a:xfrm>
                    <a:prstGeom prst="rect">
                      <a:avLst/>
                    </a:prstGeom>
                    <a:noFill/>
                    <a:ln>
                      <a:noFill/>
                    </a:ln>
                  </pic:spPr>
                </pic:pic>
              </a:graphicData>
            </a:graphic>
          </wp:inline>
        </w:drawing>
      </w:r>
    </w:p>
    <w:p w14:paraId="4159DB5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pPr>
      <w:r>
        <w:drawing>
          <wp:inline distT="0" distB="0" distL="114300" distR="114300">
            <wp:extent cx="8862060" cy="6309995"/>
            <wp:effectExtent l="0" t="0" r="15240" b="1460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7"/>
                    <a:stretch>
                      <a:fillRect/>
                    </a:stretch>
                  </pic:blipFill>
                  <pic:spPr>
                    <a:xfrm>
                      <a:off x="0" y="0"/>
                      <a:ext cx="8862060" cy="6309995"/>
                    </a:xfrm>
                    <a:prstGeom prst="rect">
                      <a:avLst/>
                    </a:prstGeom>
                    <a:noFill/>
                    <a:ln>
                      <a:noFill/>
                    </a:ln>
                  </pic:spPr>
                </pic:pic>
              </a:graphicData>
            </a:graphic>
          </wp:inline>
        </w:drawing>
      </w:r>
    </w:p>
    <w:p w14:paraId="51C3E71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pPr>
    </w:p>
    <w:p w14:paraId="004FD28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pPr>
    </w:p>
    <w:p w14:paraId="03E4D61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pPr>
      <w:r>
        <w:drawing>
          <wp:inline distT="0" distB="0" distL="114300" distR="114300">
            <wp:extent cx="8710930" cy="4044315"/>
            <wp:effectExtent l="0" t="0" r="13970" b="1333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8"/>
                    <a:stretch>
                      <a:fillRect/>
                    </a:stretch>
                  </pic:blipFill>
                  <pic:spPr>
                    <a:xfrm>
                      <a:off x="0" y="0"/>
                      <a:ext cx="8710930" cy="4044315"/>
                    </a:xfrm>
                    <a:prstGeom prst="rect">
                      <a:avLst/>
                    </a:prstGeom>
                    <a:noFill/>
                    <a:ln>
                      <a:noFill/>
                    </a:ln>
                  </pic:spPr>
                </pic:pic>
              </a:graphicData>
            </a:graphic>
          </wp:inline>
        </w:drawing>
      </w:r>
    </w:p>
    <w:p w14:paraId="4CC6F8E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r>
        <w:drawing>
          <wp:inline distT="0" distB="0" distL="114300" distR="114300">
            <wp:extent cx="8858250" cy="6214110"/>
            <wp:effectExtent l="0" t="0" r="0" b="1524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9"/>
                    <a:stretch>
                      <a:fillRect/>
                    </a:stretch>
                  </pic:blipFill>
                  <pic:spPr>
                    <a:xfrm>
                      <a:off x="0" y="0"/>
                      <a:ext cx="8858250" cy="6214110"/>
                    </a:xfrm>
                    <a:prstGeom prst="rect">
                      <a:avLst/>
                    </a:prstGeom>
                    <a:noFill/>
                    <a:ln>
                      <a:noFill/>
                    </a:ln>
                  </pic:spPr>
                </pic:pic>
              </a:graphicData>
            </a:graphic>
          </wp:inline>
        </w:drawing>
      </w:r>
    </w:p>
    <w:p w14:paraId="12473EC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jc w:val="center"/>
      </w:pPr>
    </w:p>
    <w:p w14:paraId="024C9A5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jc w:val="center"/>
      </w:pPr>
      <w:r>
        <w:drawing>
          <wp:inline distT="0" distB="0" distL="114300" distR="114300">
            <wp:extent cx="8686800" cy="24288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0"/>
                    <a:stretch>
                      <a:fillRect/>
                    </a:stretch>
                  </pic:blipFill>
                  <pic:spPr>
                    <a:xfrm>
                      <a:off x="0" y="0"/>
                      <a:ext cx="8686800" cy="2428875"/>
                    </a:xfrm>
                    <a:prstGeom prst="rect">
                      <a:avLst/>
                    </a:prstGeom>
                    <a:noFill/>
                    <a:ln>
                      <a:noFill/>
                    </a:ln>
                  </pic:spPr>
                </pic:pic>
              </a:graphicData>
            </a:graphic>
          </wp:inline>
        </w:drawing>
      </w:r>
    </w:p>
    <w:p w14:paraId="4A3FB4A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jc w:val="center"/>
      </w:pPr>
    </w:p>
    <w:tbl>
      <w:tblPr>
        <w:tblStyle w:val="6"/>
        <w:tblpPr w:leftFromText="180" w:rightFromText="180" w:vertAnchor="text" w:horzAnchor="page" w:tblpXSpec="center" w:tblpY="-21"/>
        <w:tblOverlap w:val="never"/>
        <w:tblW w:w="13700" w:type="dxa"/>
        <w:jc w:val="center"/>
        <w:shd w:val="clear" w:color="auto" w:fill="auto"/>
        <w:tblLayout w:type="fixed"/>
        <w:tblCellMar>
          <w:top w:w="0" w:type="dxa"/>
          <w:left w:w="0" w:type="dxa"/>
          <w:bottom w:w="0" w:type="dxa"/>
          <w:right w:w="0" w:type="dxa"/>
        </w:tblCellMar>
      </w:tblPr>
      <w:tblGrid>
        <w:gridCol w:w="2628"/>
        <w:gridCol w:w="2443"/>
        <w:gridCol w:w="1925"/>
        <w:gridCol w:w="1145"/>
        <w:gridCol w:w="1191"/>
        <w:gridCol w:w="1224"/>
        <w:gridCol w:w="1281"/>
        <w:gridCol w:w="1863"/>
      </w:tblGrid>
      <w:tr w14:paraId="02F0E043">
        <w:tblPrEx>
          <w:shd w:val="clear" w:color="auto" w:fill="auto"/>
          <w:tblCellMar>
            <w:top w:w="0" w:type="dxa"/>
            <w:left w:w="0" w:type="dxa"/>
            <w:bottom w:w="0" w:type="dxa"/>
            <w:right w:w="0" w:type="dxa"/>
          </w:tblCellMar>
        </w:tblPrEx>
        <w:trPr>
          <w:trHeight w:val="535" w:hRule="atLeast"/>
          <w:jc w:val="center"/>
        </w:trPr>
        <w:tc>
          <w:tcPr>
            <w:tcW w:w="13700" w:type="dxa"/>
            <w:gridSpan w:val="8"/>
            <w:tcBorders>
              <w:top w:val="nil"/>
              <w:left w:val="nil"/>
              <w:bottom w:val="nil"/>
              <w:right w:val="nil"/>
            </w:tcBorders>
            <w:shd w:val="clear" w:color="auto" w:fill="auto"/>
            <w:noWrap/>
            <w:tcMar>
              <w:top w:w="15" w:type="dxa"/>
              <w:left w:w="15" w:type="dxa"/>
              <w:right w:w="15" w:type="dxa"/>
            </w:tcMar>
            <w:vAlign w:val="bottom"/>
          </w:tcPr>
          <w:p w14:paraId="3D497AB8">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政府性基金预算财政拨款收入支出决算表</w:t>
            </w:r>
          </w:p>
        </w:tc>
      </w:tr>
      <w:tr w14:paraId="29CFA588">
        <w:tblPrEx>
          <w:shd w:val="clear" w:color="auto" w:fill="auto"/>
          <w:tblCellMar>
            <w:top w:w="0" w:type="dxa"/>
            <w:left w:w="0" w:type="dxa"/>
            <w:bottom w:w="0" w:type="dxa"/>
            <w:right w:w="0" w:type="dxa"/>
          </w:tblCellMar>
        </w:tblPrEx>
        <w:trPr>
          <w:trHeight w:val="274" w:hRule="atLeast"/>
          <w:jc w:val="center"/>
        </w:trPr>
        <w:tc>
          <w:tcPr>
            <w:tcW w:w="13700" w:type="dxa"/>
            <w:gridSpan w:val="8"/>
            <w:tcBorders>
              <w:top w:val="nil"/>
              <w:left w:val="nil"/>
              <w:bottom w:val="nil"/>
              <w:right w:val="nil"/>
            </w:tcBorders>
            <w:shd w:val="clear" w:color="auto" w:fill="auto"/>
            <w:noWrap/>
            <w:tcMar>
              <w:top w:w="15" w:type="dxa"/>
              <w:left w:w="15" w:type="dxa"/>
              <w:right w:w="15" w:type="dxa"/>
            </w:tcMar>
            <w:vAlign w:val="bottom"/>
          </w:tcPr>
          <w:p w14:paraId="4E3B6DF1">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3BE962E3">
        <w:tblPrEx>
          <w:shd w:val="clear" w:color="auto" w:fill="auto"/>
          <w:tblCellMar>
            <w:top w:w="0" w:type="dxa"/>
            <w:left w:w="0" w:type="dxa"/>
            <w:bottom w:w="0" w:type="dxa"/>
            <w:right w:w="0" w:type="dxa"/>
          </w:tblCellMar>
        </w:tblPrEx>
        <w:trPr>
          <w:trHeight w:val="274" w:hRule="atLeast"/>
          <w:jc w:val="center"/>
        </w:trPr>
        <w:tc>
          <w:tcPr>
            <w:tcW w:w="5071" w:type="dxa"/>
            <w:gridSpan w:val="2"/>
            <w:tcBorders>
              <w:top w:val="nil"/>
              <w:left w:val="nil"/>
              <w:bottom w:val="nil"/>
              <w:right w:val="nil"/>
            </w:tcBorders>
            <w:shd w:val="clear" w:color="auto" w:fill="auto"/>
            <w:noWrap/>
            <w:tcMar>
              <w:top w:w="15" w:type="dxa"/>
              <w:left w:w="15" w:type="dxa"/>
              <w:right w:w="15" w:type="dxa"/>
            </w:tcMar>
            <w:vAlign w:val="center"/>
          </w:tcPr>
          <w:p w14:paraId="502779C4">
            <w:pPr>
              <w:jc w:val="left"/>
              <w:rPr>
                <w:rFonts w:hint="eastAsia" w:ascii="宋体" w:hAnsi="宋体" w:cs="宋体" w:eastAsiaTheme="minorEastAsia"/>
                <w:i w:val="0"/>
                <w:color w:val="000000"/>
                <w:kern w:val="2"/>
                <w:sz w:val="18"/>
                <w:szCs w:val="18"/>
                <w:u w:val="none"/>
                <w:lang w:val="en-US" w:eastAsia="zh-CN" w:bidi="ar-SA"/>
              </w:rPr>
            </w:pPr>
            <w:r>
              <w:rPr>
                <w:rFonts w:hint="eastAsia" w:ascii="宋体" w:hAnsi="宋体" w:eastAsia="宋体" w:cs="宋体"/>
                <w:color w:val="000000"/>
                <w:kern w:val="0"/>
                <w:sz w:val="22"/>
                <w:szCs w:val="22"/>
              </w:rPr>
              <w:t>部门：</w:t>
            </w:r>
            <w:r>
              <w:rPr>
                <w:rFonts w:hint="eastAsia" w:ascii="宋体" w:hAnsi="宋体" w:cs="Arial"/>
                <w:color w:val="000000"/>
                <w:kern w:val="0"/>
                <w:sz w:val="22"/>
                <w:szCs w:val="22"/>
              </w:rPr>
              <w:t>黄石市黄石港区</w:t>
            </w:r>
            <w:r>
              <w:rPr>
                <w:rFonts w:hint="eastAsia" w:ascii="宋体" w:hAnsi="宋体" w:cs="Arial"/>
                <w:color w:val="000000"/>
                <w:kern w:val="0"/>
                <w:sz w:val="22"/>
                <w:szCs w:val="22"/>
                <w:lang w:eastAsia="zh-CN"/>
              </w:rPr>
              <w:t>文化和旅游局</w:t>
            </w:r>
          </w:p>
        </w:tc>
        <w:tc>
          <w:tcPr>
            <w:tcW w:w="3070" w:type="dxa"/>
            <w:gridSpan w:val="2"/>
            <w:tcBorders>
              <w:top w:val="nil"/>
              <w:left w:val="nil"/>
              <w:bottom w:val="nil"/>
              <w:right w:val="nil"/>
            </w:tcBorders>
            <w:shd w:val="clear" w:color="auto" w:fill="auto"/>
            <w:noWrap/>
            <w:tcMar>
              <w:top w:w="15" w:type="dxa"/>
              <w:left w:w="15" w:type="dxa"/>
              <w:right w:w="15" w:type="dxa"/>
            </w:tcMar>
            <w:vAlign w:val="bottom"/>
          </w:tcPr>
          <w:p w14:paraId="4FD3095D">
            <w:pPr>
              <w:jc w:val="center"/>
              <w:rPr>
                <w:rFonts w:hint="default" w:ascii="Arial" w:hAnsi="Arial" w:cs="Arial" w:eastAsiaTheme="minorEastAsia"/>
                <w:i w:val="0"/>
                <w:color w:val="000000"/>
                <w:sz w:val="20"/>
                <w:szCs w:val="20"/>
                <w:u w:val="none"/>
                <w:lang w:val="en-US" w:eastAsia="zh-CN"/>
              </w:rPr>
            </w:pPr>
            <w:r>
              <w:rPr>
                <w:rFonts w:hint="eastAsia" w:ascii="宋体" w:hAnsi="宋体" w:eastAsia="宋体" w:cs="宋体"/>
                <w:i w:val="0"/>
                <w:color w:val="000000"/>
                <w:kern w:val="0"/>
                <w:sz w:val="22"/>
                <w:szCs w:val="22"/>
                <w:u w:val="none"/>
                <w:lang w:val="en-US" w:eastAsia="zh-CN" w:bidi="ar"/>
              </w:rPr>
              <w:t>2019年度</w:t>
            </w:r>
          </w:p>
        </w:tc>
        <w:tc>
          <w:tcPr>
            <w:tcW w:w="1191" w:type="dxa"/>
            <w:tcBorders>
              <w:top w:val="nil"/>
              <w:left w:val="nil"/>
              <w:bottom w:val="nil"/>
              <w:right w:val="nil"/>
            </w:tcBorders>
            <w:shd w:val="clear" w:color="auto" w:fill="auto"/>
            <w:noWrap/>
            <w:tcMar>
              <w:top w:w="15" w:type="dxa"/>
              <w:left w:w="15" w:type="dxa"/>
              <w:right w:w="15" w:type="dxa"/>
            </w:tcMar>
            <w:vAlign w:val="bottom"/>
          </w:tcPr>
          <w:p w14:paraId="17B4D568">
            <w:pPr>
              <w:rPr>
                <w:rFonts w:hint="default" w:ascii="Arial" w:hAnsi="Arial" w:cs="Arial"/>
                <w:i w:val="0"/>
                <w:color w:val="000000"/>
                <w:sz w:val="20"/>
                <w:szCs w:val="20"/>
                <w:u w:val="none"/>
              </w:rPr>
            </w:pPr>
          </w:p>
        </w:tc>
        <w:tc>
          <w:tcPr>
            <w:tcW w:w="1224" w:type="dxa"/>
            <w:tcBorders>
              <w:top w:val="nil"/>
              <w:left w:val="nil"/>
              <w:bottom w:val="nil"/>
              <w:right w:val="nil"/>
            </w:tcBorders>
            <w:shd w:val="clear" w:color="auto" w:fill="auto"/>
            <w:noWrap/>
            <w:tcMar>
              <w:top w:w="15" w:type="dxa"/>
              <w:left w:w="15" w:type="dxa"/>
              <w:right w:w="15" w:type="dxa"/>
            </w:tcMar>
            <w:vAlign w:val="bottom"/>
          </w:tcPr>
          <w:p w14:paraId="7FD056DD">
            <w:pPr>
              <w:rPr>
                <w:rFonts w:hint="default" w:ascii="Arial" w:hAnsi="Arial" w:cs="Arial"/>
                <w:i w:val="0"/>
                <w:color w:val="000000"/>
                <w:sz w:val="20"/>
                <w:szCs w:val="20"/>
                <w:u w:val="none"/>
              </w:rPr>
            </w:pPr>
          </w:p>
        </w:tc>
        <w:tc>
          <w:tcPr>
            <w:tcW w:w="1281" w:type="dxa"/>
            <w:tcBorders>
              <w:top w:val="nil"/>
              <w:left w:val="nil"/>
              <w:bottom w:val="nil"/>
              <w:right w:val="nil"/>
            </w:tcBorders>
            <w:shd w:val="clear" w:color="auto" w:fill="auto"/>
            <w:noWrap/>
            <w:tcMar>
              <w:top w:w="15" w:type="dxa"/>
              <w:left w:w="15" w:type="dxa"/>
              <w:right w:w="15" w:type="dxa"/>
            </w:tcMar>
            <w:vAlign w:val="bottom"/>
          </w:tcPr>
          <w:p w14:paraId="265E535A">
            <w:pPr>
              <w:rPr>
                <w:rFonts w:hint="default" w:ascii="Arial" w:hAnsi="Arial" w:cs="Arial"/>
                <w:i w:val="0"/>
                <w:color w:val="000000"/>
                <w:sz w:val="20"/>
                <w:szCs w:val="20"/>
                <w:u w:val="none"/>
              </w:rPr>
            </w:pPr>
          </w:p>
        </w:tc>
        <w:tc>
          <w:tcPr>
            <w:tcW w:w="1863" w:type="dxa"/>
            <w:tcBorders>
              <w:top w:val="nil"/>
              <w:left w:val="nil"/>
              <w:bottom w:val="nil"/>
              <w:right w:val="nil"/>
            </w:tcBorders>
            <w:shd w:val="clear" w:color="auto" w:fill="auto"/>
            <w:noWrap/>
            <w:tcMar>
              <w:top w:w="15" w:type="dxa"/>
              <w:left w:w="15" w:type="dxa"/>
              <w:right w:w="15" w:type="dxa"/>
            </w:tcMar>
            <w:vAlign w:val="bottom"/>
          </w:tcPr>
          <w:p w14:paraId="59F3A320">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14:paraId="31275F7C">
        <w:tblPrEx>
          <w:shd w:val="clear" w:color="auto" w:fill="auto"/>
          <w:tblCellMar>
            <w:top w:w="0" w:type="dxa"/>
            <w:left w:w="0" w:type="dxa"/>
            <w:bottom w:w="0" w:type="dxa"/>
            <w:right w:w="0" w:type="dxa"/>
          </w:tblCellMar>
        </w:tblPrEx>
        <w:trPr>
          <w:trHeight w:val="282" w:hRule="atLeast"/>
          <w:jc w:val="center"/>
        </w:trPr>
        <w:tc>
          <w:tcPr>
            <w:tcW w:w="5071"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FA02E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925"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04B033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1145"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FD7578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w:t>
            </w:r>
          </w:p>
        </w:tc>
        <w:tc>
          <w:tcPr>
            <w:tcW w:w="3696"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938158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c>
          <w:tcPr>
            <w:tcW w:w="186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9D2CE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r>
      <w:tr w14:paraId="197D17FC">
        <w:tblPrEx>
          <w:shd w:val="clear" w:color="auto" w:fill="auto"/>
          <w:tblCellMar>
            <w:top w:w="0" w:type="dxa"/>
            <w:left w:w="0" w:type="dxa"/>
            <w:bottom w:w="0" w:type="dxa"/>
            <w:right w:w="0" w:type="dxa"/>
          </w:tblCellMar>
        </w:tblPrEx>
        <w:trPr>
          <w:trHeight w:val="312" w:hRule="atLeast"/>
          <w:jc w:val="center"/>
        </w:trPr>
        <w:tc>
          <w:tcPr>
            <w:tcW w:w="2628"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57D704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2443"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047669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92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7439209">
            <w:pPr>
              <w:jc w:val="center"/>
              <w:rPr>
                <w:rFonts w:hint="eastAsia" w:ascii="宋体" w:hAnsi="宋体" w:eastAsia="宋体" w:cs="宋体"/>
                <w:i w:val="0"/>
                <w:color w:val="000000"/>
                <w:sz w:val="22"/>
                <w:szCs w:val="22"/>
                <w:u w:val="none"/>
              </w:rPr>
            </w:pPr>
          </w:p>
        </w:tc>
        <w:tc>
          <w:tcPr>
            <w:tcW w:w="11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664FB18">
            <w:pPr>
              <w:jc w:val="center"/>
              <w:rPr>
                <w:rFonts w:hint="eastAsia" w:ascii="宋体" w:hAnsi="宋体" w:eastAsia="宋体" w:cs="宋体"/>
                <w:i w:val="0"/>
                <w:color w:val="000000"/>
                <w:sz w:val="22"/>
                <w:szCs w:val="22"/>
                <w:u w:val="none"/>
              </w:rPr>
            </w:pPr>
          </w:p>
        </w:tc>
        <w:tc>
          <w:tcPr>
            <w:tcW w:w="119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A5E7BF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2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E83DBA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28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B8CAB8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86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BF84338">
            <w:pPr>
              <w:jc w:val="center"/>
              <w:rPr>
                <w:rFonts w:hint="eastAsia" w:ascii="宋体" w:hAnsi="宋体" w:eastAsia="宋体" w:cs="宋体"/>
                <w:i w:val="0"/>
                <w:color w:val="000000"/>
                <w:sz w:val="22"/>
                <w:szCs w:val="22"/>
                <w:u w:val="none"/>
              </w:rPr>
            </w:pPr>
          </w:p>
        </w:tc>
      </w:tr>
      <w:tr w14:paraId="3A770D75">
        <w:tblPrEx>
          <w:shd w:val="clear" w:color="auto" w:fill="auto"/>
          <w:tblCellMar>
            <w:top w:w="0" w:type="dxa"/>
            <w:left w:w="0" w:type="dxa"/>
            <w:bottom w:w="0" w:type="dxa"/>
            <w:right w:w="0" w:type="dxa"/>
          </w:tblCellMar>
        </w:tblPrEx>
        <w:trPr>
          <w:trHeight w:val="312" w:hRule="atLeast"/>
          <w:jc w:val="center"/>
        </w:trPr>
        <w:tc>
          <w:tcPr>
            <w:tcW w:w="262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44BB0D">
            <w:pPr>
              <w:jc w:val="center"/>
              <w:rPr>
                <w:rFonts w:hint="eastAsia" w:ascii="宋体" w:hAnsi="宋体" w:eastAsia="宋体" w:cs="宋体"/>
                <w:i w:val="0"/>
                <w:color w:val="000000"/>
                <w:sz w:val="22"/>
                <w:szCs w:val="22"/>
                <w:u w:val="none"/>
              </w:rPr>
            </w:pPr>
          </w:p>
        </w:tc>
        <w:tc>
          <w:tcPr>
            <w:tcW w:w="2443"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29FFC50">
            <w:pPr>
              <w:jc w:val="center"/>
              <w:rPr>
                <w:rFonts w:hint="eastAsia" w:ascii="宋体" w:hAnsi="宋体" w:eastAsia="宋体" w:cs="宋体"/>
                <w:i w:val="0"/>
                <w:color w:val="000000"/>
                <w:sz w:val="22"/>
                <w:szCs w:val="22"/>
                <w:u w:val="none"/>
              </w:rPr>
            </w:pPr>
          </w:p>
        </w:tc>
        <w:tc>
          <w:tcPr>
            <w:tcW w:w="192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2EB34D2">
            <w:pPr>
              <w:jc w:val="center"/>
              <w:rPr>
                <w:rFonts w:hint="eastAsia" w:ascii="宋体" w:hAnsi="宋体" w:eastAsia="宋体" w:cs="宋体"/>
                <w:i w:val="0"/>
                <w:color w:val="000000"/>
                <w:sz w:val="22"/>
                <w:szCs w:val="22"/>
                <w:u w:val="none"/>
              </w:rPr>
            </w:pPr>
          </w:p>
        </w:tc>
        <w:tc>
          <w:tcPr>
            <w:tcW w:w="11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A12C858">
            <w:pPr>
              <w:jc w:val="center"/>
              <w:rPr>
                <w:rFonts w:hint="eastAsia" w:ascii="宋体" w:hAnsi="宋体" w:eastAsia="宋体" w:cs="宋体"/>
                <w:i w:val="0"/>
                <w:color w:val="000000"/>
                <w:sz w:val="22"/>
                <w:szCs w:val="22"/>
                <w:u w:val="none"/>
              </w:rPr>
            </w:pPr>
          </w:p>
        </w:tc>
        <w:tc>
          <w:tcPr>
            <w:tcW w:w="11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B285BEB">
            <w:pPr>
              <w:jc w:val="center"/>
              <w:rPr>
                <w:rFonts w:hint="eastAsia" w:ascii="宋体" w:hAnsi="宋体" w:eastAsia="宋体" w:cs="宋体"/>
                <w:i w:val="0"/>
                <w:color w:val="000000"/>
                <w:sz w:val="22"/>
                <w:szCs w:val="22"/>
                <w:u w:val="none"/>
              </w:rPr>
            </w:pPr>
          </w:p>
        </w:tc>
        <w:tc>
          <w:tcPr>
            <w:tcW w:w="122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27C07F6">
            <w:pPr>
              <w:jc w:val="center"/>
              <w:rPr>
                <w:rFonts w:hint="eastAsia" w:ascii="宋体" w:hAnsi="宋体" w:eastAsia="宋体" w:cs="宋体"/>
                <w:i w:val="0"/>
                <w:color w:val="000000"/>
                <w:sz w:val="22"/>
                <w:szCs w:val="22"/>
                <w:u w:val="none"/>
              </w:rPr>
            </w:pPr>
          </w:p>
        </w:tc>
        <w:tc>
          <w:tcPr>
            <w:tcW w:w="128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3BABF80">
            <w:pPr>
              <w:jc w:val="center"/>
              <w:rPr>
                <w:rFonts w:hint="eastAsia" w:ascii="宋体" w:hAnsi="宋体" w:eastAsia="宋体" w:cs="宋体"/>
                <w:i w:val="0"/>
                <w:color w:val="000000"/>
                <w:sz w:val="22"/>
                <w:szCs w:val="22"/>
                <w:u w:val="none"/>
              </w:rPr>
            </w:pPr>
          </w:p>
        </w:tc>
        <w:tc>
          <w:tcPr>
            <w:tcW w:w="186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2629ADE">
            <w:pPr>
              <w:jc w:val="center"/>
              <w:rPr>
                <w:rFonts w:hint="eastAsia" w:ascii="宋体" w:hAnsi="宋体" w:eastAsia="宋体" w:cs="宋体"/>
                <w:i w:val="0"/>
                <w:color w:val="000000"/>
                <w:sz w:val="22"/>
                <w:szCs w:val="22"/>
                <w:u w:val="none"/>
              </w:rPr>
            </w:pPr>
          </w:p>
        </w:tc>
      </w:tr>
      <w:tr w14:paraId="56B7711D">
        <w:tblPrEx>
          <w:shd w:val="clear" w:color="auto" w:fill="auto"/>
          <w:tblCellMar>
            <w:top w:w="0" w:type="dxa"/>
            <w:left w:w="0" w:type="dxa"/>
            <w:bottom w:w="0" w:type="dxa"/>
            <w:right w:w="0" w:type="dxa"/>
          </w:tblCellMar>
        </w:tblPrEx>
        <w:trPr>
          <w:trHeight w:val="312" w:hRule="atLeast"/>
          <w:jc w:val="center"/>
        </w:trPr>
        <w:tc>
          <w:tcPr>
            <w:tcW w:w="262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F7FEF99">
            <w:pPr>
              <w:jc w:val="center"/>
              <w:rPr>
                <w:rFonts w:hint="eastAsia" w:ascii="宋体" w:hAnsi="宋体" w:eastAsia="宋体" w:cs="宋体"/>
                <w:i w:val="0"/>
                <w:color w:val="000000"/>
                <w:sz w:val="22"/>
                <w:szCs w:val="22"/>
                <w:u w:val="none"/>
              </w:rPr>
            </w:pPr>
          </w:p>
        </w:tc>
        <w:tc>
          <w:tcPr>
            <w:tcW w:w="2443"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CE74F6D">
            <w:pPr>
              <w:jc w:val="center"/>
              <w:rPr>
                <w:rFonts w:hint="eastAsia" w:ascii="宋体" w:hAnsi="宋体" w:eastAsia="宋体" w:cs="宋体"/>
                <w:i w:val="0"/>
                <w:color w:val="000000"/>
                <w:sz w:val="22"/>
                <w:szCs w:val="22"/>
                <w:u w:val="none"/>
              </w:rPr>
            </w:pPr>
          </w:p>
        </w:tc>
        <w:tc>
          <w:tcPr>
            <w:tcW w:w="192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041B926">
            <w:pPr>
              <w:jc w:val="center"/>
              <w:rPr>
                <w:rFonts w:hint="eastAsia" w:ascii="宋体" w:hAnsi="宋体" w:eastAsia="宋体" w:cs="宋体"/>
                <w:i w:val="0"/>
                <w:color w:val="000000"/>
                <w:sz w:val="22"/>
                <w:szCs w:val="22"/>
                <w:u w:val="none"/>
              </w:rPr>
            </w:pPr>
          </w:p>
        </w:tc>
        <w:tc>
          <w:tcPr>
            <w:tcW w:w="11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8EFF821">
            <w:pPr>
              <w:jc w:val="center"/>
              <w:rPr>
                <w:rFonts w:hint="eastAsia" w:ascii="宋体" w:hAnsi="宋体" w:eastAsia="宋体" w:cs="宋体"/>
                <w:i w:val="0"/>
                <w:color w:val="000000"/>
                <w:sz w:val="22"/>
                <w:szCs w:val="22"/>
                <w:u w:val="none"/>
              </w:rPr>
            </w:pPr>
          </w:p>
        </w:tc>
        <w:tc>
          <w:tcPr>
            <w:tcW w:w="11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A7660BD">
            <w:pPr>
              <w:jc w:val="center"/>
              <w:rPr>
                <w:rFonts w:hint="eastAsia" w:ascii="宋体" w:hAnsi="宋体" w:eastAsia="宋体" w:cs="宋体"/>
                <w:i w:val="0"/>
                <w:color w:val="000000"/>
                <w:sz w:val="22"/>
                <w:szCs w:val="22"/>
                <w:u w:val="none"/>
              </w:rPr>
            </w:pPr>
          </w:p>
        </w:tc>
        <w:tc>
          <w:tcPr>
            <w:tcW w:w="122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735D789">
            <w:pPr>
              <w:jc w:val="center"/>
              <w:rPr>
                <w:rFonts w:hint="eastAsia" w:ascii="宋体" w:hAnsi="宋体" w:eastAsia="宋体" w:cs="宋体"/>
                <w:i w:val="0"/>
                <w:color w:val="000000"/>
                <w:sz w:val="22"/>
                <w:szCs w:val="22"/>
                <w:u w:val="none"/>
              </w:rPr>
            </w:pPr>
          </w:p>
        </w:tc>
        <w:tc>
          <w:tcPr>
            <w:tcW w:w="128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EFE45C7">
            <w:pPr>
              <w:jc w:val="center"/>
              <w:rPr>
                <w:rFonts w:hint="eastAsia" w:ascii="宋体" w:hAnsi="宋体" w:eastAsia="宋体" w:cs="宋体"/>
                <w:i w:val="0"/>
                <w:color w:val="000000"/>
                <w:sz w:val="22"/>
                <w:szCs w:val="22"/>
                <w:u w:val="none"/>
              </w:rPr>
            </w:pPr>
          </w:p>
        </w:tc>
        <w:tc>
          <w:tcPr>
            <w:tcW w:w="186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18A6974">
            <w:pPr>
              <w:jc w:val="center"/>
              <w:rPr>
                <w:rFonts w:hint="eastAsia" w:ascii="宋体" w:hAnsi="宋体" w:eastAsia="宋体" w:cs="宋体"/>
                <w:i w:val="0"/>
                <w:color w:val="000000"/>
                <w:sz w:val="22"/>
                <w:szCs w:val="22"/>
                <w:u w:val="none"/>
              </w:rPr>
            </w:pPr>
          </w:p>
        </w:tc>
      </w:tr>
      <w:tr w14:paraId="6E4C4C27">
        <w:tblPrEx>
          <w:shd w:val="clear" w:color="auto" w:fill="auto"/>
          <w:tblCellMar>
            <w:top w:w="0" w:type="dxa"/>
            <w:left w:w="0" w:type="dxa"/>
            <w:bottom w:w="0" w:type="dxa"/>
            <w:right w:w="0" w:type="dxa"/>
          </w:tblCellMar>
        </w:tblPrEx>
        <w:trPr>
          <w:trHeight w:val="311" w:hRule="atLeast"/>
          <w:jc w:val="center"/>
        </w:trPr>
        <w:tc>
          <w:tcPr>
            <w:tcW w:w="5071"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0AA55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92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FA6889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FF2413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9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A60449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2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BBB886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D82137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86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BE3FFD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14:paraId="55E088ED">
        <w:tblPrEx>
          <w:shd w:val="clear" w:color="auto" w:fill="auto"/>
          <w:tblCellMar>
            <w:top w:w="0" w:type="dxa"/>
            <w:left w:w="0" w:type="dxa"/>
            <w:bottom w:w="0" w:type="dxa"/>
            <w:right w:w="0" w:type="dxa"/>
          </w:tblCellMar>
        </w:tblPrEx>
        <w:trPr>
          <w:trHeight w:val="292" w:hRule="atLeast"/>
          <w:jc w:val="center"/>
        </w:trPr>
        <w:tc>
          <w:tcPr>
            <w:tcW w:w="5071"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F07BB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9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F586F9">
            <w:pPr>
              <w:jc w:val="right"/>
              <w:rPr>
                <w:rFonts w:hint="eastAsia" w:ascii="宋体" w:hAnsi="宋体" w:eastAsia="宋体" w:cs="宋体"/>
                <w:b/>
                <w:i w:val="0"/>
                <w:color w:val="000000"/>
                <w:sz w:val="22"/>
                <w:szCs w:val="22"/>
                <w:u w:val="none"/>
              </w:rPr>
            </w:pP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2E26C6">
            <w:pPr>
              <w:jc w:val="right"/>
              <w:rPr>
                <w:rFonts w:hint="eastAsia" w:ascii="宋体" w:hAnsi="宋体" w:eastAsia="宋体" w:cs="宋体"/>
                <w:b/>
                <w:i w:val="0"/>
                <w:color w:val="000000"/>
                <w:sz w:val="22"/>
                <w:szCs w:val="22"/>
                <w:u w:val="none"/>
              </w:rPr>
            </w:pP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D35AA3">
            <w:pPr>
              <w:jc w:val="right"/>
              <w:rPr>
                <w:rFonts w:hint="eastAsia" w:ascii="宋体" w:hAnsi="宋体" w:eastAsia="宋体" w:cs="宋体"/>
                <w:b/>
                <w:i w:val="0"/>
                <w:color w:val="000000"/>
                <w:sz w:val="22"/>
                <w:szCs w:val="22"/>
                <w:u w:val="none"/>
              </w:rPr>
            </w:pPr>
          </w:p>
        </w:tc>
        <w:tc>
          <w:tcPr>
            <w:tcW w:w="1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6752C5">
            <w:pPr>
              <w:jc w:val="right"/>
              <w:rPr>
                <w:rFonts w:hint="eastAsia" w:ascii="宋体" w:hAnsi="宋体" w:eastAsia="宋体" w:cs="宋体"/>
                <w:b/>
                <w:i w:val="0"/>
                <w:color w:val="000000"/>
                <w:sz w:val="22"/>
                <w:szCs w:val="22"/>
                <w:u w:val="none"/>
              </w:rPr>
            </w:pPr>
          </w:p>
        </w:tc>
        <w:tc>
          <w:tcPr>
            <w:tcW w:w="12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48D349">
            <w:pPr>
              <w:jc w:val="right"/>
              <w:rPr>
                <w:rFonts w:hint="eastAsia" w:ascii="宋体" w:hAnsi="宋体" w:eastAsia="宋体" w:cs="宋体"/>
                <w:b/>
                <w:i w:val="0"/>
                <w:color w:val="000000"/>
                <w:sz w:val="22"/>
                <w:szCs w:val="22"/>
                <w:u w:val="none"/>
              </w:rPr>
            </w:pP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E41DFE">
            <w:pPr>
              <w:jc w:val="right"/>
              <w:rPr>
                <w:rFonts w:hint="eastAsia" w:ascii="宋体" w:hAnsi="宋体" w:eastAsia="宋体" w:cs="宋体"/>
                <w:b/>
                <w:i w:val="0"/>
                <w:color w:val="000000"/>
                <w:sz w:val="22"/>
                <w:szCs w:val="22"/>
                <w:u w:val="none"/>
              </w:rPr>
            </w:pPr>
          </w:p>
        </w:tc>
      </w:tr>
      <w:tr w14:paraId="2A3CCC1D">
        <w:tblPrEx>
          <w:shd w:val="clear" w:color="auto" w:fill="auto"/>
          <w:tblCellMar>
            <w:top w:w="0" w:type="dxa"/>
            <w:left w:w="0" w:type="dxa"/>
            <w:bottom w:w="0" w:type="dxa"/>
            <w:right w:w="0" w:type="dxa"/>
          </w:tblCellMar>
        </w:tblPrEx>
        <w:trPr>
          <w:trHeight w:val="292" w:hRule="atLeast"/>
          <w:jc w:val="center"/>
        </w:trPr>
        <w:tc>
          <w:tcPr>
            <w:tcW w:w="26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CC285">
            <w:pPr>
              <w:jc w:val="left"/>
              <w:rPr>
                <w:rFonts w:hint="eastAsia" w:ascii="宋体" w:hAnsi="宋体" w:eastAsia="宋体" w:cs="宋体"/>
                <w:i w:val="0"/>
                <w:color w:val="000000"/>
                <w:sz w:val="22"/>
                <w:szCs w:val="22"/>
                <w:u w:val="none"/>
              </w:rPr>
            </w:pPr>
          </w:p>
        </w:tc>
        <w:tc>
          <w:tcPr>
            <w:tcW w:w="24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AAD10B">
            <w:pPr>
              <w:jc w:val="left"/>
              <w:rPr>
                <w:rFonts w:hint="eastAsia" w:ascii="宋体" w:hAnsi="宋体" w:eastAsia="宋体" w:cs="宋体"/>
                <w:i w:val="0"/>
                <w:color w:val="000000"/>
                <w:sz w:val="22"/>
                <w:szCs w:val="22"/>
                <w:u w:val="none"/>
              </w:rPr>
            </w:pPr>
          </w:p>
        </w:tc>
        <w:tc>
          <w:tcPr>
            <w:tcW w:w="19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223685">
            <w:pPr>
              <w:jc w:val="right"/>
              <w:rPr>
                <w:rFonts w:hint="eastAsia" w:ascii="宋体" w:hAnsi="宋体" w:eastAsia="宋体" w:cs="宋体"/>
                <w:i w:val="0"/>
                <w:color w:val="000000"/>
                <w:sz w:val="22"/>
                <w:szCs w:val="22"/>
                <w:u w:val="none"/>
              </w:rPr>
            </w:pP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19C74D">
            <w:pPr>
              <w:jc w:val="right"/>
              <w:rPr>
                <w:rFonts w:hint="eastAsia" w:ascii="宋体" w:hAnsi="宋体" w:eastAsia="宋体" w:cs="宋体"/>
                <w:i w:val="0"/>
                <w:color w:val="000000"/>
                <w:sz w:val="22"/>
                <w:szCs w:val="22"/>
                <w:u w:val="none"/>
              </w:rPr>
            </w:pP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768AD">
            <w:pPr>
              <w:jc w:val="right"/>
              <w:rPr>
                <w:rFonts w:hint="eastAsia" w:ascii="宋体" w:hAnsi="宋体" w:eastAsia="宋体" w:cs="宋体"/>
                <w:i w:val="0"/>
                <w:color w:val="000000"/>
                <w:sz w:val="22"/>
                <w:szCs w:val="22"/>
                <w:u w:val="none"/>
              </w:rPr>
            </w:pPr>
          </w:p>
        </w:tc>
        <w:tc>
          <w:tcPr>
            <w:tcW w:w="1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0233CD">
            <w:pPr>
              <w:jc w:val="right"/>
              <w:rPr>
                <w:rFonts w:hint="eastAsia" w:ascii="宋体" w:hAnsi="宋体" w:eastAsia="宋体" w:cs="宋体"/>
                <w:i w:val="0"/>
                <w:color w:val="000000"/>
                <w:sz w:val="22"/>
                <w:szCs w:val="22"/>
                <w:u w:val="none"/>
              </w:rPr>
            </w:pPr>
          </w:p>
        </w:tc>
        <w:tc>
          <w:tcPr>
            <w:tcW w:w="12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AF7239">
            <w:pPr>
              <w:jc w:val="right"/>
              <w:rPr>
                <w:rFonts w:hint="eastAsia" w:ascii="宋体" w:hAnsi="宋体" w:eastAsia="宋体" w:cs="宋体"/>
                <w:i w:val="0"/>
                <w:color w:val="000000"/>
                <w:sz w:val="22"/>
                <w:szCs w:val="22"/>
                <w:u w:val="none"/>
              </w:rPr>
            </w:pP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CD3D4">
            <w:pPr>
              <w:jc w:val="right"/>
              <w:rPr>
                <w:rFonts w:hint="eastAsia" w:ascii="宋体" w:hAnsi="宋体" w:eastAsia="宋体" w:cs="宋体"/>
                <w:i w:val="0"/>
                <w:color w:val="000000"/>
                <w:sz w:val="22"/>
                <w:szCs w:val="22"/>
                <w:u w:val="none"/>
              </w:rPr>
            </w:pPr>
          </w:p>
        </w:tc>
      </w:tr>
      <w:tr w14:paraId="32647EF2">
        <w:tblPrEx>
          <w:shd w:val="clear" w:color="auto" w:fill="auto"/>
          <w:tblCellMar>
            <w:top w:w="0" w:type="dxa"/>
            <w:left w:w="0" w:type="dxa"/>
            <w:bottom w:w="0" w:type="dxa"/>
            <w:right w:w="0" w:type="dxa"/>
          </w:tblCellMar>
        </w:tblPrEx>
        <w:trPr>
          <w:trHeight w:val="292" w:hRule="atLeast"/>
          <w:jc w:val="center"/>
        </w:trPr>
        <w:tc>
          <w:tcPr>
            <w:tcW w:w="13700" w:type="dxa"/>
            <w:gridSpan w:val="8"/>
            <w:tcBorders>
              <w:top w:val="nil"/>
              <w:left w:val="nil"/>
              <w:bottom w:val="nil"/>
              <w:right w:val="nil"/>
            </w:tcBorders>
            <w:shd w:val="clear" w:color="auto" w:fill="auto"/>
            <w:noWrap/>
            <w:tcMar>
              <w:top w:w="15" w:type="dxa"/>
              <w:left w:w="15" w:type="dxa"/>
              <w:right w:w="15" w:type="dxa"/>
            </w:tcMar>
            <w:vAlign w:val="center"/>
          </w:tcPr>
          <w:p w14:paraId="3096A5D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注：本表反映部门本年度政府性基金预算财政拨款收入、支出及结转和结余情况。</w:t>
            </w:r>
          </w:p>
        </w:tc>
      </w:tr>
    </w:tbl>
    <w:p w14:paraId="40850DD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jc w:val="center"/>
        <w:sectPr>
          <w:pgSz w:w="16838" w:h="11906" w:orient="landscape"/>
          <w:pgMar w:top="1800" w:right="1440" w:bottom="1800" w:left="1440" w:header="851" w:footer="992" w:gutter="0"/>
          <w:cols w:space="425" w:num="1"/>
          <w:docGrid w:type="lines" w:linePitch="312" w:charSpace="0"/>
        </w:sectPr>
      </w:pPr>
    </w:p>
    <w:p w14:paraId="2347EE99">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rightChars="0" w:firstLine="480" w:firstLineChars="200"/>
        <w:rPr>
          <w:rFonts w:hint="eastAsia" w:hAnsi="宋体"/>
          <w:b/>
          <w:bCs/>
          <w:color w:val="000000"/>
          <w:spacing w:val="2"/>
          <w:sz w:val="28"/>
          <w:szCs w:val="28"/>
        </w:rPr>
      </w:pPr>
      <w:r>
        <w:rPr>
          <w:rStyle w:val="8"/>
          <w:rFonts w:hint="eastAsia" w:ascii="微软雅黑" w:hAnsi="微软雅黑" w:eastAsia="微软雅黑" w:cs="微软雅黑"/>
          <w:i w:val="0"/>
          <w:caps w:val="0"/>
          <w:color w:val="333333"/>
          <w:spacing w:val="0"/>
          <w:sz w:val="24"/>
          <w:szCs w:val="24"/>
          <w:shd w:val="clear" w:fill="FFFFFF"/>
          <w:lang w:eastAsia="zh-CN"/>
        </w:rPr>
        <w:t>第三部分</w:t>
      </w:r>
      <w:r>
        <w:rPr>
          <w:rStyle w:val="8"/>
          <w:rFonts w:hint="eastAsia" w:ascii="微软雅黑" w:hAnsi="微软雅黑" w:eastAsia="微软雅黑" w:cs="微软雅黑"/>
          <w:i w:val="0"/>
          <w:caps w:val="0"/>
          <w:color w:val="333333"/>
          <w:spacing w:val="0"/>
          <w:sz w:val="24"/>
          <w:szCs w:val="24"/>
          <w:shd w:val="clear" w:fill="FFFFFF"/>
          <w:lang w:val="en-US" w:eastAsia="zh-CN"/>
        </w:rPr>
        <w:t xml:space="preserve"> </w:t>
      </w:r>
      <w:r>
        <w:rPr>
          <w:rStyle w:val="8"/>
          <w:rFonts w:hint="eastAsia" w:ascii="微软雅黑" w:hAnsi="微软雅黑" w:eastAsia="微软雅黑" w:cs="微软雅黑"/>
          <w:i w:val="0"/>
          <w:caps w:val="0"/>
          <w:color w:val="333333"/>
          <w:spacing w:val="0"/>
          <w:sz w:val="24"/>
          <w:szCs w:val="24"/>
          <w:shd w:val="clear" w:fill="FFFFFF"/>
          <w:lang w:eastAsia="zh-CN"/>
        </w:rPr>
        <w:t>2019</w:t>
      </w:r>
      <w:r>
        <w:rPr>
          <w:rStyle w:val="8"/>
          <w:rFonts w:hint="eastAsia" w:ascii="微软雅黑" w:hAnsi="微软雅黑" w:eastAsia="微软雅黑" w:cs="微软雅黑"/>
          <w:i w:val="0"/>
          <w:caps w:val="0"/>
          <w:color w:val="333333"/>
          <w:spacing w:val="0"/>
          <w:sz w:val="24"/>
          <w:szCs w:val="24"/>
          <w:shd w:val="clear" w:fill="FFFFFF"/>
        </w:rPr>
        <w:t>年部门决算情况说明</w:t>
      </w:r>
    </w:p>
    <w:p w14:paraId="18D73BCB">
      <w:pPr>
        <w:spacing w:line="600" w:lineRule="exact"/>
        <w:ind w:firstLine="570" w:firstLineChars="200"/>
        <w:rPr>
          <w:rFonts w:hint="eastAsia" w:asciiTheme="minorEastAsia" w:hAnsiTheme="minorEastAsia" w:eastAsiaTheme="minorEastAsia" w:cstheme="minorEastAsia"/>
          <w:b/>
          <w:color w:val="000000"/>
          <w:spacing w:val="2"/>
          <w:sz w:val="28"/>
          <w:szCs w:val="28"/>
        </w:rPr>
      </w:pPr>
      <w:r>
        <w:rPr>
          <w:rFonts w:hint="eastAsia" w:asciiTheme="minorEastAsia" w:hAnsiTheme="minorEastAsia" w:cstheme="minorEastAsia"/>
          <w:b/>
          <w:color w:val="000000"/>
          <w:spacing w:val="2"/>
          <w:sz w:val="28"/>
          <w:szCs w:val="28"/>
          <w:lang w:val="en-US" w:eastAsia="zh-CN"/>
        </w:rPr>
        <w:t>一</w:t>
      </w:r>
      <w:r>
        <w:rPr>
          <w:rFonts w:hint="eastAsia" w:asciiTheme="minorEastAsia" w:hAnsiTheme="minorEastAsia" w:eastAsiaTheme="minorEastAsia" w:cstheme="minorEastAsia"/>
          <w:b/>
          <w:color w:val="000000"/>
          <w:spacing w:val="2"/>
          <w:sz w:val="28"/>
          <w:szCs w:val="28"/>
        </w:rPr>
        <w:t>、收入与支出预算执行情况分析</w:t>
      </w:r>
    </w:p>
    <w:p w14:paraId="333CBEB3">
      <w:pPr>
        <w:widowControl/>
        <w:ind w:firstLine="284" w:firstLineChars="100"/>
        <w:rPr>
          <w:rFonts w:hint="eastAsia"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（一）收入支出预算安排情况</w:t>
      </w:r>
    </w:p>
    <w:p w14:paraId="20DBBEF5">
      <w:pPr>
        <w:widowControl/>
        <w:ind w:firstLine="568" w:firstLineChars="200"/>
        <w:rPr>
          <w:rFonts w:hint="eastAsia"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2019年财政收入预算数818336，其中人员经费485397元，公用经费332939元, 2019年财政支出预算数818336，其中人员经费485397元，公用经费332939元,, 2018年财政收入预算数1025368元，其中人员经费651377元，公用经费373991元, 2018年财政支出预算数1025368元，其中人员经费651377元，公用经费373991元， 2019年收入预算数安排比上年减少207032元， 2019年支出预算数安排比上年减少207032元。</w:t>
      </w:r>
    </w:p>
    <w:p w14:paraId="5E388BB9">
      <w:pPr>
        <w:widowControl/>
        <w:ind w:firstLine="284" w:firstLineChars="100"/>
        <w:rPr>
          <w:rFonts w:hint="eastAsia"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（二）、收入支出预算执行情况</w:t>
      </w:r>
    </w:p>
    <w:p w14:paraId="3BD6391B">
      <w:pPr>
        <w:widowControl/>
        <w:ind w:firstLine="568" w:firstLineChars="200"/>
        <w:rPr>
          <w:rFonts w:hint="eastAsia"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2019年财政收入预算执行数7415700.65元，其中人员经费925154.05元，公用经费6490546.6元, 2019年财政支出预算执行数7415700.65元，其中人员经费925154.05元，公用经费6490546.6元, 2018年财政收入预算数5188771.96元，其中人员经费939481.62元，公用经费4249290.34元, 2018年财政支出预算数5188771.96元，其中人员经费939481.62元，公用经费4249290.34元2019年收入预算数执行比上年增加2226928.69元，增长率为42.92%， 2019年支出预算数执行比上年增加2226928.69元，增长率为42.92%。</w:t>
      </w:r>
    </w:p>
    <w:p w14:paraId="641046EE">
      <w:pPr>
        <w:widowControl/>
        <w:ind w:firstLine="568" w:firstLineChars="200"/>
        <w:rPr>
          <w:rFonts w:hint="eastAsia"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1、收入支出与预算对比分析</w:t>
      </w:r>
    </w:p>
    <w:p w14:paraId="1910A1B0">
      <w:pPr>
        <w:widowControl/>
        <w:ind w:firstLine="556" w:firstLineChars="196"/>
        <w:rPr>
          <w:rFonts w:hint="eastAsia"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2019年全年总收入7415700.65元,其中</w:t>
      </w:r>
      <w:r>
        <w:rPr>
          <w:rFonts w:hint="eastAsia" w:asciiTheme="minorEastAsia" w:hAnsiTheme="minorEastAsia" w:cstheme="minorEastAsia"/>
          <w:color w:val="000000"/>
          <w:spacing w:val="2"/>
          <w:sz w:val="28"/>
          <w:szCs w:val="28"/>
          <w:lang w:eastAsia="zh-CN"/>
        </w:rPr>
        <w:t>财政拨款</w:t>
      </w:r>
      <w:r>
        <w:rPr>
          <w:rFonts w:hint="eastAsia" w:asciiTheme="minorEastAsia" w:hAnsiTheme="minorEastAsia" w:eastAsiaTheme="minorEastAsia" w:cstheme="minorEastAsia"/>
          <w:color w:val="000000"/>
          <w:spacing w:val="2"/>
          <w:sz w:val="28"/>
          <w:szCs w:val="28"/>
        </w:rPr>
        <w:t>决算收入6455111.39元,其它收入960589.26元, 2019年全年决算总支出7415700.65元,其中</w:t>
      </w:r>
      <w:r>
        <w:rPr>
          <w:rFonts w:hint="eastAsia" w:asciiTheme="minorEastAsia" w:hAnsiTheme="minorEastAsia" w:cstheme="minorEastAsia"/>
          <w:color w:val="000000"/>
          <w:spacing w:val="2"/>
          <w:sz w:val="28"/>
          <w:szCs w:val="28"/>
          <w:lang w:eastAsia="zh-CN"/>
        </w:rPr>
        <w:t>财政拨款</w:t>
      </w:r>
      <w:r>
        <w:rPr>
          <w:rFonts w:hint="eastAsia" w:asciiTheme="minorEastAsia" w:hAnsiTheme="minorEastAsia" w:eastAsiaTheme="minorEastAsia" w:cstheme="minorEastAsia"/>
          <w:color w:val="000000"/>
          <w:spacing w:val="2"/>
          <w:sz w:val="28"/>
          <w:szCs w:val="28"/>
        </w:rPr>
        <w:t>决算支出6455111.39元,其它资金支出960589.26元,2019年财政预算数818336元，财拔决算比预算多5636775.39元,幅度为688.81%,原因为业务增加。</w:t>
      </w:r>
    </w:p>
    <w:p w14:paraId="38E9A1E6">
      <w:pPr>
        <w:spacing w:line="440" w:lineRule="exact"/>
        <w:ind w:firstLine="568" w:firstLineChars="200"/>
        <w:rPr>
          <w:rFonts w:hint="eastAsia"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2、收入支出结构分析</w:t>
      </w:r>
    </w:p>
    <w:p w14:paraId="23224BA9">
      <w:pPr>
        <w:spacing w:line="440" w:lineRule="exact"/>
        <w:ind w:firstLine="568" w:firstLineChars="200"/>
        <w:rPr>
          <w:rFonts w:hint="eastAsia"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1、2019年全年总收入7415700.65元,其中</w:t>
      </w:r>
      <w:r>
        <w:rPr>
          <w:rFonts w:hint="eastAsia" w:asciiTheme="minorEastAsia" w:hAnsiTheme="minorEastAsia" w:cstheme="minorEastAsia"/>
          <w:color w:val="000000"/>
          <w:spacing w:val="2"/>
          <w:sz w:val="28"/>
          <w:szCs w:val="28"/>
          <w:lang w:eastAsia="zh-CN"/>
        </w:rPr>
        <w:t>财政拨款</w:t>
      </w:r>
      <w:r>
        <w:rPr>
          <w:rFonts w:hint="eastAsia" w:asciiTheme="minorEastAsia" w:hAnsiTheme="minorEastAsia" w:eastAsiaTheme="minorEastAsia" w:cstheme="minorEastAsia"/>
          <w:color w:val="000000"/>
          <w:spacing w:val="2"/>
          <w:sz w:val="28"/>
          <w:szCs w:val="28"/>
        </w:rPr>
        <w:t>决算收入6455111.39元,其它收入960589.26元。</w:t>
      </w:r>
    </w:p>
    <w:p w14:paraId="7657D5E0">
      <w:pPr>
        <w:widowControl/>
        <w:ind w:firstLine="556" w:firstLineChars="196"/>
        <w:rPr>
          <w:rFonts w:hint="eastAsia" w:asciiTheme="minorEastAsia" w:hAnsiTheme="minorEastAsia" w:eastAsiaTheme="minorEastAsia" w:cstheme="minorEastAsia"/>
          <w:color w:val="FF0000"/>
          <w:spacing w:val="2"/>
          <w:sz w:val="28"/>
          <w:szCs w:val="28"/>
        </w:rPr>
      </w:pPr>
      <w:r>
        <w:rPr>
          <w:rFonts w:hint="eastAsia" w:asciiTheme="minorEastAsia" w:hAnsiTheme="minorEastAsia" w:eastAsiaTheme="minorEastAsia" w:cstheme="minorEastAsia"/>
          <w:color w:val="000000"/>
          <w:spacing w:val="2"/>
          <w:sz w:val="28"/>
          <w:szCs w:val="28"/>
        </w:rPr>
        <w:t>2、2019年全年总支出7415700.65元，其中</w:t>
      </w:r>
      <w:r>
        <w:rPr>
          <w:rFonts w:hint="eastAsia" w:asciiTheme="minorEastAsia" w:hAnsiTheme="minorEastAsia" w:cstheme="minorEastAsia"/>
          <w:color w:val="000000"/>
          <w:spacing w:val="2"/>
          <w:sz w:val="28"/>
          <w:szCs w:val="28"/>
          <w:lang w:eastAsia="zh-CN"/>
        </w:rPr>
        <w:t>财政拨款</w:t>
      </w:r>
      <w:r>
        <w:rPr>
          <w:rFonts w:hint="eastAsia" w:asciiTheme="minorEastAsia" w:hAnsiTheme="minorEastAsia" w:eastAsiaTheme="minorEastAsia" w:cstheme="minorEastAsia"/>
          <w:color w:val="000000"/>
          <w:spacing w:val="2"/>
          <w:sz w:val="28"/>
          <w:szCs w:val="28"/>
        </w:rPr>
        <w:t>决算总支出6455111.39元，其它资金支出960589.26元，支出按以下分类说明：</w:t>
      </w:r>
      <w:r>
        <w:rPr>
          <w:rFonts w:hint="eastAsia" w:asciiTheme="minorEastAsia" w:hAnsiTheme="minorEastAsia" w:eastAsiaTheme="minorEastAsia" w:cstheme="minorEastAsia"/>
          <w:color w:val="FF0000"/>
          <w:spacing w:val="2"/>
          <w:sz w:val="28"/>
          <w:szCs w:val="28"/>
        </w:rPr>
        <w:t xml:space="preserve"> </w:t>
      </w:r>
    </w:p>
    <w:p w14:paraId="5C446B7F">
      <w:pPr>
        <w:spacing w:line="440" w:lineRule="exact"/>
        <w:ind w:firstLine="568" w:firstLineChars="200"/>
        <w:rPr>
          <w:rFonts w:hint="eastAsia"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（1）支出功能分类：7415700.65元;其中政府办公厅（室）及相关机构事务337950.75元，</w:t>
      </w:r>
      <w:r>
        <w:rPr>
          <w:rFonts w:hint="eastAsia" w:asciiTheme="minorEastAsia" w:hAnsiTheme="minorEastAsia" w:eastAsiaTheme="minorEastAsia" w:cstheme="minorEastAsia"/>
          <w:color w:val="FF0000"/>
          <w:spacing w:val="2"/>
          <w:sz w:val="28"/>
          <w:szCs w:val="28"/>
        </w:rPr>
        <w:t xml:space="preserve"> </w:t>
      </w:r>
      <w:r>
        <w:rPr>
          <w:rFonts w:hint="eastAsia" w:asciiTheme="minorEastAsia" w:hAnsiTheme="minorEastAsia" w:eastAsiaTheme="minorEastAsia" w:cstheme="minorEastAsia"/>
          <w:color w:val="000000"/>
          <w:spacing w:val="2"/>
          <w:sz w:val="28"/>
          <w:szCs w:val="28"/>
        </w:rPr>
        <w:t>文化7077749.9元。</w:t>
      </w:r>
    </w:p>
    <w:p w14:paraId="6D83C33D">
      <w:pPr>
        <w:spacing w:line="440" w:lineRule="exact"/>
        <w:ind w:firstLine="568" w:firstLineChars="200"/>
        <w:rPr>
          <w:rFonts w:hint="eastAsia"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（2）支出性质分类：7415700.65元;其中人员经费925154.05元，公用经费6490546.6元;</w:t>
      </w:r>
      <w:r>
        <w:rPr>
          <w:rFonts w:hint="eastAsia" w:asciiTheme="minorEastAsia" w:hAnsiTheme="minorEastAsia" w:eastAsiaTheme="minorEastAsia" w:cstheme="minorEastAsia"/>
          <w:color w:val="FF0000"/>
          <w:spacing w:val="2"/>
          <w:sz w:val="28"/>
          <w:szCs w:val="28"/>
        </w:rPr>
        <w:t xml:space="preserve"> </w:t>
      </w:r>
    </w:p>
    <w:p w14:paraId="24517997">
      <w:pPr>
        <w:widowControl/>
        <w:ind w:firstLine="556" w:firstLineChars="196"/>
        <w:rPr>
          <w:rFonts w:hint="eastAsia" w:asciiTheme="minorEastAsia" w:hAnsiTheme="minorEastAsia" w:eastAsiaTheme="minorEastAsia" w:cstheme="minorEastAsia"/>
          <w:color w:val="FF0000"/>
          <w:spacing w:val="2"/>
          <w:sz w:val="28"/>
          <w:szCs w:val="28"/>
        </w:rPr>
      </w:pPr>
      <w:r>
        <w:rPr>
          <w:rFonts w:hint="eastAsia" w:asciiTheme="minorEastAsia" w:hAnsiTheme="minorEastAsia" w:eastAsiaTheme="minorEastAsia" w:cstheme="minorEastAsia"/>
          <w:color w:val="000000"/>
          <w:spacing w:val="2"/>
          <w:sz w:val="28"/>
          <w:szCs w:val="28"/>
        </w:rPr>
        <w:t>(3)支出经济分类：7415700.65元;其中工资福利支出925154.05元，商品服务支出6456677.6元，对个人和家庭的补助支出 0元，其它资本性支出33869元。</w:t>
      </w:r>
    </w:p>
    <w:p w14:paraId="16D25172">
      <w:pPr>
        <w:spacing w:line="440" w:lineRule="exact"/>
        <w:ind w:firstLine="568" w:firstLineChars="200"/>
        <w:rPr>
          <w:rFonts w:hint="eastAsia"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3、支出按</w:t>
      </w:r>
      <w:r>
        <w:rPr>
          <w:rFonts w:hint="eastAsia" w:asciiTheme="minorEastAsia" w:hAnsiTheme="minorEastAsia" w:eastAsiaTheme="minorEastAsia" w:cstheme="minorEastAsia"/>
          <w:spacing w:val="2"/>
          <w:sz w:val="28"/>
          <w:szCs w:val="28"/>
        </w:rPr>
        <w:t>经济分类科目</w:t>
      </w:r>
      <w:r>
        <w:rPr>
          <w:rFonts w:hint="eastAsia" w:asciiTheme="minorEastAsia" w:hAnsiTheme="minorEastAsia" w:eastAsiaTheme="minorEastAsia" w:cstheme="minorEastAsia"/>
          <w:color w:val="000000"/>
          <w:spacing w:val="2"/>
          <w:sz w:val="28"/>
          <w:szCs w:val="28"/>
        </w:rPr>
        <w:t>分析</w:t>
      </w:r>
    </w:p>
    <w:p w14:paraId="43EF5517">
      <w:pPr>
        <w:widowControl/>
        <w:ind w:firstLine="556" w:firstLineChars="196"/>
        <w:rPr>
          <w:rFonts w:hint="eastAsia" w:asciiTheme="minorEastAsia" w:hAnsiTheme="minorEastAsia" w:eastAsiaTheme="minorEastAsia" w:cstheme="minorEastAsia"/>
          <w:color w:val="FF0000"/>
          <w:spacing w:val="2"/>
          <w:sz w:val="28"/>
          <w:szCs w:val="28"/>
        </w:rPr>
      </w:pPr>
      <w:r>
        <w:rPr>
          <w:rFonts w:hint="eastAsia" w:asciiTheme="minorEastAsia" w:hAnsiTheme="minorEastAsia" w:eastAsiaTheme="minorEastAsia" w:cstheme="minorEastAsia"/>
          <w:color w:val="000000"/>
          <w:spacing w:val="2"/>
          <w:sz w:val="28"/>
          <w:szCs w:val="28"/>
        </w:rPr>
        <w:t>（1）2019年全年总支出7415700.65元; 其中工资福利支出925154.05元，商品服务支出6456677.6元，对个人和家庭的补助支出 0元，其它资本性支出33869元。</w:t>
      </w:r>
    </w:p>
    <w:p w14:paraId="7AFF0DCB">
      <w:pPr>
        <w:spacing w:line="44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（2）”三公”经费支出情况: 2019年“三公”经费决算总支出0元，其中：公务车运行维护费0元，年初预算数0元，决算数比预算数减少0元，减少幅度为0%；</w:t>
      </w:r>
    </w:p>
    <w:p w14:paraId="663E4F9C">
      <w:pPr>
        <w:spacing w:line="44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公务接待费0元，年初预算数0元，决算数比预算数增加0元，增长幅度为0%；</w:t>
      </w:r>
    </w:p>
    <w:p w14:paraId="65834E3A">
      <w:pPr>
        <w:spacing w:line="44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因公出国（境）费0元，预算数0元，决算数比预算数增加0元，增长幅度为0%；</w:t>
      </w:r>
    </w:p>
    <w:p w14:paraId="009667A6">
      <w:pPr>
        <w:spacing w:line="44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2018年”三公”经费支出情况: 总支出0元，其中：公务车运行维护费0元，公务接待费0元，因公出国（境）费0元。 (3)培训费支出情况：2019年决算培训费0元， 2018年决算培训费0元，增长幅度为0%。</w:t>
      </w:r>
    </w:p>
    <w:p w14:paraId="590421A7">
      <w:pPr>
        <w:widowControl/>
        <w:ind w:firstLine="548" w:firstLineChars="196"/>
        <w:rPr>
          <w:rFonts w:hint="eastAsia"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sz w:val="28"/>
          <w:szCs w:val="28"/>
        </w:rPr>
        <w:t xml:space="preserve">   会议费支出情况：2019年决算会议费0元， 2018年决算培训费0元，增长幅度为0%。</w:t>
      </w:r>
    </w:p>
    <w:p w14:paraId="2ED8447A">
      <w:pPr>
        <w:spacing w:line="440" w:lineRule="exact"/>
        <w:ind w:firstLine="568" w:firstLineChars="200"/>
        <w:rPr>
          <w:rFonts w:hint="eastAsia"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4、财政拨款收入、支出分析</w:t>
      </w:r>
    </w:p>
    <w:p w14:paraId="33EF43F8">
      <w:pPr>
        <w:spacing w:line="440" w:lineRule="exact"/>
        <w:ind w:firstLine="568" w:firstLineChars="200"/>
        <w:rPr>
          <w:rFonts w:hint="eastAsia" w:asciiTheme="minorEastAsia" w:hAnsiTheme="minorEastAsia" w:eastAsiaTheme="minorEastAsia" w:cstheme="minorEastAsia"/>
          <w:color w:val="000000"/>
          <w:spacing w:val="2"/>
          <w:sz w:val="28"/>
          <w:szCs w:val="28"/>
        </w:rPr>
      </w:pPr>
      <w:r>
        <w:rPr>
          <w:rFonts w:hint="eastAsia" w:asciiTheme="minorEastAsia" w:hAnsiTheme="minorEastAsia" w:cstheme="minorEastAsia"/>
          <w:color w:val="000000"/>
          <w:spacing w:val="2"/>
          <w:sz w:val="28"/>
          <w:szCs w:val="28"/>
          <w:lang w:eastAsia="zh-CN"/>
        </w:rPr>
        <w:t>财政拨款</w:t>
      </w:r>
      <w:r>
        <w:rPr>
          <w:rFonts w:hint="eastAsia" w:asciiTheme="minorEastAsia" w:hAnsiTheme="minorEastAsia" w:eastAsiaTheme="minorEastAsia" w:cstheme="minorEastAsia"/>
          <w:color w:val="000000"/>
          <w:spacing w:val="2"/>
          <w:sz w:val="28"/>
          <w:szCs w:val="28"/>
        </w:rPr>
        <w:t xml:space="preserve">决算收入7415700.65元，其中人员经费925154.05元，公用经费6490546.6元。 </w:t>
      </w:r>
    </w:p>
    <w:p w14:paraId="474E7B99">
      <w:pPr>
        <w:spacing w:line="440" w:lineRule="exact"/>
        <w:ind w:firstLine="568" w:firstLineChars="200"/>
        <w:rPr>
          <w:rFonts w:hint="eastAsia"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7415700.65元，其中人员经费925154.05元，公用经费6490546.6元。</w:t>
      </w:r>
    </w:p>
    <w:p w14:paraId="06A8257B">
      <w:pPr>
        <w:widowControl/>
        <w:shd w:val="clear" w:color="auto" w:fill="FFFFFF"/>
        <w:ind w:firstLine="562" w:firstLineChars="200"/>
        <w:jc w:val="left"/>
        <w:rPr>
          <w:rFonts w:hint="eastAsia" w:asciiTheme="minorEastAsia" w:hAnsiTheme="minorEastAsia" w:eastAsiaTheme="minorEastAsia" w:cstheme="minorEastAsia"/>
          <w:b/>
          <w:color w:val="FF6600"/>
          <w:sz w:val="28"/>
          <w:szCs w:val="28"/>
        </w:rPr>
      </w:pPr>
      <w:r>
        <w:rPr>
          <w:rFonts w:hint="eastAsia" w:asciiTheme="minorEastAsia" w:hAnsiTheme="minorEastAsia" w:cstheme="minorEastAsia"/>
          <w:b/>
          <w:sz w:val="28"/>
          <w:szCs w:val="28"/>
          <w:lang w:val="en-US" w:eastAsia="zh-CN"/>
        </w:rPr>
        <w:t>二</w:t>
      </w:r>
      <w:r>
        <w:rPr>
          <w:rFonts w:hint="eastAsia" w:asciiTheme="minorEastAsia" w:hAnsiTheme="minorEastAsia" w:eastAsiaTheme="minorEastAsia" w:cstheme="minorEastAsia"/>
          <w:b/>
          <w:sz w:val="28"/>
          <w:szCs w:val="28"/>
        </w:rPr>
        <w:t>、关于机关运行经费支出说明</w:t>
      </w:r>
    </w:p>
    <w:p w14:paraId="5E8E0C87">
      <w:pPr>
        <w:widowControl/>
        <w:shd w:val="clear" w:color="auto" w:fill="FFFFFF"/>
        <w:ind w:firstLine="710" w:firstLineChars="25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rPr>
        <w:t>2019年</w:t>
      </w:r>
      <w:r>
        <w:rPr>
          <w:rFonts w:hint="eastAsia" w:asciiTheme="minorEastAsia" w:hAnsiTheme="minorEastAsia" w:eastAsiaTheme="minorEastAsia" w:cstheme="minorEastAsia"/>
          <w:sz w:val="28"/>
          <w:szCs w:val="28"/>
        </w:rPr>
        <w:t>机</w:t>
      </w:r>
      <w:r>
        <w:rPr>
          <w:rFonts w:hint="eastAsia" w:asciiTheme="minorEastAsia" w:hAnsiTheme="minorEastAsia" w:eastAsiaTheme="minorEastAsia" w:cstheme="minorEastAsia"/>
          <w:spacing w:val="2"/>
          <w:sz w:val="28"/>
          <w:szCs w:val="28"/>
        </w:rPr>
        <w:t>关运行经费支出5581914.42元, 2018年机关运行经费支出4249290.34元,同比上年增加1332624.08元，同比上年增加31.36%，原因是业务量增加</w:t>
      </w:r>
      <w:r>
        <w:rPr>
          <w:rFonts w:hint="eastAsia" w:asciiTheme="minorEastAsia" w:hAnsiTheme="minorEastAsia" w:eastAsiaTheme="minorEastAsia" w:cstheme="minorEastAsia"/>
          <w:sz w:val="28"/>
          <w:szCs w:val="28"/>
        </w:rPr>
        <w:t>。</w:t>
      </w:r>
    </w:p>
    <w:p w14:paraId="534CFFBF">
      <w:pPr>
        <w:widowControl/>
        <w:ind w:firstLine="562" w:firstLineChars="200"/>
        <w:rPr>
          <w:rFonts w:hint="eastAsia" w:asciiTheme="minorEastAsia" w:hAnsiTheme="minorEastAsia" w:eastAsiaTheme="minorEastAsia" w:cstheme="minorEastAsia"/>
          <w:b/>
          <w:color w:val="FF6600"/>
          <w:sz w:val="28"/>
          <w:szCs w:val="28"/>
        </w:rPr>
      </w:pPr>
      <w:r>
        <w:rPr>
          <w:rFonts w:hint="eastAsia" w:asciiTheme="minorEastAsia" w:hAnsiTheme="minorEastAsia" w:cstheme="minorEastAsia"/>
          <w:b/>
          <w:sz w:val="28"/>
          <w:szCs w:val="28"/>
          <w:lang w:val="en-US" w:eastAsia="zh-CN"/>
        </w:rPr>
        <w:t>三</w:t>
      </w:r>
      <w:r>
        <w:rPr>
          <w:rFonts w:hint="eastAsia" w:asciiTheme="minorEastAsia" w:hAnsiTheme="minorEastAsia" w:eastAsiaTheme="minorEastAsia" w:cstheme="minorEastAsia"/>
          <w:b/>
          <w:sz w:val="28"/>
          <w:szCs w:val="28"/>
        </w:rPr>
        <w:t>、关于政府采购支出说明</w:t>
      </w:r>
    </w:p>
    <w:p w14:paraId="3CD4C642">
      <w:pPr>
        <w:spacing w:line="44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2019年政府采购总支出2255440元，其中政府采购货物支出435440元，政府采购工程支出1200000元，政府采购服务支出620000元。</w:t>
      </w:r>
    </w:p>
    <w:p w14:paraId="32645CAE">
      <w:pPr>
        <w:widowControl/>
        <w:shd w:val="clear" w:color="auto" w:fill="FFFFFF"/>
        <w:ind w:firstLine="562" w:firstLineChars="200"/>
        <w:jc w:val="left"/>
        <w:rPr>
          <w:rFonts w:hint="eastAsia" w:asciiTheme="minorEastAsia" w:hAnsiTheme="minorEastAsia" w:eastAsiaTheme="minorEastAsia" w:cstheme="minorEastAsia"/>
          <w:b/>
          <w:color w:val="FF6600"/>
          <w:sz w:val="28"/>
          <w:szCs w:val="28"/>
        </w:rPr>
      </w:pPr>
      <w:r>
        <w:rPr>
          <w:rFonts w:hint="eastAsia" w:asciiTheme="minorEastAsia" w:hAnsiTheme="minorEastAsia" w:cstheme="minorEastAsia"/>
          <w:b/>
          <w:sz w:val="28"/>
          <w:szCs w:val="28"/>
          <w:lang w:val="en-US" w:eastAsia="zh-CN"/>
        </w:rPr>
        <w:t>四</w:t>
      </w:r>
      <w:r>
        <w:rPr>
          <w:rFonts w:hint="eastAsia" w:asciiTheme="minorEastAsia" w:hAnsiTheme="minorEastAsia" w:eastAsiaTheme="minorEastAsia" w:cstheme="minorEastAsia"/>
          <w:b/>
          <w:sz w:val="28"/>
          <w:szCs w:val="28"/>
        </w:rPr>
        <w:t>、关于国有资产占用情况说明</w:t>
      </w:r>
    </w:p>
    <w:p w14:paraId="032129BD">
      <w:pPr>
        <w:pStyle w:val="9"/>
        <w:ind w:firstLine="840" w:firstLineChars="3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截至2019年12月31日，本单位共有车辆0辆，其中领导干部用车0辆，一般公务用车0辆，一般执法执勤用车0辆，特种专业技术用车0辆，其它用车0辆。</w:t>
      </w:r>
    </w:p>
    <w:p w14:paraId="21BB69A5">
      <w:pPr>
        <w:spacing w:line="440" w:lineRule="exact"/>
        <w:ind w:firstLine="560" w:firstLineChars="200"/>
        <w:rPr>
          <w:rFonts w:hint="eastAsia"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sz w:val="28"/>
          <w:szCs w:val="28"/>
        </w:rPr>
        <w:t>2018年12月31日，本单位共有车辆0辆，其中领导干部用车0辆，一般公务用车0辆，一般执法执勤用车0辆，特种专业技术用车0辆，其它用车0辆。</w:t>
      </w:r>
    </w:p>
    <w:p w14:paraId="7805FEC0">
      <w:pPr>
        <w:spacing w:line="440" w:lineRule="exact"/>
        <w:ind w:firstLine="570" w:firstLineChars="200"/>
        <w:rPr>
          <w:rFonts w:hint="eastAsia" w:asciiTheme="minorEastAsia" w:hAnsiTheme="minorEastAsia" w:eastAsiaTheme="minorEastAsia" w:cstheme="minorEastAsia"/>
          <w:b/>
          <w:color w:val="000000"/>
          <w:spacing w:val="2"/>
          <w:sz w:val="28"/>
          <w:szCs w:val="28"/>
        </w:rPr>
      </w:pPr>
      <w:r>
        <w:rPr>
          <w:rFonts w:hint="eastAsia" w:asciiTheme="minorEastAsia" w:hAnsiTheme="minorEastAsia" w:cstheme="minorEastAsia"/>
          <w:b/>
          <w:color w:val="000000"/>
          <w:spacing w:val="2"/>
          <w:sz w:val="28"/>
          <w:szCs w:val="28"/>
          <w:lang w:val="en-US" w:eastAsia="zh-CN"/>
        </w:rPr>
        <w:t>五</w:t>
      </w:r>
      <w:r>
        <w:rPr>
          <w:rFonts w:hint="eastAsia" w:asciiTheme="minorEastAsia" w:hAnsiTheme="minorEastAsia" w:eastAsiaTheme="minorEastAsia" w:cstheme="minorEastAsia"/>
          <w:b/>
          <w:color w:val="000000"/>
          <w:spacing w:val="2"/>
          <w:sz w:val="28"/>
          <w:szCs w:val="28"/>
        </w:rPr>
        <w:t>、年末结转和结余情况</w:t>
      </w:r>
    </w:p>
    <w:p w14:paraId="5B30EA73">
      <w:pPr>
        <w:spacing w:line="440" w:lineRule="exact"/>
        <w:ind w:firstLine="426" w:firstLineChars="150"/>
        <w:rPr>
          <w:rFonts w:hint="eastAsia"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年末总结余为704235.68元,其中</w:t>
      </w:r>
      <w:r>
        <w:rPr>
          <w:rFonts w:hint="eastAsia" w:asciiTheme="minorEastAsia" w:hAnsiTheme="minorEastAsia" w:cstheme="minorEastAsia"/>
          <w:color w:val="000000"/>
          <w:spacing w:val="2"/>
          <w:sz w:val="28"/>
          <w:szCs w:val="28"/>
          <w:lang w:eastAsia="zh-CN"/>
        </w:rPr>
        <w:t>财政拨款</w:t>
      </w:r>
      <w:r>
        <w:rPr>
          <w:rFonts w:hint="eastAsia" w:asciiTheme="minorEastAsia" w:hAnsiTheme="minorEastAsia" w:eastAsiaTheme="minorEastAsia" w:cstheme="minorEastAsia"/>
          <w:color w:val="000000"/>
          <w:spacing w:val="2"/>
          <w:sz w:val="28"/>
          <w:szCs w:val="28"/>
        </w:rPr>
        <w:t>结余为0元,其它资金结转结余为704235.68元.</w:t>
      </w:r>
    </w:p>
    <w:p w14:paraId="105CF9F4">
      <w:pPr>
        <w:spacing w:line="440" w:lineRule="exact"/>
        <w:ind w:firstLine="570" w:firstLineChars="200"/>
        <w:rPr>
          <w:rFonts w:hint="eastAsia" w:asciiTheme="minorEastAsia" w:hAnsiTheme="minorEastAsia" w:eastAsiaTheme="minorEastAsia" w:cstheme="minorEastAsia"/>
          <w:b/>
          <w:color w:val="FF0000"/>
          <w:spacing w:val="2"/>
          <w:sz w:val="28"/>
          <w:szCs w:val="28"/>
        </w:rPr>
      </w:pPr>
      <w:r>
        <w:rPr>
          <w:rFonts w:hint="eastAsia" w:asciiTheme="minorEastAsia" w:hAnsiTheme="minorEastAsia" w:cstheme="minorEastAsia"/>
          <w:b/>
          <w:color w:val="000000"/>
          <w:spacing w:val="2"/>
          <w:sz w:val="28"/>
          <w:szCs w:val="28"/>
          <w:lang w:val="en-US" w:eastAsia="zh-CN"/>
        </w:rPr>
        <w:t>六</w:t>
      </w:r>
      <w:r>
        <w:rPr>
          <w:rFonts w:hint="eastAsia" w:asciiTheme="minorEastAsia" w:hAnsiTheme="minorEastAsia" w:eastAsiaTheme="minorEastAsia" w:cstheme="minorEastAsia"/>
          <w:b/>
          <w:color w:val="000000"/>
          <w:spacing w:val="2"/>
          <w:sz w:val="28"/>
          <w:szCs w:val="28"/>
        </w:rPr>
        <w:t>、资产负债情况分析</w:t>
      </w:r>
    </w:p>
    <w:p w14:paraId="6435EADF">
      <w:pPr>
        <w:spacing w:line="440" w:lineRule="exact"/>
        <w:ind w:firstLine="710" w:firstLineChars="250"/>
        <w:rPr>
          <w:rFonts w:hint="eastAsia"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(一)资产负债结构情况</w:t>
      </w:r>
    </w:p>
    <w:p w14:paraId="6C28A413">
      <w:pPr>
        <w:spacing w:line="440" w:lineRule="exact"/>
        <w:ind w:firstLine="710" w:firstLineChars="250"/>
        <w:rPr>
          <w:rFonts w:hint="eastAsia"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2019年年末资产总额941729.56元,其中：其他应收款为786.96元，存货0元,固定资产为1090812.95元。2019年负债年末总额621.65元，其中：其他应付款为0元, 资产基金为940942.6元。</w:t>
      </w:r>
    </w:p>
    <w:p w14:paraId="460C4934">
      <w:pPr>
        <w:spacing w:line="440" w:lineRule="exact"/>
        <w:ind w:firstLine="710" w:firstLineChars="250"/>
        <w:rPr>
          <w:rFonts w:hint="eastAsia"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(二)资产负债对比分析</w:t>
      </w:r>
    </w:p>
    <w:p w14:paraId="6D2826A4">
      <w:pPr>
        <w:spacing w:line="440" w:lineRule="exact"/>
        <w:ind w:firstLine="710" w:firstLineChars="250"/>
        <w:rPr>
          <w:rFonts w:hint="eastAsia"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2019年年末资产总额941729.56元,其中：其他应收款为786.96元，存货0元,固定资产为1090812.95元。2019年负债年末总额621.65元，其中：其他应付款为0元, 资产基金为940942.6元。</w:t>
      </w:r>
    </w:p>
    <w:p w14:paraId="62DEC699">
      <w:pPr>
        <w:spacing w:line="440" w:lineRule="exact"/>
        <w:ind w:firstLine="710" w:firstLineChars="250"/>
        <w:rPr>
          <w:rFonts w:hint="eastAsia"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2018年年末资产类总额969494.98元,其中：其他应收款为704849.12元，存货0元,固定资产为264645.86元。2019年负债年末总额613.44元，其中：其他应付款为0元；2019年财政拨款经费结余613.44元，其他资金经费结余704235.68元，, 资产基金为264645.86元。</w:t>
      </w:r>
    </w:p>
    <w:p w14:paraId="6B3AD157">
      <w:pPr>
        <w:spacing w:line="440" w:lineRule="exact"/>
        <w:ind w:firstLine="710" w:firstLineChars="250"/>
        <w:rPr>
          <w:rFonts w:hint="eastAsia"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资产总额2019年比2018年增加27765.42，增加幅度为2.86%，原因是内部加理管理，负责总额2019年比2018年增加8.21减少幅度为1.34%，，原因是业务量增加。</w:t>
      </w:r>
    </w:p>
    <w:p w14:paraId="2E2CF920">
      <w:pPr>
        <w:spacing w:line="440" w:lineRule="exact"/>
        <w:ind w:firstLine="710" w:firstLineChars="250"/>
        <w:rPr>
          <w:rFonts w:hint="eastAsia" w:asciiTheme="minorEastAsia" w:hAnsiTheme="minorEastAsia" w:eastAsiaTheme="minorEastAsia" w:cstheme="minorEastAsia"/>
          <w:color w:val="000000"/>
          <w:spacing w:val="2"/>
          <w:sz w:val="28"/>
          <w:szCs w:val="28"/>
        </w:rPr>
      </w:pPr>
    </w:p>
    <w:p w14:paraId="430076CD">
      <w:pPr>
        <w:spacing w:line="440" w:lineRule="exact"/>
        <w:ind w:firstLine="570" w:firstLineChars="200"/>
        <w:rPr>
          <w:rFonts w:hint="eastAsia" w:asciiTheme="minorEastAsia" w:hAnsiTheme="minorEastAsia" w:eastAsiaTheme="minorEastAsia" w:cstheme="minorEastAsia"/>
          <w:b/>
          <w:color w:val="FF6600"/>
          <w:spacing w:val="2"/>
          <w:sz w:val="28"/>
          <w:szCs w:val="28"/>
        </w:rPr>
      </w:pPr>
      <w:r>
        <w:rPr>
          <w:rFonts w:hint="eastAsia" w:asciiTheme="minorEastAsia" w:hAnsiTheme="minorEastAsia" w:cstheme="minorEastAsia"/>
          <w:b/>
          <w:spacing w:val="2"/>
          <w:sz w:val="28"/>
          <w:szCs w:val="28"/>
          <w:lang w:val="en-US" w:eastAsia="zh-CN"/>
        </w:rPr>
        <w:t>七</w:t>
      </w:r>
      <w:r>
        <w:rPr>
          <w:rFonts w:hint="eastAsia" w:asciiTheme="minorEastAsia" w:hAnsiTheme="minorEastAsia" w:eastAsiaTheme="minorEastAsia" w:cstheme="minorEastAsia"/>
          <w:b/>
          <w:spacing w:val="2"/>
          <w:sz w:val="28"/>
          <w:szCs w:val="28"/>
        </w:rPr>
        <w:t>、决算收支增减变化情况</w:t>
      </w:r>
    </w:p>
    <w:p w14:paraId="2BBC4ED7">
      <w:pPr>
        <w:spacing w:line="440" w:lineRule="exact"/>
        <w:ind w:firstLine="568" w:firstLineChars="200"/>
        <w:rPr>
          <w:rFonts w:hint="eastAsia" w:asciiTheme="minorEastAsia" w:hAnsiTheme="minorEastAsia" w:eastAsiaTheme="minorEastAsia" w:cstheme="minorEastAsia"/>
          <w:spacing w:val="2"/>
          <w:sz w:val="28"/>
          <w:szCs w:val="28"/>
        </w:rPr>
      </w:pPr>
      <w:r>
        <w:rPr>
          <w:rFonts w:hint="eastAsia" w:asciiTheme="minorEastAsia" w:hAnsiTheme="minorEastAsia" w:eastAsiaTheme="minorEastAsia" w:cstheme="minorEastAsia"/>
          <w:spacing w:val="2"/>
          <w:sz w:val="28"/>
          <w:szCs w:val="28"/>
        </w:rPr>
        <w:t>1、收入增减变化情况</w:t>
      </w:r>
    </w:p>
    <w:p w14:paraId="564F081E">
      <w:pPr>
        <w:widowControl/>
        <w:ind w:firstLine="284" w:firstLineChars="100"/>
        <w:rPr>
          <w:rFonts w:hint="eastAsia" w:asciiTheme="minorEastAsia" w:hAnsiTheme="minorEastAsia" w:eastAsiaTheme="minorEastAsia" w:cstheme="minorEastAsia"/>
          <w:spacing w:val="2"/>
          <w:sz w:val="28"/>
          <w:szCs w:val="28"/>
        </w:rPr>
      </w:pPr>
      <w:r>
        <w:rPr>
          <w:rFonts w:hint="eastAsia" w:asciiTheme="minorEastAsia" w:hAnsiTheme="minorEastAsia" w:eastAsiaTheme="minorEastAsia" w:cstheme="minorEastAsia"/>
          <w:spacing w:val="2"/>
          <w:sz w:val="28"/>
          <w:szCs w:val="28"/>
        </w:rPr>
        <w:t>2019年全年总收入7415700.65元,2018年全年总收入5352825.66元，同比上年增加2062874.99元，增长幅度为38.54%，原因是业务量增加。</w:t>
      </w:r>
    </w:p>
    <w:p w14:paraId="0FD06892">
      <w:pPr>
        <w:spacing w:line="440" w:lineRule="exact"/>
        <w:ind w:firstLine="284" w:firstLineChars="100"/>
        <w:rPr>
          <w:rFonts w:hint="eastAsia" w:asciiTheme="minorEastAsia" w:hAnsiTheme="minorEastAsia" w:eastAsiaTheme="minorEastAsia" w:cstheme="minorEastAsia"/>
          <w:spacing w:val="2"/>
          <w:sz w:val="28"/>
          <w:szCs w:val="28"/>
        </w:rPr>
      </w:pPr>
      <w:r>
        <w:rPr>
          <w:rFonts w:hint="eastAsia" w:asciiTheme="minorEastAsia" w:hAnsiTheme="minorEastAsia" w:eastAsiaTheme="minorEastAsia" w:cstheme="minorEastAsia"/>
          <w:spacing w:val="2"/>
          <w:sz w:val="28"/>
          <w:szCs w:val="28"/>
        </w:rPr>
        <w:t>2、支出增减变化情况</w:t>
      </w:r>
    </w:p>
    <w:p w14:paraId="44A0E215">
      <w:pPr>
        <w:widowControl/>
        <w:ind w:firstLine="284" w:firstLineChars="100"/>
        <w:rPr>
          <w:rFonts w:hint="eastAsia" w:asciiTheme="minorEastAsia" w:hAnsiTheme="minorEastAsia" w:eastAsiaTheme="minorEastAsia" w:cstheme="minorEastAsia"/>
          <w:spacing w:val="2"/>
          <w:sz w:val="28"/>
          <w:szCs w:val="28"/>
        </w:rPr>
      </w:pPr>
      <w:r>
        <w:rPr>
          <w:rFonts w:hint="eastAsia" w:asciiTheme="minorEastAsia" w:hAnsiTheme="minorEastAsia" w:eastAsiaTheme="minorEastAsia" w:cstheme="minorEastAsia"/>
          <w:spacing w:val="2"/>
          <w:sz w:val="28"/>
          <w:szCs w:val="28"/>
        </w:rPr>
        <w:t>2019年全年支出7415700.65元,2018年全年总支出5352825.66元，同比上年增加2062874.99元，增长幅度为38.54%，原因是业务量增加。</w:t>
      </w:r>
    </w:p>
    <w:p w14:paraId="5924807C">
      <w:pPr>
        <w:widowControl/>
        <w:ind w:firstLine="284" w:firstLineChars="100"/>
        <w:rPr>
          <w:rFonts w:hint="eastAsia" w:asciiTheme="minorEastAsia" w:hAnsiTheme="minorEastAsia" w:eastAsiaTheme="minorEastAsia" w:cstheme="minorEastAsia"/>
          <w:spacing w:val="2"/>
          <w:sz w:val="28"/>
          <w:szCs w:val="28"/>
        </w:rPr>
      </w:pPr>
    </w:p>
    <w:p w14:paraId="3C03FD3B">
      <w:pPr>
        <w:widowControl/>
        <w:ind w:firstLine="284" w:firstLineChars="100"/>
        <w:rPr>
          <w:rFonts w:hint="eastAsia" w:asciiTheme="minorEastAsia" w:hAnsiTheme="minorEastAsia" w:eastAsiaTheme="minorEastAsia" w:cstheme="minorEastAsia"/>
          <w:spacing w:val="2"/>
          <w:sz w:val="28"/>
          <w:szCs w:val="28"/>
        </w:rPr>
      </w:pPr>
    </w:p>
    <w:p w14:paraId="51E9BCC7">
      <w:pPr>
        <w:widowControl/>
        <w:ind w:firstLine="284" w:firstLineChars="100"/>
        <w:rPr>
          <w:rFonts w:hint="eastAsia" w:asciiTheme="minorEastAsia" w:hAnsiTheme="minorEastAsia" w:eastAsiaTheme="minorEastAsia" w:cstheme="minorEastAsia"/>
          <w:spacing w:val="2"/>
          <w:sz w:val="28"/>
          <w:szCs w:val="28"/>
        </w:rPr>
      </w:pPr>
    </w:p>
    <w:p w14:paraId="089484A6">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rightChars="0" w:firstLine="240" w:firstLineChars="100"/>
        <w:rPr>
          <w:rFonts w:hint="default" w:hAnsi="宋体"/>
          <w:b/>
          <w:bCs/>
          <w:color w:val="000000"/>
          <w:spacing w:val="2"/>
          <w:sz w:val="28"/>
          <w:szCs w:val="28"/>
          <w:lang w:val="en-US"/>
        </w:rPr>
      </w:pPr>
      <w:r>
        <w:rPr>
          <w:rStyle w:val="8"/>
          <w:rFonts w:hint="eastAsia" w:ascii="微软雅黑" w:hAnsi="微软雅黑" w:eastAsia="微软雅黑" w:cs="微软雅黑"/>
          <w:i w:val="0"/>
          <w:caps w:val="0"/>
          <w:color w:val="333333"/>
          <w:spacing w:val="0"/>
          <w:sz w:val="24"/>
          <w:szCs w:val="24"/>
          <w:shd w:val="clear" w:fill="FFFFFF"/>
          <w:lang w:eastAsia="zh-CN"/>
        </w:rPr>
        <w:t>第</w:t>
      </w:r>
      <w:r>
        <w:rPr>
          <w:rStyle w:val="8"/>
          <w:rFonts w:hint="eastAsia" w:ascii="微软雅黑" w:hAnsi="微软雅黑" w:eastAsia="微软雅黑" w:cs="微软雅黑"/>
          <w:i w:val="0"/>
          <w:caps w:val="0"/>
          <w:color w:val="333333"/>
          <w:spacing w:val="0"/>
          <w:sz w:val="24"/>
          <w:szCs w:val="24"/>
          <w:shd w:val="clear" w:fill="FFFFFF"/>
          <w:lang w:val="en-US" w:eastAsia="zh-CN"/>
        </w:rPr>
        <w:t>四</w:t>
      </w:r>
      <w:r>
        <w:rPr>
          <w:rStyle w:val="8"/>
          <w:rFonts w:hint="eastAsia" w:ascii="微软雅黑" w:hAnsi="微软雅黑" w:eastAsia="微软雅黑" w:cs="微软雅黑"/>
          <w:i w:val="0"/>
          <w:caps w:val="0"/>
          <w:color w:val="333333"/>
          <w:spacing w:val="0"/>
          <w:sz w:val="24"/>
          <w:szCs w:val="24"/>
          <w:shd w:val="clear" w:fill="FFFFFF"/>
          <w:lang w:eastAsia="zh-CN"/>
        </w:rPr>
        <w:t>部分</w:t>
      </w:r>
      <w:r>
        <w:rPr>
          <w:rStyle w:val="8"/>
          <w:rFonts w:hint="eastAsia" w:ascii="微软雅黑" w:hAnsi="微软雅黑" w:eastAsia="微软雅黑" w:cs="微软雅黑"/>
          <w:i w:val="0"/>
          <w:caps w:val="0"/>
          <w:color w:val="333333"/>
          <w:spacing w:val="0"/>
          <w:sz w:val="24"/>
          <w:szCs w:val="24"/>
          <w:shd w:val="clear" w:fill="FFFFFF"/>
          <w:lang w:val="en-US" w:eastAsia="zh-CN"/>
        </w:rPr>
        <w:t xml:space="preserve"> 名词解释</w:t>
      </w:r>
    </w:p>
    <w:p w14:paraId="2AB00653">
      <w:pPr>
        <w:ind w:firstLine="710" w:firstLineChars="250"/>
        <w:rPr>
          <w:rFonts w:hint="eastAsia"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（一）财政拨款（补助）：指省级财政当年拨付的资金。</w:t>
      </w:r>
    </w:p>
    <w:p w14:paraId="0C9FA086">
      <w:pPr>
        <w:ind w:firstLine="710" w:firstLineChars="250"/>
        <w:rPr>
          <w:rFonts w:hint="eastAsia"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 xml:space="preserve">（二）事业收入：指事业单位开展专业业务活动及其辅助活动取得的收入。 </w:t>
      </w:r>
      <w:r>
        <w:rPr>
          <w:rFonts w:hint="eastAsia" w:asciiTheme="minorEastAsia" w:hAnsiTheme="minorEastAsia" w:eastAsiaTheme="minorEastAsia" w:cstheme="minorEastAsia"/>
          <w:color w:val="000000"/>
          <w:spacing w:val="2"/>
          <w:sz w:val="28"/>
          <w:szCs w:val="28"/>
        </w:rPr>
        <w:br w:type="textWrapping"/>
      </w:r>
      <w:r>
        <w:rPr>
          <w:rFonts w:hint="eastAsia" w:asciiTheme="minorEastAsia" w:hAnsiTheme="minorEastAsia" w:eastAsiaTheme="minorEastAsia" w:cstheme="minorEastAsia"/>
          <w:color w:val="000000"/>
          <w:spacing w:val="2"/>
          <w:sz w:val="28"/>
          <w:szCs w:val="28"/>
        </w:rPr>
        <w:t xml:space="preserve">　　 （三）其他收入：指预算单位在“财政拨款补助收入”、“事业收入”、“经营收入”以外取得的收入。 </w:t>
      </w:r>
      <w:r>
        <w:rPr>
          <w:rFonts w:hint="eastAsia" w:asciiTheme="minorEastAsia" w:hAnsiTheme="minorEastAsia" w:eastAsiaTheme="minorEastAsia" w:cstheme="minorEastAsia"/>
          <w:color w:val="000000"/>
          <w:spacing w:val="2"/>
          <w:sz w:val="28"/>
          <w:szCs w:val="28"/>
        </w:rPr>
        <w:br w:type="textWrapping"/>
      </w:r>
      <w:r>
        <w:rPr>
          <w:rFonts w:hint="eastAsia" w:asciiTheme="minorEastAsia" w:hAnsiTheme="minorEastAsia" w:eastAsiaTheme="minorEastAsia" w:cstheme="minorEastAsia"/>
          <w:color w:val="000000"/>
          <w:spacing w:val="2"/>
          <w:sz w:val="28"/>
          <w:szCs w:val="28"/>
        </w:rPr>
        <w:t xml:space="preserve">　　 （四）上年结转：指以前年度尚未完成、结转到本年仍按原规定用途继续使用的资金。 </w:t>
      </w:r>
      <w:r>
        <w:rPr>
          <w:rFonts w:hint="eastAsia" w:asciiTheme="minorEastAsia" w:hAnsiTheme="minorEastAsia" w:eastAsiaTheme="minorEastAsia" w:cstheme="minorEastAsia"/>
          <w:color w:val="000000"/>
          <w:spacing w:val="2"/>
          <w:sz w:val="28"/>
          <w:szCs w:val="28"/>
        </w:rPr>
        <w:br w:type="textWrapping"/>
      </w:r>
      <w:r>
        <w:rPr>
          <w:rFonts w:hint="eastAsia" w:asciiTheme="minorEastAsia" w:hAnsiTheme="minorEastAsia" w:eastAsiaTheme="minorEastAsia" w:cstheme="minorEastAsia"/>
          <w:color w:val="000000"/>
          <w:spacing w:val="2"/>
          <w:sz w:val="28"/>
          <w:szCs w:val="28"/>
        </w:rPr>
        <w:t xml:space="preserve">　　 （五）基本支出：指为保障机构正常运转、完成日常工作任务而发生的人员支出和公用支出。 </w:t>
      </w:r>
      <w:r>
        <w:rPr>
          <w:rFonts w:hint="eastAsia" w:asciiTheme="minorEastAsia" w:hAnsiTheme="minorEastAsia" w:eastAsiaTheme="minorEastAsia" w:cstheme="minorEastAsia"/>
          <w:color w:val="000000"/>
          <w:spacing w:val="2"/>
          <w:sz w:val="28"/>
          <w:szCs w:val="28"/>
        </w:rPr>
        <w:br w:type="textWrapping"/>
      </w:r>
      <w:r>
        <w:rPr>
          <w:rFonts w:hint="eastAsia" w:asciiTheme="minorEastAsia" w:hAnsiTheme="minorEastAsia" w:eastAsiaTheme="minorEastAsia" w:cstheme="minorEastAsia"/>
          <w:color w:val="000000"/>
          <w:spacing w:val="2"/>
          <w:sz w:val="28"/>
          <w:szCs w:val="28"/>
        </w:rPr>
        <w:t>　 　（六）项目支出：指为完成特定的行政工作任务或事业发展目标，在基本支出之外发生的各项支出。</w:t>
      </w:r>
    </w:p>
    <w:p w14:paraId="2636B532">
      <w:pPr>
        <w:ind w:firstLine="710" w:firstLineChars="250"/>
        <w:rPr>
          <w:rFonts w:hint="eastAsia"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7DDA4570">
      <w:pPr>
        <w:ind w:firstLine="852" w:firstLineChars="300"/>
        <w:rPr>
          <w:rFonts w:hint="eastAsia"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（八）行政运行（项）：指机关和实行公务员法管理事业单位用于保障机构正常运转的基本支出。</w:t>
      </w:r>
    </w:p>
    <w:p w14:paraId="7EE99134">
      <w:pPr>
        <w:keepNext w:val="0"/>
        <w:keepLines w:val="0"/>
        <w:pageBreakBefore w:val="0"/>
        <w:widowControl w:val="0"/>
        <w:kinsoku/>
        <w:wordWrap/>
        <w:overflowPunct/>
        <w:topLinePunct w:val="0"/>
        <w:autoSpaceDE/>
        <w:autoSpaceDN/>
        <w:bidi w:val="0"/>
        <w:adjustRightInd/>
        <w:snapToGrid/>
        <w:ind w:firstLine="568" w:firstLineChars="200"/>
        <w:textAlignment w:val="auto"/>
        <w:rPr>
          <w:rFonts w:hint="eastAsia" w:asciiTheme="minorEastAsia" w:hAnsiTheme="minorEastAsia" w:eastAsiaTheme="minorEastAsia" w:cstheme="minorEastAsia"/>
          <w:color w:val="000000"/>
          <w:spacing w:val="2"/>
          <w:sz w:val="28"/>
          <w:szCs w:val="28"/>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88469A"/>
    <w:multiLevelType w:val="singleLevel"/>
    <w:tmpl w:val="5888469A"/>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56809"/>
    <w:rsid w:val="05E6137A"/>
    <w:rsid w:val="0664587B"/>
    <w:rsid w:val="09FF39B4"/>
    <w:rsid w:val="0F4E666C"/>
    <w:rsid w:val="10157CA5"/>
    <w:rsid w:val="11411182"/>
    <w:rsid w:val="13FA6E94"/>
    <w:rsid w:val="148202D5"/>
    <w:rsid w:val="1D3216D7"/>
    <w:rsid w:val="219E41B4"/>
    <w:rsid w:val="255E033E"/>
    <w:rsid w:val="27272230"/>
    <w:rsid w:val="27390172"/>
    <w:rsid w:val="2CCE2491"/>
    <w:rsid w:val="2D962062"/>
    <w:rsid w:val="2E06000A"/>
    <w:rsid w:val="2F081AB6"/>
    <w:rsid w:val="319849C2"/>
    <w:rsid w:val="35CD1F9D"/>
    <w:rsid w:val="401A2F36"/>
    <w:rsid w:val="408F5EDF"/>
    <w:rsid w:val="44064590"/>
    <w:rsid w:val="457D21A1"/>
    <w:rsid w:val="475C721C"/>
    <w:rsid w:val="49D83A19"/>
    <w:rsid w:val="50286E9C"/>
    <w:rsid w:val="507C1CF5"/>
    <w:rsid w:val="555023A0"/>
    <w:rsid w:val="57193076"/>
    <w:rsid w:val="61773BFF"/>
    <w:rsid w:val="621B3808"/>
    <w:rsid w:val="63FE3A92"/>
    <w:rsid w:val="67E4782B"/>
    <w:rsid w:val="746766E2"/>
    <w:rsid w:val="74EA7B66"/>
    <w:rsid w:val="76BA545A"/>
    <w:rsid w:val="78186405"/>
    <w:rsid w:val="784C1E5B"/>
    <w:rsid w:val="7C2C219A"/>
    <w:rsid w:val="7D417A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Indent"/>
    <w:basedOn w:val="1"/>
    <w:qFormat/>
    <w:uiPriority w:val="0"/>
    <w:pPr>
      <w:spacing w:line="500" w:lineRule="exact"/>
      <w:ind w:firstLine="640" w:firstLineChars="200"/>
    </w:pPr>
    <w:rPr>
      <w:rFonts w:ascii="宋体"/>
      <w:sz w:val="32"/>
    </w:rPr>
  </w:style>
  <w:style w:type="paragraph" w:styleId="4">
    <w:name w:val="Plain Text"/>
    <w:basedOn w:val="1"/>
    <w:qFormat/>
    <w:uiPriority w:val="0"/>
    <w:rPr>
      <w:rFonts w:ascii="宋体" w:hAnsi="Courier New" w:cs="Courier New"/>
      <w:szCs w:val="21"/>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正文缩进 + 首行缩进:  2 字符"/>
    <w:basedOn w:val="1"/>
    <w:qFormat/>
    <w:uiPriority w:val="0"/>
    <w:pPr>
      <w:spacing w:line="560" w:lineRule="exact"/>
      <w:ind w:firstLine="640"/>
    </w:pPr>
    <w:rPr>
      <w:rFonts w:ascii="仿宋" w:hAnsi="仿宋" w:cs="宋体"/>
      <w:sz w:val="32"/>
      <w:szCs w:val="32"/>
    </w:rPr>
  </w:style>
  <w:style w:type="character" w:customStyle="1" w:styleId="10">
    <w:name w:val="ca-2"/>
    <w:basedOn w:val="7"/>
    <w:qFormat/>
    <w:uiPriority w:val="0"/>
  </w:style>
  <w:style w:type="paragraph" w:customStyle="1" w:styleId="11">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12">
    <w:name w:val="ca-3"/>
    <w:basedOn w:val="7"/>
    <w:qFormat/>
    <w:uiPriority w:val="0"/>
  </w:style>
  <w:style w:type="character" w:customStyle="1" w:styleId="13">
    <w:name w:val="apple-converted-space"/>
    <w:basedOn w:val="7"/>
    <w:qFormat/>
    <w:uiPriority w:val="99"/>
  </w:style>
  <w:style w:type="paragraph" w:customStyle="1" w:styleId="14">
    <w:name w:val="pa-1"/>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3871</Words>
  <Characters>4811</Characters>
  <Lines>0</Lines>
  <Paragraphs>0</Paragraphs>
  <TotalTime>0</TotalTime>
  <ScaleCrop>false</ScaleCrop>
  <LinksUpToDate>false</LinksUpToDate>
  <CharactersWithSpaces>4865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gg</dc:creator>
  <cp:lastModifiedBy>英甾</cp:lastModifiedBy>
  <dcterms:modified xsi:type="dcterms:W3CDTF">2024-12-17T02:23:57Z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CD4F8C44F744400187A973E52152A645_13</vt:lpwstr>
  </property>
</Properties>
</file>