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8298D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bookmarkStart w:id="0" w:name="_GoBack"/>
      <w:r>
        <w:rPr>
          <w:rFonts w:hint="eastAsia" w:ascii="微软雅黑" w:hAnsi="微软雅黑" w:eastAsia="微软雅黑" w:cs="微软雅黑"/>
          <w:b/>
          <w:i w:val="0"/>
          <w:caps w:val="0"/>
          <w:color w:val="BC1010"/>
          <w:spacing w:val="0"/>
          <w:sz w:val="40"/>
          <w:szCs w:val="40"/>
          <w:shd w:val="clear" w:fill="FFFFFF"/>
          <w:lang w:eastAsia="zh-CN"/>
        </w:rPr>
        <w:t>文旅局</w:t>
      </w:r>
      <w:r>
        <w:rPr>
          <w:rFonts w:hint="eastAsia" w:ascii="微软雅黑" w:hAnsi="微软雅黑" w:eastAsia="微软雅黑" w:cs="微软雅黑"/>
          <w:b/>
          <w:i w:val="0"/>
          <w:caps w:val="0"/>
          <w:color w:val="BC1010"/>
          <w:spacing w:val="0"/>
          <w:sz w:val="40"/>
          <w:szCs w:val="40"/>
          <w:shd w:val="clear" w:fill="FFFFFF"/>
        </w:rPr>
        <w:t>201</w:t>
      </w:r>
      <w:r>
        <w:rPr>
          <w:rFonts w:hint="eastAsia" w:ascii="微软雅黑" w:hAnsi="微软雅黑" w:eastAsia="微软雅黑" w:cs="微软雅黑"/>
          <w:b/>
          <w:i w:val="0"/>
          <w:caps w:val="0"/>
          <w:color w:val="BC1010"/>
          <w:spacing w:val="0"/>
          <w:sz w:val="40"/>
          <w:szCs w:val="40"/>
          <w:shd w:val="clear" w:fill="FFFFFF"/>
          <w:lang w:val="en-US" w:eastAsia="zh-CN"/>
        </w:rPr>
        <w:t>8</w:t>
      </w:r>
      <w:r>
        <w:rPr>
          <w:rFonts w:hint="eastAsia" w:ascii="微软雅黑" w:hAnsi="微软雅黑" w:eastAsia="微软雅黑" w:cs="微软雅黑"/>
          <w:b/>
          <w:i w:val="0"/>
          <w:caps w:val="0"/>
          <w:color w:val="BC1010"/>
          <w:spacing w:val="0"/>
          <w:sz w:val="40"/>
          <w:szCs w:val="40"/>
          <w:shd w:val="clear" w:fill="FFFFFF"/>
        </w:rPr>
        <w:t>年决算公开</w:t>
      </w:r>
    </w:p>
    <w:bookmarkEnd w:id="0"/>
    <w:p w14:paraId="0CC71D3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黄石港区文</w:t>
      </w:r>
      <w:r>
        <w:rPr>
          <w:rStyle w:val="8"/>
          <w:rFonts w:hint="eastAsia" w:ascii="微软雅黑" w:hAnsi="微软雅黑" w:eastAsia="微软雅黑" w:cs="微软雅黑"/>
          <w:i w:val="0"/>
          <w:caps w:val="0"/>
          <w:color w:val="333333"/>
          <w:spacing w:val="0"/>
          <w:sz w:val="24"/>
          <w:szCs w:val="24"/>
          <w:shd w:val="clear" w:fill="FFFFFF"/>
          <w:lang w:val="en-US" w:eastAsia="zh-CN"/>
        </w:rPr>
        <w:t>旅</w:t>
      </w:r>
      <w:r>
        <w:rPr>
          <w:rStyle w:val="8"/>
          <w:rFonts w:hint="eastAsia" w:ascii="微软雅黑" w:hAnsi="微软雅黑" w:eastAsia="微软雅黑" w:cs="微软雅黑"/>
          <w:i w:val="0"/>
          <w:caps w:val="0"/>
          <w:color w:val="333333"/>
          <w:spacing w:val="0"/>
          <w:sz w:val="24"/>
          <w:szCs w:val="24"/>
          <w:shd w:val="clear" w:fill="FFFFFF"/>
          <w:lang w:eastAsia="zh-CN"/>
        </w:rPr>
        <w:t>局</w:t>
      </w: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年决算公开</w:t>
      </w:r>
    </w:p>
    <w:p w14:paraId="239D617E">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14:paraId="1EA58E3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第一部分:部门基本情况</w:t>
      </w:r>
    </w:p>
    <w:p w14:paraId="7909076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一、部门主要职责</w:t>
      </w:r>
    </w:p>
    <w:p w14:paraId="77B5D0FE">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二、部门决算单位构成</w:t>
      </w:r>
    </w:p>
    <w:p w14:paraId="416E62D4">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第二部分: 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年部门决算表</w:t>
      </w:r>
    </w:p>
    <w:p w14:paraId="505540D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一、收入支出决算总表（表1）</w:t>
      </w:r>
    </w:p>
    <w:p w14:paraId="507E7637">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二、收入决算表（表2）</w:t>
      </w:r>
    </w:p>
    <w:p w14:paraId="5B36841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三、支出决算表（表3）</w:t>
      </w:r>
    </w:p>
    <w:p w14:paraId="6FFCB432">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四、财政拨款收入支出决算总表（表4）</w:t>
      </w:r>
    </w:p>
    <w:p w14:paraId="4860F0D6">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五、一般公共预算财政拨款支出决算表（表5）</w:t>
      </w:r>
    </w:p>
    <w:p w14:paraId="61561E62">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六、一般公共预算财政拨款基本支出决算表（表6）</w:t>
      </w:r>
    </w:p>
    <w:p w14:paraId="1526F41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七、一般公共预算财政拨款“三公”经费支出决算表（表7）</w:t>
      </w:r>
    </w:p>
    <w:p w14:paraId="37D65447">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八、政府性基金预算财政拨款收入支出决算表（8）</w:t>
      </w:r>
    </w:p>
    <w:p w14:paraId="7D7ECDBB">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第三部分：部门201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年部门决算情况说明</w:t>
      </w:r>
    </w:p>
    <w:p w14:paraId="6439763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14:paraId="3664C24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14:paraId="09107F81">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14:paraId="1638241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14:paraId="2462FCB7">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14:paraId="50B16DC9">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14:paraId="548786D3">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第四部分：名词解释 </w:t>
      </w:r>
    </w:p>
    <w:p w14:paraId="16567B6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8"/>
          <w:rFonts w:hint="eastAsia" w:ascii="微软雅黑" w:hAnsi="微软雅黑" w:eastAsia="微软雅黑" w:cs="微软雅黑"/>
          <w:i w:val="0"/>
          <w:caps w:val="0"/>
          <w:color w:val="333333"/>
          <w:spacing w:val="0"/>
          <w:sz w:val="24"/>
          <w:szCs w:val="24"/>
          <w:shd w:val="clear" w:fill="FFFFFF"/>
        </w:rPr>
      </w:pPr>
    </w:p>
    <w:p w14:paraId="66A942E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年部门决算</w:t>
      </w:r>
    </w:p>
    <w:p w14:paraId="57E0BE4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第一部分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8"/>
          <w:rFonts w:hint="eastAsia" w:ascii="微软雅黑" w:hAnsi="微软雅黑" w:eastAsia="微软雅黑" w:cs="微软雅黑"/>
          <w:i w:val="0"/>
          <w:caps w:val="0"/>
          <w:color w:val="333333"/>
          <w:spacing w:val="0"/>
          <w:sz w:val="24"/>
          <w:szCs w:val="24"/>
          <w:shd w:val="clear" w:fill="FFFFFF"/>
        </w:rPr>
        <w:t>部门概况</w:t>
      </w:r>
    </w:p>
    <w:p w14:paraId="5A786F06">
      <w:pPr>
        <w:widowControl/>
        <w:shd w:val="clear" w:color="auto" w:fill="FFFFFF"/>
        <w:ind w:firstLine="480"/>
        <w:jc w:val="left"/>
        <w:rPr>
          <w:rFonts w:hint="eastAsia" w:ascii="宋体" w:hAnsi="宋体" w:cs="宋体"/>
          <w:color w:val="333333"/>
          <w:kern w:val="0"/>
          <w:sz w:val="28"/>
          <w:szCs w:val="28"/>
          <w:lang w:eastAsia="zh-CN"/>
        </w:rPr>
      </w:pPr>
      <w:r>
        <w:rPr>
          <w:rFonts w:hint="eastAsia" w:ascii="宋体" w:hAnsi="宋体" w:cs="宋体"/>
          <w:color w:val="333333"/>
          <w:kern w:val="0"/>
          <w:sz w:val="28"/>
          <w:szCs w:val="28"/>
        </w:rPr>
        <w:t>（一）主要</w:t>
      </w:r>
      <w:r>
        <w:rPr>
          <w:rFonts w:hint="eastAsia" w:ascii="宋体" w:hAnsi="宋体" w:cs="宋体"/>
          <w:color w:val="333333"/>
          <w:kern w:val="0"/>
          <w:sz w:val="28"/>
          <w:szCs w:val="28"/>
          <w:lang w:eastAsia="zh-CN"/>
        </w:rPr>
        <w:t>职能</w:t>
      </w:r>
    </w:p>
    <w:p w14:paraId="2C490DC6">
      <w:pPr>
        <w:keepNext w:val="0"/>
        <w:keepLines w:val="0"/>
        <w:pageBreakBefore w:val="0"/>
        <w:widowControl/>
        <w:shd w:val="clear" w:color="auto" w:fill="FFFFFF"/>
        <w:kinsoku/>
        <w:wordWrap/>
        <w:overflowPunct/>
        <w:topLinePunct w:val="0"/>
        <w:autoSpaceDE/>
        <w:autoSpaceDN/>
        <w:bidi w:val="0"/>
        <w:adjustRightInd/>
        <w:snapToGrid/>
        <w:ind w:firstLine="560" w:firstLineChars="200"/>
        <w:jc w:val="left"/>
        <w:textAlignment w:val="auto"/>
        <w:rPr>
          <w:rFonts w:hint="eastAsia" w:ascii="宋体" w:hAnsi="宋体" w:cs="宋体"/>
          <w:color w:val="333333"/>
          <w:kern w:val="0"/>
          <w:sz w:val="28"/>
          <w:szCs w:val="28"/>
        </w:rPr>
      </w:pPr>
      <w:r>
        <w:rPr>
          <w:rFonts w:hint="eastAsia" w:ascii="宋体" w:hAnsi="宋体" w:cs="宋体"/>
          <w:color w:val="333333"/>
          <w:kern w:val="0"/>
          <w:sz w:val="28"/>
          <w:szCs w:val="28"/>
        </w:rPr>
        <w:t>整合的职能</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将原区卫生文化体育局承担的文化、体育的职责整体划入区文化体育局</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下放的职能</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娱乐场所设立许可，互联网上网服务营业场所的设立、变更审批职能。</w:t>
      </w:r>
    </w:p>
    <w:p w14:paraId="69BAD8A6">
      <w:pPr>
        <w:widowControl/>
        <w:shd w:val="clear" w:color="auto" w:fill="FFFFFF"/>
        <w:ind w:firstLine="480"/>
        <w:jc w:val="left"/>
        <w:rPr>
          <w:rFonts w:hint="eastAsia" w:ascii="宋体" w:hAnsi="宋体" w:cs="宋体"/>
          <w:color w:val="333333"/>
          <w:kern w:val="0"/>
          <w:sz w:val="28"/>
          <w:szCs w:val="28"/>
        </w:rPr>
      </w:pPr>
      <w:r>
        <w:rPr>
          <w:rFonts w:hint="eastAsia" w:ascii="宋体" w:hAnsi="宋体" w:cs="宋体"/>
          <w:color w:val="333333"/>
          <w:kern w:val="0"/>
          <w:sz w:val="28"/>
          <w:szCs w:val="28"/>
          <w:lang w:val="en-US" w:eastAsia="zh-CN"/>
        </w:rPr>
        <w:t>（二）</w:t>
      </w:r>
      <w:r>
        <w:rPr>
          <w:rFonts w:hint="eastAsia" w:ascii="宋体" w:hAnsi="宋体" w:cs="宋体"/>
          <w:color w:val="333333"/>
          <w:kern w:val="0"/>
          <w:sz w:val="28"/>
          <w:szCs w:val="28"/>
        </w:rPr>
        <w:t>主要职责</w:t>
      </w:r>
    </w:p>
    <w:p w14:paraId="64BD4149">
      <w:pPr>
        <w:widowControl/>
        <w:shd w:val="clear" w:color="auto" w:fill="FFFFFF"/>
        <w:ind w:firstLine="480"/>
        <w:jc w:val="left"/>
        <w:rPr>
          <w:rFonts w:hint="eastAsia" w:ascii="宋体" w:hAnsi="宋体" w:cs="宋体"/>
          <w:color w:val="333333"/>
          <w:kern w:val="0"/>
          <w:sz w:val="28"/>
          <w:szCs w:val="28"/>
        </w:rPr>
      </w:pPr>
      <w:r>
        <w:rPr>
          <w:rFonts w:hint="eastAsia" w:ascii="宋体" w:hAnsi="宋体" w:cs="宋体"/>
          <w:color w:val="333333"/>
          <w:kern w:val="0"/>
          <w:sz w:val="28"/>
          <w:szCs w:val="28"/>
        </w:rPr>
        <w:t>贯彻执行党中央、国务院关于文化、体育工作的路线、方针、政策，组织实施文化、体育工作的政策、法律、法规</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负责全区文化事业、体育工作的管理、指导、监督和服务工作</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组织实施《全民健身计划纲要》、《全民健身条例》，统筹规划全区群众体育发展，负责推行全民健身计划，推动全区国民体质监测和社会体育指导工作队伍制度建设，指导公共体育设施建设，推动体育事业的发展，促进社会主义精神文明建设</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组织群众开展文化活动，积极参与全市重大文化活动。指导文化信息资源共享工程建设工作；指导开展基层群众文化活动；指导社区文化活动室和社区文化活动中心建设</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承办上级交办的其他事项。区文化体育服务中心主要职责：指导艺术创作与生产，推动各门类艺术的发展，组织区群众性大型文化、体育活动。</w:t>
      </w:r>
    </w:p>
    <w:p w14:paraId="5DF2CE7F">
      <w:pPr>
        <w:keepNext w:val="0"/>
        <w:keepLines w:val="0"/>
        <w:pageBreakBefore w:val="0"/>
        <w:widowControl/>
        <w:shd w:val="clear" w:color="auto" w:fill="FFFFFF"/>
        <w:kinsoku/>
        <w:wordWrap/>
        <w:overflowPunct/>
        <w:topLinePunct w:val="0"/>
        <w:autoSpaceDE/>
        <w:autoSpaceDN/>
        <w:bidi w:val="0"/>
        <w:adjustRightInd/>
        <w:snapToGrid/>
        <w:ind w:firstLine="560" w:firstLineChars="200"/>
        <w:jc w:val="left"/>
        <w:textAlignment w:val="auto"/>
        <w:rPr>
          <w:rFonts w:hint="eastAsia" w:ascii="宋体" w:hAnsi="宋体" w:cs="宋体"/>
          <w:color w:val="333333"/>
          <w:kern w:val="0"/>
          <w:sz w:val="28"/>
          <w:szCs w:val="28"/>
        </w:rPr>
      </w:pPr>
    </w:p>
    <w:p w14:paraId="17895DDD">
      <w:pPr>
        <w:widowControl/>
        <w:shd w:val="clear" w:color="auto" w:fill="FFFFFF"/>
        <w:ind w:firstLine="480"/>
        <w:jc w:val="left"/>
        <w:rPr>
          <w:rFonts w:hint="eastAsia" w:ascii="宋体" w:hAnsi="宋体" w:cs="宋体"/>
          <w:color w:val="333333"/>
          <w:kern w:val="0"/>
          <w:sz w:val="28"/>
          <w:szCs w:val="28"/>
        </w:rPr>
      </w:pPr>
      <w:r>
        <w:rPr>
          <w:rFonts w:hint="eastAsia" w:ascii="宋体" w:hAnsi="宋体" w:cs="宋体"/>
          <w:color w:val="333333"/>
          <w:kern w:val="0"/>
          <w:sz w:val="28"/>
          <w:szCs w:val="28"/>
        </w:rPr>
        <w:t>（</w:t>
      </w:r>
      <w:r>
        <w:rPr>
          <w:rFonts w:hint="eastAsia" w:ascii="宋体" w:hAnsi="宋体" w:cs="宋体"/>
          <w:color w:val="333333"/>
          <w:kern w:val="0"/>
          <w:sz w:val="28"/>
          <w:szCs w:val="28"/>
          <w:lang w:eastAsia="zh-CN"/>
        </w:rPr>
        <w:t>三</w:t>
      </w:r>
      <w:r>
        <w:rPr>
          <w:rFonts w:hint="eastAsia" w:ascii="宋体" w:hAnsi="宋体" w:cs="宋体"/>
          <w:color w:val="333333"/>
          <w:kern w:val="0"/>
          <w:sz w:val="28"/>
          <w:szCs w:val="28"/>
        </w:rPr>
        <w:t>）单位基本信息(机构设置等)</w:t>
      </w:r>
    </w:p>
    <w:p w14:paraId="2989F9BA">
      <w:pPr>
        <w:widowControl/>
        <w:shd w:val="clear" w:color="auto" w:fill="FFFFFF"/>
        <w:ind w:firstLine="480"/>
        <w:jc w:val="left"/>
        <w:rPr>
          <w:rFonts w:hint="eastAsia" w:ascii="宋体" w:hAnsi="宋体" w:cs="宋体"/>
          <w:color w:val="333333"/>
          <w:kern w:val="0"/>
          <w:sz w:val="28"/>
          <w:szCs w:val="28"/>
        </w:rPr>
      </w:pPr>
      <w:r>
        <w:rPr>
          <w:rFonts w:hint="eastAsia" w:ascii="宋体" w:hAnsi="宋体" w:cs="宋体"/>
          <w:color w:val="333333"/>
          <w:kern w:val="0"/>
          <w:sz w:val="28"/>
          <w:szCs w:val="28"/>
        </w:rPr>
        <w:t>根据《省编办关于组建市县卫生和计划生育部门的通知》（鄂编办文[2013]132号）、《关于组建县（市、区）卫生和计划生育部门的通知》（黄编办文[2013]54号）和《关于组建黄石港区卫生和计划生育局等机构的批复》（黄编办文[2013]58号）文件精神，设立黄石港区文化体育局，为区政府工作部门。2016年2月黄石港区旅游局挂靠区文化体育局。下设区文化体育服务中心,为区文化体育局管理的副科级事业单位。核定人员编制3名，设领导职数1正（副科级）。</w:t>
      </w:r>
    </w:p>
    <w:p w14:paraId="3596AB0D">
      <w:pPr>
        <w:widowControl/>
        <w:shd w:val="clear" w:color="auto" w:fill="FFFFFF"/>
        <w:ind w:firstLine="480"/>
        <w:jc w:val="left"/>
        <w:rPr>
          <w:rFonts w:hint="eastAsia" w:ascii="宋体" w:hAnsi="宋体" w:cs="宋体"/>
          <w:color w:val="333333"/>
          <w:kern w:val="0"/>
          <w:sz w:val="28"/>
          <w:szCs w:val="28"/>
        </w:rPr>
      </w:pPr>
      <w:r>
        <w:rPr>
          <w:rFonts w:hint="eastAsia" w:ascii="宋体" w:hAnsi="宋体" w:cs="宋体"/>
          <w:color w:val="333333"/>
          <w:kern w:val="0"/>
          <w:sz w:val="28"/>
          <w:szCs w:val="28"/>
          <w:lang w:eastAsia="zh-CN"/>
        </w:rPr>
        <w:t>（四）</w:t>
      </w:r>
      <w:r>
        <w:rPr>
          <w:rFonts w:hint="eastAsia" w:ascii="宋体" w:hAnsi="宋体" w:cs="宋体"/>
          <w:color w:val="333333"/>
          <w:kern w:val="0"/>
          <w:sz w:val="28"/>
          <w:szCs w:val="28"/>
        </w:rPr>
        <w:t>人员情况：</w:t>
      </w:r>
    </w:p>
    <w:p w14:paraId="050BB926">
      <w:pPr>
        <w:widowControl/>
        <w:shd w:val="clear" w:color="auto" w:fill="FFFFFF"/>
        <w:ind w:firstLine="480"/>
        <w:jc w:val="left"/>
        <w:rPr>
          <w:rFonts w:hint="eastAsia" w:ascii="宋体" w:hAnsi="宋体" w:cs="宋体"/>
          <w:color w:val="333333"/>
          <w:kern w:val="0"/>
          <w:sz w:val="28"/>
          <w:szCs w:val="28"/>
        </w:rPr>
      </w:pPr>
      <w:r>
        <w:rPr>
          <w:rFonts w:hint="eastAsia" w:ascii="宋体" w:hAnsi="宋体" w:cs="宋体"/>
          <w:color w:val="333333"/>
          <w:kern w:val="0"/>
          <w:sz w:val="28"/>
          <w:szCs w:val="28"/>
        </w:rPr>
        <w:t>201</w:t>
      </w:r>
      <w:r>
        <w:rPr>
          <w:rFonts w:hint="eastAsia" w:ascii="宋体" w:hAnsi="宋体" w:cs="宋体"/>
          <w:color w:val="333333"/>
          <w:kern w:val="0"/>
          <w:sz w:val="28"/>
          <w:szCs w:val="28"/>
          <w:lang w:val="en-US" w:eastAsia="zh-CN"/>
        </w:rPr>
        <w:t>8</w:t>
      </w:r>
      <w:r>
        <w:rPr>
          <w:rFonts w:hint="eastAsia" w:ascii="宋体" w:hAnsi="宋体" w:cs="宋体"/>
          <w:color w:val="333333"/>
          <w:kern w:val="0"/>
          <w:sz w:val="28"/>
          <w:szCs w:val="28"/>
        </w:rPr>
        <w:t>年文体局工作人员</w:t>
      </w:r>
      <w:r>
        <w:rPr>
          <w:rFonts w:hint="eastAsia" w:ascii="宋体" w:hAnsi="宋体" w:cs="宋体"/>
          <w:color w:val="333333"/>
          <w:kern w:val="0"/>
          <w:sz w:val="28"/>
          <w:szCs w:val="28"/>
          <w:lang w:val="en-US" w:eastAsia="zh-CN"/>
        </w:rPr>
        <w:t>11</w:t>
      </w:r>
      <w:r>
        <w:rPr>
          <w:rFonts w:hint="eastAsia" w:ascii="宋体" w:hAnsi="宋体" w:cs="宋体"/>
          <w:color w:val="333333"/>
          <w:kern w:val="0"/>
          <w:sz w:val="28"/>
          <w:szCs w:val="28"/>
        </w:rPr>
        <w:t>人，其中局长</w:t>
      </w:r>
      <w:r>
        <w:rPr>
          <w:rFonts w:hint="eastAsia" w:ascii="宋体" w:hAnsi="宋体" w:cs="宋体"/>
          <w:color w:val="333333"/>
          <w:kern w:val="0"/>
          <w:sz w:val="28"/>
          <w:szCs w:val="28"/>
          <w:lang w:val="en-US" w:eastAsia="zh-CN"/>
        </w:rPr>
        <w:t>书记</w:t>
      </w:r>
      <w:r>
        <w:rPr>
          <w:rFonts w:hint="eastAsia" w:ascii="宋体" w:hAnsi="宋体" w:cs="宋体"/>
          <w:color w:val="333333"/>
          <w:kern w:val="0"/>
          <w:sz w:val="28"/>
          <w:szCs w:val="28"/>
        </w:rPr>
        <w:t>1人，文体中心主任1人，解除领导职务1人，科员</w:t>
      </w:r>
      <w:r>
        <w:rPr>
          <w:rFonts w:hint="eastAsia" w:ascii="宋体" w:hAnsi="宋体" w:cs="宋体"/>
          <w:color w:val="333333"/>
          <w:kern w:val="0"/>
          <w:sz w:val="28"/>
          <w:szCs w:val="28"/>
          <w:lang w:val="en-US" w:eastAsia="zh-CN"/>
        </w:rPr>
        <w:t>3</w:t>
      </w:r>
      <w:r>
        <w:rPr>
          <w:rFonts w:hint="eastAsia" w:ascii="宋体" w:hAnsi="宋体" w:cs="宋体"/>
          <w:color w:val="333333"/>
          <w:kern w:val="0"/>
          <w:sz w:val="28"/>
          <w:szCs w:val="28"/>
        </w:rPr>
        <w:t>人</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lang w:val="en-US" w:eastAsia="zh-CN"/>
        </w:rPr>
        <w:t>聘用人员2人，“三支一扶”人员3人</w:t>
      </w:r>
      <w:r>
        <w:rPr>
          <w:rFonts w:hint="eastAsia" w:ascii="宋体" w:hAnsi="宋体" w:cs="宋体"/>
          <w:color w:val="333333"/>
          <w:kern w:val="0"/>
          <w:sz w:val="28"/>
          <w:szCs w:val="28"/>
        </w:rPr>
        <w:t>。</w:t>
      </w:r>
    </w:p>
    <w:p w14:paraId="022DCC6D">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14:paraId="7E05EEEC">
      <w:pPr>
        <w:widowControl/>
        <w:shd w:val="clear" w:color="auto" w:fill="FFFFFF"/>
        <w:jc w:val="left"/>
        <w:rPr>
          <w:rFonts w:hint="eastAsia" w:ascii="宋体" w:hAnsi="宋体" w:cs="宋体"/>
          <w:color w:val="333333"/>
          <w:kern w:val="0"/>
          <w:sz w:val="30"/>
          <w:szCs w:val="30"/>
        </w:rPr>
      </w:pPr>
    </w:p>
    <w:p w14:paraId="5DA0B001">
      <w:pPr>
        <w:widowControl/>
        <w:shd w:val="clear" w:color="auto" w:fill="FFFFFF"/>
        <w:jc w:val="left"/>
        <w:rPr>
          <w:rFonts w:hint="eastAsia" w:ascii="宋体" w:hAnsi="宋体" w:cs="宋体"/>
          <w:color w:val="333333"/>
          <w:kern w:val="0"/>
          <w:sz w:val="30"/>
          <w:szCs w:val="30"/>
        </w:rPr>
      </w:pPr>
    </w:p>
    <w:p w14:paraId="4746CCD6">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pPr>
      <w:r>
        <w:rPr>
          <w:rStyle w:val="8"/>
          <w:rFonts w:hint="eastAsia" w:ascii="微软雅黑" w:hAnsi="微软雅黑" w:eastAsia="微软雅黑" w:cs="微软雅黑"/>
          <w:i w:val="0"/>
          <w:caps w:val="0"/>
          <w:color w:val="333333"/>
          <w:spacing w:val="0"/>
          <w:sz w:val="24"/>
          <w:szCs w:val="24"/>
          <w:shd w:val="clear" w:fill="FFFFFF"/>
          <w:lang w:eastAsia="zh-CN"/>
        </w:rPr>
        <w:t>第二部分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部门</w:t>
      </w: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年部门决算</w:t>
      </w:r>
      <w:r>
        <w:rPr>
          <w:rStyle w:val="8"/>
          <w:rFonts w:hint="eastAsia" w:ascii="微软雅黑" w:hAnsi="微软雅黑" w:eastAsia="微软雅黑" w:cs="微软雅黑"/>
          <w:i w:val="0"/>
          <w:caps w:val="0"/>
          <w:color w:val="333333"/>
          <w:spacing w:val="0"/>
          <w:sz w:val="24"/>
          <w:szCs w:val="24"/>
          <w:shd w:val="clear" w:fill="FFFFFF"/>
          <w:lang w:eastAsia="zh-CN"/>
        </w:rPr>
        <w:t>表</w:t>
      </w:r>
      <w:r>
        <w:drawing>
          <wp:inline distT="0" distB="0" distL="114300" distR="114300">
            <wp:extent cx="9002395" cy="4772660"/>
            <wp:effectExtent l="0" t="0" r="8255" b="889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4"/>
                    <a:stretch>
                      <a:fillRect/>
                    </a:stretch>
                  </pic:blipFill>
                  <pic:spPr>
                    <a:xfrm>
                      <a:off x="0" y="0"/>
                      <a:ext cx="9002395" cy="4772660"/>
                    </a:xfrm>
                    <a:prstGeom prst="rect">
                      <a:avLst/>
                    </a:prstGeom>
                    <a:noFill/>
                    <a:ln>
                      <a:noFill/>
                    </a:ln>
                  </pic:spPr>
                </pic:pic>
              </a:graphicData>
            </a:graphic>
          </wp:inline>
        </w:drawing>
      </w:r>
    </w:p>
    <w:p w14:paraId="3FD6B1E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both"/>
      </w:pPr>
      <w:r>
        <w:drawing>
          <wp:inline distT="0" distB="0" distL="114300" distR="114300">
            <wp:extent cx="8612505" cy="2623820"/>
            <wp:effectExtent l="0" t="0" r="17145" b="508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5"/>
                    <a:stretch>
                      <a:fillRect/>
                    </a:stretch>
                  </pic:blipFill>
                  <pic:spPr>
                    <a:xfrm>
                      <a:off x="0" y="0"/>
                      <a:ext cx="8612505" cy="2623820"/>
                    </a:xfrm>
                    <a:prstGeom prst="rect">
                      <a:avLst/>
                    </a:prstGeom>
                    <a:noFill/>
                    <a:ln>
                      <a:noFill/>
                    </a:ln>
                  </pic:spPr>
                </pic:pic>
              </a:graphicData>
            </a:graphic>
          </wp:inline>
        </w:drawing>
      </w:r>
    </w:p>
    <w:p w14:paraId="3FF6AD9B">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pPr>
      <w:r>
        <w:drawing>
          <wp:inline distT="0" distB="0" distL="114300" distR="114300">
            <wp:extent cx="8589010" cy="2343150"/>
            <wp:effectExtent l="0" t="0" r="254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6"/>
                    <a:stretch>
                      <a:fillRect/>
                    </a:stretch>
                  </pic:blipFill>
                  <pic:spPr>
                    <a:xfrm>
                      <a:off x="0" y="0"/>
                      <a:ext cx="8589010" cy="2343150"/>
                    </a:xfrm>
                    <a:prstGeom prst="rect">
                      <a:avLst/>
                    </a:prstGeom>
                    <a:noFill/>
                    <a:ln>
                      <a:noFill/>
                    </a:ln>
                  </pic:spPr>
                </pic:pic>
              </a:graphicData>
            </a:graphic>
          </wp:inline>
        </w:drawing>
      </w:r>
    </w:p>
    <w:p w14:paraId="22CE1C4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pPr>
      <w:r>
        <w:drawing>
          <wp:inline distT="0" distB="0" distL="114300" distR="114300">
            <wp:extent cx="8616950" cy="5268595"/>
            <wp:effectExtent l="0" t="0" r="12700" b="825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7"/>
                    <a:stretch>
                      <a:fillRect/>
                    </a:stretch>
                  </pic:blipFill>
                  <pic:spPr>
                    <a:xfrm>
                      <a:off x="0" y="0"/>
                      <a:ext cx="8616950" cy="5268595"/>
                    </a:xfrm>
                    <a:prstGeom prst="rect">
                      <a:avLst/>
                    </a:prstGeom>
                    <a:noFill/>
                    <a:ln>
                      <a:noFill/>
                    </a:ln>
                  </pic:spPr>
                </pic:pic>
              </a:graphicData>
            </a:graphic>
          </wp:inline>
        </w:drawing>
      </w:r>
    </w:p>
    <w:p w14:paraId="3140F4E9">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pPr>
      <w:r>
        <w:drawing>
          <wp:inline distT="0" distB="0" distL="114300" distR="114300">
            <wp:extent cx="8632190" cy="3657600"/>
            <wp:effectExtent l="0" t="0" r="1651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8"/>
                    <a:stretch>
                      <a:fillRect/>
                    </a:stretch>
                  </pic:blipFill>
                  <pic:spPr>
                    <a:xfrm>
                      <a:off x="0" y="0"/>
                      <a:ext cx="8632190" cy="3657600"/>
                    </a:xfrm>
                    <a:prstGeom prst="rect">
                      <a:avLst/>
                    </a:prstGeom>
                    <a:noFill/>
                    <a:ln>
                      <a:noFill/>
                    </a:ln>
                  </pic:spPr>
                </pic:pic>
              </a:graphicData>
            </a:graphic>
          </wp:inline>
        </w:drawing>
      </w:r>
    </w:p>
    <w:p w14:paraId="427BEF2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drawing>
          <wp:inline distT="0" distB="0" distL="114300" distR="114300">
            <wp:extent cx="8425815" cy="5641975"/>
            <wp:effectExtent l="0" t="0" r="13335" b="1587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9"/>
                    <a:stretch>
                      <a:fillRect/>
                    </a:stretch>
                  </pic:blipFill>
                  <pic:spPr>
                    <a:xfrm>
                      <a:off x="0" y="0"/>
                      <a:ext cx="8425815" cy="5641975"/>
                    </a:xfrm>
                    <a:prstGeom prst="rect">
                      <a:avLst/>
                    </a:prstGeom>
                    <a:noFill/>
                    <a:ln>
                      <a:noFill/>
                    </a:ln>
                  </pic:spPr>
                </pic:pic>
              </a:graphicData>
            </a:graphic>
          </wp:inline>
        </w:drawing>
      </w:r>
    </w:p>
    <w:p w14:paraId="189172B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r>
        <w:drawing>
          <wp:inline distT="0" distB="0" distL="114300" distR="114300">
            <wp:extent cx="8482965" cy="2033905"/>
            <wp:effectExtent l="0" t="0" r="13335" b="444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0"/>
                    <a:stretch>
                      <a:fillRect/>
                    </a:stretch>
                  </pic:blipFill>
                  <pic:spPr>
                    <a:xfrm>
                      <a:off x="0" y="0"/>
                      <a:ext cx="8482965" cy="2033905"/>
                    </a:xfrm>
                    <a:prstGeom prst="rect">
                      <a:avLst/>
                    </a:prstGeom>
                    <a:noFill/>
                    <a:ln>
                      <a:noFill/>
                    </a:ln>
                  </pic:spPr>
                </pic:pic>
              </a:graphicData>
            </a:graphic>
          </wp:inline>
        </w:drawing>
      </w:r>
    </w:p>
    <w:p w14:paraId="77F16DDE">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p>
    <w:p w14:paraId="4C26B7B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8485505" cy="2513330"/>
            <wp:effectExtent l="0" t="0" r="10795" b="127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1"/>
                    <a:stretch>
                      <a:fillRect/>
                    </a:stretch>
                  </pic:blipFill>
                  <pic:spPr>
                    <a:xfrm>
                      <a:off x="0" y="0"/>
                      <a:ext cx="8485505" cy="2513330"/>
                    </a:xfrm>
                    <a:prstGeom prst="rect">
                      <a:avLst/>
                    </a:prstGeom>
                    <a:noFill/>
                    <a:ln>
                      <a:noFill/>
                    </a:ln>
                  </pic:spPr>
                </pic:pic>
              </a:graphicData>
            </a:graphic>
          </wp:inline>
        </w:drawing>
      </w:r>
    </w:p>
    <w:p w14:paraId="19733F1F">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firstLine="240" w:firstLineChars="100"/>
        <w:rPr>
          <w:rFonts w:hint="eastAsia"/>
          <w:color w:val="000000"/>
          <w:spacing w:val="2"/>
          <w:sz w:val="28"/>
          <w:szCs w:val="28"/>
        </w:rPr>
      </w:pPr>
      <w:r>
        <w:rPr>
          <w:rStyle w:val="8"/>
          <w:rFonts w:hint="eastAsia" w:ascii="微软雅黑" w:hAnsi="微软雅黑" w:eastAsia="微软雅黑" w:cs="微软雅黑"/>
          <w:i w:val="0"/>
          <w:caps w:val="0"/>
          <w:color w:val="333333"/>
          <w:spacing w:val="0"/>
          <w:sz w:val="24"/>
          <w:szCs w:val="24"/>
          <w:shd w:val="clear" w:fill="FFFFFF"/>
          <w:lang w:eastAsia="zh-CN"/>
        </w:rPr>
        <w:t>第三部分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年部门决算情况说明</w:t>
      </w:r>
    </w:p>
    <w:p w14:paraId="337D1F44">
      <w:pPr>
        <w:widowControl/>
        <w:shd w:val="clear" w:color="auto" w:fill="FFFFFF"/>
        <w:ind w:firstLine="480"/>
        <w:jc w:val="left"/>
        <w:rPr>
          <w:rFonts w:hint="eastAsia" w:hAnsi="宋体"/>
          <w:b/>
          <w:bCs/>
          <w:color w:val="000000"/>
          <w:spacing w:val="2"/>
          <w:sz w:val="28"/>
          <w:szCs w:val="28"/>
        </w:rPr>
      </w:pPr>
      <w:r>
        <w:rPr>
          <w:rFonts w:hint="eastAsia" w:ascii="宋体" w:hAnsi="宋体" w:cs="宋体"/>
          <w:b/>
          <w:bCs/>
          <w:sz w:val="28"/>
          <w:szCs w:val="28"/>
        </w:rPr>
        <w:t>（一）预算执行情况分析</w:t>
      </w:r>
    </w:p>
    <w:p w14:paraId="2744E69E">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eastAsia="zh-CN"/>
        </w:rPr>
        <w:t>1、收入支出与预算对比分析</w:t>
      </w:r>
    </w:p>
    <w:p w14:paraId="7221449B">
      <w:pPr>
        <w:widowControl/>
        <w:ind w:firstLine="556" w:firstLineChars="196"/>
        <w:rPr>
          <w:rFonts w:hint="eastAsia" w:hAnsi="宋体"/>
          <w:color w:val="000000"/>
          <w:spacing w:val="2"/>
          <w:sz w:val="28"/>
          <w:szCs w:val="28"/>
        </w:rPr>
      </w:pPr>
      <w:r>
        <w:rPr>
          <w:rFonts w:hint="eastAsia" w:ascii="宋体" w:hAnsi="宋体"/>
          <w:color w:val="000000"/>
          <w:spacing w:val="2"/>
          <w:sz w:val="28"/>
          <w:szCs w:val="28"/>
          <w:lang w:eastAsia="zh-CN"/>
        </w:rPr>
        <w:t>2018年全年总收入5352825.66元，其中财政拨款决算收入5188771.96元,其它收入164053.7元， 2018年全年决算总支出5789119.42元，其中财政拨款决算支出5188771.96元,其它资金支出600347.46元，2018年财政预算数1025368元，财拔决算比预算多4163403.93元，幅度为406%，原因为业务增加。</w:t>
      </w:r>
    </w:p>
    <w:p w14:paraId="6851BBC0">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val="en-US" w:eastAsia="zh-CN"/>
        </w:rPr>
        <w:t>2、</w:t>
      </w:r>
      <w:r>
        <w:rPr>
          <w:rFonts w:hint="eastAsia" w:ascii="宋体" w:hAnsi="宋体"/>
          <w:color w:val="000000"/>
          <w:spacing w:val="2"/>
          <w:sz w:val="28"/>
          <w:szCs w:val="28"/>
          <w:lang w:eastAsia="zh-CN"/>
        </w:rPr>
        <w:t>收入支出结构分析</w:t>
      </w:r>
    </w:p>
    <w:p w14:paraId="00B4C1DE">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eastAsia="zh-CN"/>
        </w:rPr>
        <w:t xml:space="preserve">2018年全年总收入5352825.66元,其中财政拨款决算收入5188771.96元,其它收入164053.7元。2018年全年总支出5789119.42元，其中财政拨款决算总支出5188771.96元，其它资金支出600347.46元，支出按以下分类说明： </w:t>
      </w:r>
    </w:p>
    <w:p w14:paraId="562F693B">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eastAsia="zh-CN"/>
        </w:rPr>
        <w:t>①支出功能分类：5789119.42元;其中政府办公厅（室）及相关机构事务600347.46元，文化5087136.96元，体育101635元，其他文化体育与传媒支出101635元；</w:t>
      </w:r>
    </w:p>
    <w:p w14:paraId="6DCFEC12">
      <w:pPr>
        <w:widowControl/>
        <w:ind w:firstLine="556" w:firstLineChars="196"/>
        <w:rPr>
          <w:rFonts w:hint="eastAsia" w:hAnsi="宋体"/>
          <w:color w:val="000000"/>
          <w:spacing w:val="2"/>
          <w:sz w:val="28"/>
          <w:szCs w:val="28"/>
        </w:rPr>
      </w:pPr>
      <w:r>
        <w:rPr>
          <w:rFonts w:hint="eastAsia" w:ascii="宋体" w:hAnsi="宋体"/>
          <w:color w:val="000000"/>
          <w:spacing w:val="2"/>
          <w:sz w:val="28"/>
          <w:szCs w:val="28"/>
          <w:lang w:eastAsia="zh-CN"/>
        </w:rPr>
        <w:t xml:space="preserve">②支出性质分类：5789119.42元;其中人员经费962434.95元，公用经费4826684.47元; </w:t>
      </w:r>
    </w:p>
    <w:p w14:paraId="425A5E5E">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eastAsia="zh-CN"/>
        </w:rPr>
        <w:t>③支出经济分类：5789119.42元;其中工资福利支出962434.95元，商品服务支出4819804.47元，对个人和家庭的补助支出 0元，其它资本性支出 6880元。</w:t>
      </w:r>
    </w:p>
    <w:p w14:paraId="0A471DB1">
      <w:pPr>
        <w:widowControl/>
        <w:shd w:val="clear" w:color="auto" w:fill="FFFFFF"/>
        <w:ind w:firstLine="480"/>
        <w:jc w:val="left"/>
        <w:rPr>
          <w:rFonts w:hint="eastAsia" w:ascii="宋体" w:hAnsi="宋体" w:cs="宋体"/>
          <w:b/>
          <w:bCs/>
          <w:sz w:val="28"/>
          <w:szCs w:val="28"/>
          <w:lang w:eastAsia="zh-CN"/>
        </w:rPr>
      </w:pPr>
      <w:r>
        <w:rPr>
          <w:rFonts w:hint="eastAsia" w:ascii="宋体" w:hAnsi="宋体" w:cs="宋体"/>
          <w:b/>
          <w:bCs/>
          <w:sz w:val="28"/>
          <w:szCs w:val="28"/>
          <w:lang w:eastAsia="zh-CN"/>
        </w:rPr>
        <w:t>（二）关于“三公”经费支出说明</w:t>
      </w:r>
    </w:p>
    <w:p w14:paraId="155586FC">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eastAsia="zh-CN"/>
        </w:rPr>
        <w:t xml:space="preserve"> 2018年“三公”经费决算总支出0元，其中：公务车运行维护费0元，年初预算数0元，决算数比预算数减少0元，减少幅度为0%；公务接待费0元，年初预算数0元，决算数比预算数增加0元，增长幅度为0%；因公出国（境）费0元，预算数0元，决算数比预算数增加0元，增长幅度为0%；</w:t>
      </w:r>
    </w:p>
    <w:p w14:paraId="0B8CA15F">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eastAsia="zh-CN"/>
        </w:rPr>
        <w:t>2017年”三公”经费支出情况: 总支出1287元，其中：公务车运行维护费0元，公务接待费1287元，因公出国（境）费0元。培训费支出情况：2018年决算培训费0元，2017年决算培训费0元，增长幅度为0%。会议费支出情况：2018年决算会议费0元，2017年决算培训费0元，增长幅度为0%。</w:t>
      </w:r>
    </w:p>
    <w:p w14:paraId="65E0D58F">
      <w:pPr>
        <w:widowControl/>
        <w:shd w:val="clear" w:color="auto" w:fill="FFFFFF"/>
        <w:ind w:firstLine="480"/>
        <w:jc w:val="left"/>
        <w:rPr>
          <w:rFonts w:hint="eastAsia" w:ascii="宋体" w:hAnsi="宋体" w:cs="宋体"/>
          <w:b/>
          <w:bCs/>
          <w:sz w:val="28"/>
          <w:szCs w:val="28"/>
          <w:lang w:eastAsia="zh-CN"/>
        </w:rPr>
      </w:pPr>
      <w:r>
        <w:rPr>
          <w:rFonts w:hint="eastAsia" w:ascii="宋体" w:hAnsi="宋体" w:cs="宋体"/>
          <w:b/>
          <w:bCs/>
          <w:sz w:val="28"/>
          <w:szCs w:val="28"/>
          <w:lang w:eastAsia="zh-CN"/>
        </w:rPr>
        <w:t>（三）关于机关运行经费支出说明</w:t>
      </w:r>
    </w:p>
    <w:p w14:paraId="7CA99A6B">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eastAsia="zh-CN"/>
        </w:rPr>
        <w:t>2018年机关运行经费支出4249290.34元, 2017年机关运行经费支出2,595,165.01元,同比上年增加1654125.33元，同比上年增加63.73%，原因是业务量增加。</w:t>
      </w:r>
    </w:p>
    <w:p w14:paraId="19FC3E4F">
      <w:pPr>
        <w:widowControl/>
        <w:shd w:val="clear" w:color="auto" w:fill="FFFFFF"/>
        <w:ind w:firstLine="480"/>
        <w:jc w:val="left"/>
        <w:rPr>
          <w:rFonts w:hint="eastAsia" w:ascii="宋体" w:hAnsi="宋体" w:cs="宋体"/>
          <w:b/>
          <w:bCs/>
          <w:sz w:val="28"/>
          <w:szCs w:val="28"/>
          <w:lang w:eastAsia="zh-CN"/>
        </w:rPr>
      </w:pPr>
      <w:r>
        <w:rPr>
          <w:rFonts w:hint="eastAsia" w:ascii="宋体" w:hAnsi="宋体" w:cs="宋体"/>
          <w:b/>
          <w:bCs/>
          <w:sz w:val="28"/>
          <w:szCs w:val="28"/>
          <w:lang w:eastAsia="zh-CN"/>
        </w:rPr>
        <w:t>（四）关于政府采购支出说明</w:t>
      </w:r>
    </w:p>
    <w:p w14:paraId="63D25F87">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eastAsia="zh-CN"/>
        </w:rPr>
        <w:t>2018年政府采购总支出3427720元，其中政府采购货物支出74850元，政府采购工程支出2875309元，政府采购服务支出522561元。</w:t>
      </w:r>
    </w:p>
    <w:p w14:paraId="54BC9BF9">
      <w:pPr>
        <w:widowControl/>
        <w:shd w:val="clear" w:color="auto" w:fill="FFFFFF"/>
        <w:ind w:firstLine="480"/>
        <w:jc w:val="left"/>
        <w:rPr>
          <w:rFonts w:hint="eastAsia" w:ascii="宋体" w:hAnsi="宋体" w:cs="宋体"/>
          <w:b/>
          <w:bCs/>
          <w:sz w:val="28"/>
          <w:szCs w:val="28"/>
          <w:lang w:eastAsia="zh-CN"/>
        </w:rPr>
      </w:pPr>
      <w:r>
        <w:rPr>
          <w:rFonts w:hint="eastAsia" w:ascii="宋体" w:hAnsi="宋体" w:cs="宋体"/>
          <w:b/>
          <w:bCs/>
          <w:sz w:val="28"/>
          <w:szCs w:val="28"/>
          <w:lang w:eastAsia="zh-CN"/>
        </w:rPr>
        <w:t>（五）关于国有资产占用情况说明</w:t>
      </w:r>
    </w:p>
    <w:p w14:paraId="4775888C">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eastAsia="zh-CN"/>
        </w:rPr>
        <w:t>截至2018年12月31日，本单位共有车辆0辆，其中领导干部用车0辆，一般公务用车0辆，一般执法执勤用车0辆，特种专业技术用车0辆，其它用车0辆。</w:t>
      </w:r>
    </w:p>
    <w:p w14:paraId="2135495C">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eastAsia="zh-CN"/>
        </w:rPr>
        <w:t>2017年12月31日，本单位共有车辆0辆，其中领导干部用车0辆，一般公务用车0辆，一般执法执勤用车0辆，特种专业技术用车0辆，其它用车0辆。</w:t>
      </w:r>
    </w:p>
    <w:p w14:paraId="15205653">
      <w:pPr>
        <w:spacing w:line="560" w:lineRule="exact"/>
        <w:ind w:firstLine="570" w:firstLineChars="200"/>
        <w:rPr>
          <w:rFonts w:hint="eastAsia" w:asciiTheme="minorEastAsia" w:hAnsiTheme="minorEastAsia" w:eastAsiaTheme="minorEastAsia" w:cstheme="minorEastAsia"/>
          <w:b/>
          <w:bCs/>
          <w:color w:val="000000"/>
          <w:spacing w:val="2"/>
          <w:sz w:val="28"/>
          <w:szCs w:val="28"/>
          <w:lang w:val="en-US" w:eastAsia="zh-CN"/>
        </w:rPr>
      </w:pPr>
      <w:r>
        <w:rPr>
          <w:rFonts w:hint="eastAsia" w:asciiTheme="minorEastAsia" w:hAnsiTheme="minorEastAsia" w:eastAsiaTheme="minorEastAsia" w:cstheme="minorEastAsia"/>
          <w:b/>
          <w:bCs/>
          <w:color w:val="000000"/>
          <w:spacing w:val="2"/>
          <w:sz w:val="28"/>
          <w:szCs w:val="28"/>
          <w:lang w:val="en-US" w:eastAsia="zh-CN"/>
        </w:rPr>
        <w:t>（六）重点绩效评价结果等预算绩效情况说明</w:t>
      </w:r>
    </w:p>
    <w:p w14:paraId="33B2C7F7">
      <w:pPr>
        <w:widowControl/>
        <w:ind w:firstLine="556" w:firstLineChars="196"/>
        <w:rPr>
          <w:rFonts w:hint="eastAsia" w:ascii="宋体" w:hAnsi="宋体"/>
          <w:color w:val="000000"/>
          <w:spacing w:val="2"/>
          <w:sz w:val="28"/>
          <w:szCs w:val="28"/>
          <w:lang w:eastAsia="zh-CN"/>
        </w:rPr>
      </w:pPr>
      <w:r>
        <w:rPr>
          <w:rFonts w:hint="eastAsia" w:ascii="宋体" w:hAnsi="宋体"/>
          <w:color w:val="000000"/>
          <w:spacing w:val="2"/>
          <w:sz w:val="28"/>
          <w:szCs w:val="28"/>
          <w:lang w:val="en-US" w:eastAsia="zh-CN"/>
        </w:rPr>
        <w:t>2018年， 根据预算绩效管理要求，我单位组织2018年度一般公共预算项目支出全面开展绩效自评，共涉及项目1个，资金22.5万元。 2018年项目资金投入22.5万元，已使用22.5万元，使用率100%。使用从评价结果看，项目立项程序完整、规范，预算执行及时、有效，绩效目标得到较好实现，绩效管理水平不断提高，绩效指标体系建设逐渐丰富和完善。</w:t>
      </w:r>
    </w:p>
    <w:p w14:paraId="1C033615">
      <w:pPr>
        <w:spacing w:line="440" w:lineRule="exact"/>
        <w:rPr>
          <w:rFonts w:hint="eastAsia"/>
          <w:b/>
          <w:color w:val="000000"/>
          <w:spacing w:val="2"/>
          <w:sz w:val="28"/>
          <w:szCs w:val="28"/>
        </w:rPr>
      </w:pPr>
    </w:p>
    <w:p w14:paraId="2511C6EC">
      <w:pPr>
        <w:spacing w:line="440" w:lineRule="exact"/>
        <w:rPr>
          <w:rFonts w:hint="eastAsia" w:hAnsi="宋体"/>
          <w:b/>
          <w:color w:val="000000"/>
          <w:spacing w:val="2"/>
          <w:sz w:val="28"/>
          <w:szCs w:val="28"/>
        </w:rPr>
      </w:pPr>
    </w:p>
    <w:p w14:paraId="546F233B">
      <w:pPr>
        <w:spacing w:line="440" w:lineRule="exact"/>
        <w:ind w:firstLine="285" w:firstLineChars="100"/>
        <w:rPr>
          <w:rFonts w:hint="eastAsia"/>
          <w:b/>
          <w:color w:val="000000"/>
          <w:spacing w:val="2"/>
          <w:sz w:val="28"/>
          <w:szCs w:val="28"/>
        </w:rPr>
      </w:pPr>
      <w:r>
        <w:rPr>
          <w:rFonts w:hint="eastAsia" w:hAnsi="宋体"/>
          <w:b/>
          <w:color w:val="000000"/>
          <w:spacing w:val="2"/>
          <w:sz w:val="28"/>
          <w:szCs w:val="28"/>
          <w:lang w:eastAsia="zh-CN"/>
        </w:rPr>
        <w:t>第四部分</w:t>
      </w:r>
      <w:r>
        <w:rPr>
          <w:rFonts w:hint="eastAsia" w:hAnsi="宋体"/>
          <w:b/>
          <w:color w:val="000000"/>
          <w:spacing w:val="2"/>
          <w:sz w:val="28"/>
          <w:szCs w:val="28"/>
          <w:lang w:val="en-US" w:eastAsia="zh-CN"/>
        </w:rPr>
        <w:t xml:space="preserve"> </w:t>
      </w:r>
      <w:r>
        <w:rPr>
          <w:rFonts w:hint="eastAsia" w:hAnsi="宋体"/>
          <w:b/>
          <w:color w:val="000000"/>
          <w:spacing w:val="2"/>
          <w:sz w:val="28"/>
          <w:szCs w:val="28"/>
        </w:rPr>
        <w:t>名词解释</w:t>
      </w:r>
    </w:p>
    <w:p w14:paraId="2E4C3229">
      <w:pPr>
        <w:keepNext w:val="0"/>
        <w:keepLines w:val="0"/>
        <w:pageBreakBefore w:val="0"/>
        <w:widowControl w:val="0"/>
        <w:kinsoku/>
        <w:wordWrap/>
        <w:overflowPunct/>
        <w:topLinePunct w:val="0"/>
        <w:autoSpaceDE/>
        <w:autoSpaceDN/>
        <w:bidi w:val="0"/>
        <w:adjustRightInd/>
        <w:snapToGrid/>
        <w:ind w:firstLine="568" w:firstLineChars="200"/>
        <w:textAlignment w:val="auto"/>
        <w:rPr>
          <w:color w:val="000000"/>
          <w:spacing w:val="2"/>
          <w:sz w:val="28"/>
          <w:szCs w:val="28"/>
        </w:rPr>
      </w:pPr>
      <w:r>
        <w:rPr>
          <w:rFonts w:hint="eastAsia"/>
          <w:color w:val="000000"/>
          <w:spacing w:val="2"/>
          <w:sz w:val="28"/>
          <w:szCs w:val="28"/>
        </w:rPr>
        <w:t>（一）财政拨款（补助）：指省级财政当年拨付的资金。</w:t>
      </w:r>
    </w:p>
    <w:p w14:paraId="1AF486D1">
      <w:pPr>
        <w:keepNext w:val="0"/>
        <w:keepLines w:val="0"/>
        <w:pageBreakBefore w:val="0"/>
        <w:widowControl w:val="0"/>
        <w:kinsoku/>
        <w:wordWrap/>
        <w:overflowPunct/>
        <w:topLinePunct w:val="0"/>
        <w:autoSpaceDE/>
        <w:autoSpaceDN/>
        <w:bidi w:val="0"/>
        <w:adjustRightInd/>
        <w:snapToGrid/>
        <w:ind w:left="559" w:leftChars="266" w:firstLine="0" w:firstLineChars="0"/>
        <w:textAlignment w:val="auto"/>
        <w:rPr>
          <w:rFonts w:hint="eastAsia"/>
          <w:color w:val="000000"/>
          <w:spacing w:val="2"/>
          <w:sz w:val="28"/>
          <w:szCs w:val="28"/>
        </w:rPr>
      </w:pPr>
      <w:r>
        <w:rPr>
          <w:rFonts w:hint="eastAsia"/>
          <w:color w:val="000000"/>
          <w:spacing w:val="2"/>
          <w:sz w:val="28"/>
          <w:szCs w:val="28"/>
        </w:rPr>
        <w:t>（二）事业收入：指事业单位开展专业业务活动及其辅助活动取得的收入。</w:t>
      </w:r>
      <w:r>
        <w:rPr>
          <w:color w:val="000000"/>
          <w:spacing w:val="2"/>
          <w:sz w:val="28"/>
          <w:szCs w:val="28"/>
        </w:rPr>
        <w:t xml:space="preserve"> </w:t>
      </w:r>
      <w:r>
        <w:rPr>
          <w:color w:val="000000"/>
          <w:spacing w:val="2"/>
          <w:sz w:val="28"/>
          <w:szCs w:val="28"/>
        </w:rPr>
        <w:br w:type="textWrapping"/>
      </w:r>
      <w:r>
        <w:rPr>
          <w:rFonts w:hint="eastAsia"/>
          <w:color w:val="000000"/>
          <w:spacing w:val="2"/>
          <w:sz w:val="28"/>
          <w:szCs w:val="28"/>
        </w:rPr>
        <w:t>（三）其他收入：指预算单位在“财政拨款补助收入”、“事业收入”、“经营收入”以外取得的收入。</w:t>
      </w:r>
      <w:r>
        <w:rPr>
          <w:color w:val="000000"/>
          <w:spacing w:val="2"/>
          <w:sz w:val="28"/>
          <w:szCs w:val="28"/>
        </w:rPr>
        <w:t xml:space="preserve"> </w:t>
      </w:r>
      <w:r>
        <w:rPr>
          <w:color w:val="000000"/>
          <w:spacing w:val="2"/>
          <w:sz w:val="28"/>
          <w:szCs w:val="28"/>
        </w:rPr>
        <w:br w:type="textWrapping"/>
      </w:r>
      <w:r>
        <w:rPr>
          <w:rFonts w:hint="eastAsia"/>
          <w:color w:val="000000"/>
          <w:spacing w:val="2"/>
          <w:sz w:val="28"/>
          <w:szCs w:val="28"/>
        </w:rPr>
        <w:t>（四）上年结转：指以前年度尚未完成、结转到本年仍按原规定用途继续使用的资金。</w:t>
      </w:r>
      <w:r>
        <w:rPr>
          <w:color w:val="000000"/>
          <w:spacing w:val="2"/>
          <w:sz w:val="28"/>
          <w:szCs w:val="28"/>
        </w:rPr>
        <w:t xml:space="preserve"> </w:t>
      </w:r>
      <w:r>
        <w:rPr>
          <w:color w:val="000000"/>
          <w:spacing w:val="2"/>
          <w:sz w:val="28"/>
          <w:szCs w:val="28"/>
        </w:rPr>
        <w:br w:type="textWrapping"/>
      </w:r>
      <w:r>
        <w:rPr>
          <w:rFonts w:hint="eastAsia"/>
          <w:color w:val="000000"/>
          <w:spacing w:val="2"/>
          <w:sz w:val="28"/>
          <w:szCs w:val="28"/>
        </w:rPr>
        <w:t>（五）基本支出：指为保障机构正常运转、完成日常工作任务而发生的人员支出和公用支出。</w:t>
      </w:r>
      <w:r>
        <w:rPr>
          <w:color w:val="000000"/>
          <w:spacing w:val="2"/>
          <w:sz w:val="28"/>
          <w:szCs w:val="28"/>
        </w:rPr>
        <w:t xml:space="preserve"> </w:t>
      </w:r>
      <w:r>
        <w:rPr>
          <w:color w:val="000000"/>
          <w:spacing w:val="2"/>
          <w:sz w:val="28"/>
          <w:szCs w:val="28"/>
        </w:rPr>
        <w:br w:type="textWrapping"/>
      </w:r>
      <w:r>
        <w:rPr>
          <w:rFonts w:hint="eastAsia"/>
          <w:color w:val="000000"/>
          <w:spacing w:val="2"/>
          <w:sz w:val="28"/>
          <w:szCs w:val="28"/>
        </w:rPr>
        <w:t>（六）项目支出：指为完成特定的行政工作任务或事业发展目标，在基本支出之外发生的各项支出。</w:t>
      </w:r>
    </w:p>
    <w:p w14:paraId="71F055FD">
      <w:pPr>
        <w:keepNext w:val="0"/>
        <w:keepLines w:val="0"/>
        <w:pageBreakBefore w:val="0"/>
        <w:widowControl w:val="0"/>
        <w:kinsoku/>
        <w:wordWrap/>
        <w:overflowPunct/>
        <w:topLinePunct w:val="0"/>
        <w:autoSpaceDE/>
        <w:autoSpaceDN/>
        <w:bidi w:val="0"/>
        <w:adjustRightInd/>
        <w:snapToGrid/>
        <w:ind w:firstLine="568" w:firstLineChars="200"/>
        <w:textAlignment w:val="auto"/>
        <w:rPr>
          <w:rFonts w:hint="eastAsia"/>
          <w:color w:val="000000"/>
          <w:spacing w:val="2"/>
          <w:sz w:val="28"/>
          <w:szCs w:val="28"/>
        </w:rPr>
      </w:pPr>
      <w:r>
        <w:rPr>
          <w:rFonts w:hint="eastAsia"/>
          <w:color w:val="000000"/>
          <w:spacing w:val="2"/>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470BCC3D">
      <w:pPr>
        <w:keepNext w:val="0"/>
        <w:keepLines w:val="0"/>
        <w:pageBreakBefore w:val="0"/>
        <w:widowControl w:val="0"/>
        <w:kinsoku/>
        <w:wordWrap/>
        <w:overflowPunct/>
        <w:topLinePunct w:val="0"/>
        <w:autoSpaceDE/>
        <w:autoSpaceDN/>
        <w:bidi w:val="0"/>
        <w:adjustRightInd/>
        <w:snapToGrid/>
        <w:ind w:firstLine="568" w:firstLineChars="200"/>
        <w:textAlignment w:val="auto"/>
      </w:pPr>
      <w:r>
        <w:rPr>
          <w:rFonts w:hint="eastAsia"/>
          <w:color w:val="000000"/>
          <w:spacing w:val="2"/>
          <w:sz w:val="28"/>
          <w:szCs w:val="28"/>
        </w:rPr>
        <w:t>（</w:t>
      </w:r>
      <w:r>
        <w:rPr>
          <w:rFonts w:hint="eastAsia"/>
          <w:color w:val="000000"/>
          <w:spacing w:val="2"/>
          <w:sz w:val="28"/>
          <w:szCs w:val="28"/>
          <w:lang w:val="en-US" w:eastAsia="zh-CN"/>
        </w:rPr>
        <w:t>八</w:t>
      </w:r>
      <w:r>
        <w:rPr>
          <w:rFonts w:hint="eastAsia"/>
          <w:color w:val="000000"/>
          <w:spacing w:val="2"/>
          <w:sz w:val="28"/>
          <w:szCs w:val="28"/>
        </w:rPr>
        <w:t>）行政运行（项）：指机关和实行公务员法管理事业单位用于保障机构正常运转的基本支出。</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664587B"/>
    <w:rsid w:val="09FF39B4"/>
    <w:rsid w:val="10157CA5"/>
    <w:rsid w:val="11411182"/>
    <w:rsid w:val="13FA6E94"/>
    <w:rsid w:val="148202D5"/>
    <w:rsid w:val="1D3216D7"/>
    <w:rsid w:val="219E41B4"/>
    <w:rsid w:val="255E033E"/>
    <w:rsid w:val="27272230"/>
    <w:rsid w:val="27390172"/>
    <w:rsid w:val="2CCE2491"/>
    <w:rsid w:val="2E06000A"/>
    <w:rsid w:val="2F081AB6"/>
    <w:rsid w:val="35CD1F9D"/>
    <w:rsid w:val="401A2F36"/>
    <w:rsid w:val="408F5EDF"/>
    <w:rsid w:val="40BE403E"/>
    <w:rsid w:val="44064590"/>
    <w:rsid w:val="457D21A1"/>
    <w:rsid w:val="475C721C"/>
    <w:rsid w:val="49D83A19"/>
    <w:rsid w:val="4BBD3510"/>
    <w:rsid w:val="507C1CF5"/>
    <w:rsid w:val="57193076"/>
    <w:rsid w:val="61773BFF"/>
    <w:rsid w:val="621B3808"/>
    <w:rsid w:val="63FE3A92"/>
    <w:rsid w:val="67E4782B"/>
    <w:rsid w:val="746766E2"/>
    <w:rsid w:val="74EA7B66"/>
    <w:rsid w:val="78186405"/>
    <w:rsid w:val="784C1E5B"/>
    <w:rsid w:val="7C2C219A"/>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paragraph" w:customStyle="1" w:styleId="9">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0">
    <w:name w:val="ca-2"/>
    <w:basedOn w:val="7"/>
    <w:qFormat/>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7"/>
    <w:qFormat/>
    <w:uiPriority w:val="0"/>
  </w:style>
  <w:style w:type="character" w:customStyle="1" w:styleId="13">
    <w:name w:val="apple-converted-space"/>
    <w:basedOn w:val="7"/>
    <w:qFormat/>
    <w:uiPriority w:val="99"/>
  </w:style>
  <w:style w:type="paragraph" w:customStyle="1" w:styleId="14">
    <w:name w:val="pa-1"/>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2566</Words>
  <Characters>2966</Characters>
  <Lines>0</Lines>
  <Paragraphs>0</Paragraphs>
  <TotalTime>1</TotalTime>
  <ScaleCrop>false</ScaleCrop>
  <LinksUpToDate>false</LinksUpToDate>
  <CharactersWithSpaces>2989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英甾</cp:lastModifiedBy>
  <dcterms:modified xsi:type="dcterms:W3CDTF">2025-02-12T02:31:11Z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eyJoZGlkIjoiMmEwODY1NTVkYWU2MmY3ZjA1NmUwM2E0YmM4MzhhNTAiLCJ1c2VySWQiOiIyNjYwNzM2MzQifQ==</vt:lpwstr>
  </property>
  <property fmtid="{D5CDD505-2E9C-101B-9397-08002B2CF9AE}" pid="4" name="ICV">
    <vt:lpwstr>FEF84C114C414942B71F509F332581B3_13</vt:lpwstr>
  </property>
</Properties>
</file>