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卫健局2019年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黄石港区卫健局（本级）2019年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cstheme="minorEastAsia"/>
          <w:b w:val="0"/>
          <w:bCs w:val="0"/>
          <w:kern w:val="0"/>
          <w:sz w:val="28"/>
          <w:szCs w:val="28"/>
          <w:lang w:eastAsia="zh-CN"/>
        </w:rPr>
      </w:pPr>
      <w:r>
        <w:rPr>
          <w:rFonts w:hint="eastAsia" w:asciiTheme="minorEastAsia" w:hAnsiTheme="minorEastAsia" w:cstheme="minorEastAsia"/>
          <w:b w:val="0"/>
          <w:bCs w:val="0"/>
          <w:kern w:val="0"/>
          <w:sz w:val="28"/>
          <w:szCs w:val="28"/>
          <w:lang w:eastAsia="zh-CN"/>
        </w:rPr>
        <w:t>黄石市黄石港区卫生健康局是形式贯彻执行党和国家以及市委、市政府有关的部门。主要职能：贯彻落实省、市关于卫生和计划生育工作的方针政策和法律法规。负责协调推进全区医药卫生体制改革和医疗保障，统筹规划全区卫生和计划生育服务资源配置，指导区域卫生和计划生育规划的编制和实施。负责制定全区疾病预防控制规划、免疫规划、严重危害人民健康的公共卫生问题的干预措施，并组织落实。根据国家检疫传染病和监测传染病目录，制定全区卫生应急、突发公共卫生事件监测和风险评估计划，组织和指导全区突发公共卫生事件预防控制和各类突发公共事件的医疗卫生救援，发布法定报告传染病疫情信息、突发公共卫生事件应急处置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全区现有社区卫生服务机构16家，其中：社区卫生服务中心5家，社区卫生服务站11家。根据国家、省、市推进医联体改革有关要求，2015年6月爱康医院托管沈家营社区卫生服务中心，2017年11月鄂东医疗集团市中心医院托管黄石港社区卫生服务中心。同时，胜阳港社区卫生服务中心隶属鄂东医养集团市二医院、红旗桥社区卫生服务中心隶属鄂东医疗集团市中心医院，花湖社区卫生服务中心系民营机构、与普仁医院建立了技术协作关系。文化宫、武汉路、黄印、江北和天虹等5家社区卫生服务站均为民营机构，其余社区卫生服务站隶属二级医疗机构或企业。</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cstheme="minorEastAsia"/>
          <w:kern w:val="0"/>
          <w:sz w:val="28"/>
          <w:szCs w:val="28"/>
          <w:highlight w:val="none"/>
          <w:lang w:eastAsia="zh-CN"/>
        </w:rPr>
        <w:t>2019年末在职人数为14人，2019年先后调进1人、调出4人、退休0人，所以，2019年末实有在职人数为14人,其中，行政编制人员4人，事业编制人员10人。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4040" w:type="dxa"/>
        <w:tblInd w:w="0" w:type="dxa"/>
        <w:shd w:val="clear" w:color="auto" w:fill="auto"/>
        <w:tblLayout w:type="autofit"/>
        <w:tblCellMar>
          <w:top w:w="0" w:type="dxa"/>
          <w:left w:w="0" w:type="dxa"/>
          <w:bottom w:w="0" w:type="dxa"/>
          <w:right w:w="0" w:type="dxa"/>
        </w:tblCellMar>
      </w:tblPr>
      <w:tblGrid>
        <w:gridCol w:w="4433"/>
        <w:gridCol w:w="629"/>
        <w:gridCol w:w="1946"/>
        <w:gridCol w:w="4433"/>
        <w:gridCol w:w="629"/>
        <w:gridCol w:w="1974"/>
      </w:tblGrid>
      <w:tr>
        <w:tblPrEx>
          <w:shd w:val="clear" w:color="auto" w:fill="auto"/>
          <w:tblCellMar>
            <w:top w:w="0" w:type="dxa"/>
            <w:left w:w="0" w:type="dxa"/>
            <w:bottom w:w="0" w:type="dxa"/>
            <w:right w:w="0" w:type="dxa"/>
          </w:tblCellMar>
        </w:tblPrEx>
        <w:trPr>
          <w:trHeight w:val="375" w:hRule="atLeast"/>
        </w:trPr>
        <w:tc>
          <w:tcPr>
            <w:tcW w:w="14044"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trPr>
        <w:tc>
          <w:tcPr>
            <w:tcW w:w="14044"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trPr>
        <w:tc>
          <w:tcPr>
            <w:tcW w:w="0" w:type="auto"/>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18,445,643.15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18,445,643.15</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pPr>
    </w:p>
    <w:p>
      <w:pPr>
        <w:jc w:val="center"/>
      </w:pPr>
    </w:p>
    <w:tbl>
      <w:tblPr>
        <w:tblStyle w:val="7"/>
        <w:tblW w:w="14037" w:type="dxa"/>
        <w:tblInd w:w="0" w:type="dxa"/>
        <w:shd w:val="clear" w:color="auto" w:fill="auto"/>
        <w:tblLayout w:type="fixed"/>
        <w:tblCellMar>
          <w:top w:w="0" w:type="dxa"/>
          <w:left w:w="0" w:type="dxa"/>
          <w:bottom w:w="0" w:type="dxa"/>
          <w:right w:w="0" w:type="dxa"/>
        </w:tblCellMar>
      </w:tblPr>
      <w:tblGrid>
        <w:gridCol w:w="245"/>
        <w:gridCol w:w="243"/>
        <w:gridCol w:w="242"/>
        <w:gridCol w:w="2512"/>
        <w:gridCol w:w="2384"/>
        <w:gridCol w:w="2384"/>
        <w:gridCol w:w="1194"/>
        <w:gridCol w:w="1194"/>
        <w:gridCol w:w="1194"/>
        <w:gridCol w:w="1194"/>
        <w:gridCol w:w="1335"/>
      </w:tblGrid>
      <w:tr>
        <w:tblPrEx>
          <w:shd w:val="clear" w:color="auto" w:fill="auto"/>
          <w:tblCellMar>
            <w:top w:w="0" w:type="dxa"/>
            <w:left w:w="0" w:type="dxa"/>
            <w:bottom w:w="0" w:type="dxa"/>
            <w:right w:w="0" w:type="dxa"/>
          </w:tblCellMar>
        </w:tblPrEx>
        <w:trPr>
          <w:trHeight w:val="375" w:hRule="atLeast"/>
        </w:trPr>
        <w:tc>
          <w:tcPr>
            <w:tcW w:w="14037" w:type="dxa"/>
            <w:gridSpan w:val="11"/>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00" w:hRule="atLeast"/>
        </w:trPr>
        <w:tc>
          <w:tcPr>
            <w:tcW w:w="14037" w:type="dxa"/>
            <w:gridSpan w:val="11"/>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2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8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8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trHeight w:val="300" w:hRule="atLeast"/>
        </w:trPr>
        <w:tc>
          <w:tcPr>
            <w:tcW w:w="5626"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238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32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13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13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3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3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3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3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73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51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32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5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25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25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5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5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5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5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25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23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25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23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037"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pPr>
    </w:p>
    <w:p>
      <w:pPr>
        <w:jc w:val="center"/>
      </w:pPr>
    </w:p>
    <w:tbl>
      <w:tblPr>
        <w:tblStyle w:val="7"/>
        <w:tblW w:w="14157" w:type="dxa"/>
        <w:tblInd w:w="0" w:type="dxa"/>
        <w:shd w:val="clear" w:color="auto" w:fill="auto"/>
        <w:tblLayout w:type="fixed"/>
        <w:tblCellMar>
          <w:top w:w="0" w:type="dxa"/>
          <w:left w:w="0" w:type="dxa"/>
          <w:bottom w:w="0" w:type="dxa"/>
          <w:right w:w="0" w:type="dxa"/>
        </w:tblCellMar>
      </w:tblPr>
      <w:tblGrid>
        <w:gridCol w:w="243"/>
        <w:gridCol w:w="243"/>
        <w:gridCol w:w="244"/>
        <w:gridCol w:w="3976"/>
        <w:gridCol w:w="2518"/>
        <w:gridCol w:w="2518"/>
        <w:gridCol w:w="1145"/>
        <w:gridCol w:w="1145"/>
        <w:gridCol w:w="1145"/>
        <w:gridCol w:w="980"/>
      </w:tblGrid>
      <w:tr>
        <w:tblPrEx>
          <w:shd w:val="clear" w:color="auto" w:fill="auto"/>
          <w:tblCellMar>
            <w:top w:w="0" w:type="dxa"/>
            <w:left w:w="0" w:type="dxa"/>
            <w:bottom w:w="0" w:type="dxa"/>
            <w:right w:w="0" w:type="dxa"/>
          </w:tblCellMar>
        </w:tblPrEx>
        <w:trPr>
          <w:trHeight w:val="375" w:hRule="atLeast"/>
        </w:trPr>
        <w:tc>
          <w:tcPr>
            <w:tcW w:w="14157" w:type="dxa"/>
            <w:gridSpan w:val="10"/>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300" w:hRule="atLeast"/>
        </w:trPr>
        <w:tc>
          <w:tcPr>
            <w:tcW w:w="14157" w:type="dxa"/>
            <w:gridSpan w:val="10"/>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2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7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0" w:hRule="atLeast"/>
        </w:trPr>
        <w:tc>
          <w:tcPr>
            <w:tcW w:w="4706"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2518"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51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4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5"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70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5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5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1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9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73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6"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70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5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5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470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39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397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9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397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9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97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39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2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397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25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157"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both"/>
      </w:pPr>
    </w:p>
    <w:tbl>
      <w:tblPr>
        <w:tblStyle w:val="7"/>
        <w:tblW w:w="14142" w:type="dxa"/>
        <w:tblInd w:w="0" w:type="dxa"/>
        <w:shd w:val="clear" w:color="auto" w:fill="auto"/>
        <w:tblLayout w:type="fixed"/>
        <w:tblCellMar>
          <w:top w:w="0" w:type="dxa"/>
          <w:left w:w="0" w:type="dxa"/>
          <w:bottom w:w="0" w:type="dxa"/>
          <w:right w:w="0" w:type="dxa"/>
        </w:tblCellMar>
      </w:tblPr>
      <w:tblGrid>
        <w:gridCol w:w="3077"/>
        <w:gridCol w:w="364"/>
        <w:gridCol w:w="1620"/>
        <w:gridCol w:w="3498"/>
        <w:gridCol w:w="364"/>
        <w:gridCol w:w="1604"/>
        <w:gridCol w:w="1654"/>
        <w:gridCol w:w="1961"/>
      </w:tblGrid>
      <w:tr>
        <w:tblPrEx>
          <w:shd w:val="clear" w:color="auto" w:fill="auto"/>
          <w:tblCellMar>
            <w:top w:w="0" w:type="dxa"/>
            <w:left w:w="0" w:type="dxa"/>
            <w:bottom w:w="0" w:type="dxa"/>
            <w:right w:w="0" w:type="dxa"/>
          </w:tblCellMar>
        </w:tblPrEx>
        <w:trPr>
          <w:trHeight w:val="375" w:hRule="atLeast"/>
        </w:trPr>
        <w:tc>
          <w:tcPr>
            <w:tcW w:w="14142"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300" w:hRule="atLeast"/>
        </w:trPr>
        <w:tc>
          <w:tcPr>
            <w:tcW w:w="14142"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307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9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6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5061"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349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6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0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5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6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506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081"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07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9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0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9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307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3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3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18,440,643.15</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7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18,445,643.15</w:t>
            </w:r>
          </w:p>
        </w:tc>
        <w:tc>
          <w:tcPr>
            <w:tcW w:w="34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6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18,445,643.15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18,445,643.15</w:t>
            </w:r>
          </w:p>
        </w:tc>
        <w:tc>
          <w:tcPr>
            <w:tcW w:w="19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14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both"/>
      </w:pPr>
    </w:p>
    <w:tbl>
      <w:tblPr>
        <w:tblStyle w:val="7"/>
        <w:tblW w:w="14112" w:type="dxa"/>
        <w:tblInd w:w="0" w:type="dxa"/>
        <w:shd w:val="clear" w:color="auto" w:fill="auto"/>
        <w:tblLayout w:type="fixed"/>
        <w:tblCellMar>
          <w:top w:w="0" w:type="dxa"/>
          <w:left w:w="0" w:type="dxa"/>
          <w:bottom w:w="0" w:type="dxa"/>
          <w:right w:w="0" w:type="dxa"/>
        </w:tblCellMar>
      </w:tblPr>
      <w:tblGrid>
        <w:gridCol w:w="244"/>
        <w:gridCol w:w="243"/>
        <w:gridCol w:w="243"/>
        <w:gridCol w:w="3973"/>
        <w:gridCol w:w="3252"/>
        <w:gridCol w:w="3234"/>
        <w:gridCol w:w="2923"/>
      </w:tblGrid>
      <w:tr>
        <w:tblPrEx>
          <w:shd w:val="clear" w:color="auto" w:fill="auto"/>
          <w:tblCellMar>
            <w:top w:w="0" w:type="dxa"/>
            <w:left w:w="0" w:type="dxa"/>
            <w:bottom w:w="0" w:type="dxa"/>
            <w:right w:w="0" w:type="dxa"/>
          </w:tblCellMar>
        </w:tblPrEx>
        <w:trPr>
          <w:trHeight w:val="375" w:hRule="atLeast"/>
        </w:trPr>
        <w:tc>
          <w:tcPr>
            <w:tcW w:w="14112" w:type="dxa"/>
            <w:gridSpan w:val="7"/>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00" w:hRule="atLeast"/>
        </w:trPr>
        <w:tc>
          <w:tcPr>
            <w:tcW w:w="14112" w:type="dxa"/>
            <w:gridSpan w:val="7"/>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24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7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5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2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0" w:hRule="atLeast"/>
        </w:trPr>
        <w:tc>
          <w:tcPr>
            <w:tcW w:w="4703"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325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23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2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70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40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73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3"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2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2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9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3"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3"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70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470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2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32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9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18,440,643.15</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3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3973"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2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32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29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2,046,300.00</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3973"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32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32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2,046,300.00</w:t>
            </w:r>
          </w:p>
        </w:tc>
        <w:tc>
          <w:tcPr>
            <w:tcW w:w="29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5,646,341.00</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973"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32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32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5,646,341.00</w:t>
            </w:r>
          </w:p>
        </w:tc>
        <w:tc>
          <w:tcPr>
            <w:tcW w:w="29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3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32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3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29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3973"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32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32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29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112"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both"/>
      </w:pPr>
    </w:p>
    <w:tbl>
      <w:tblPr>
        <w:tblStyle w:val="7"/>
        <w:tblW w:w="13988" w:type="dxa"/>
        <w:tblInd w:w="0" w:type="dxa"/>
        <w:shd w:val="clear" w:color="auto" w:fill="auto"/>
        <w:tblLayout w:type="fixed"/>
        <w:tblCellMar>
          <w:top w:w="0" w:type="dxa"/>
          <w:left w:w="0" w:type="dxa"/>
          <w:bottom w:w="0" w:type="dxa"/>
          <w:right w:w="0" w:type="dxa"/>
        </w:tblCellMar>
      </w:tblPr>
      <w:tblGrid>
        <w:gridCol w:w="610"/>
        <w:gridCol w:w="2859"/>
        <w:gridCol w:w="1281"/>
        <w:gridCol w:w="588"/>
        <w:gridCol w:w="2112"/>
        <w:gridCol w:w="1250"/>
        <w:gridCol w:w="788"/>
        <w:gridCol w:w="3176"/>
        <w:gridCol w:w="1324"/>
      </w:tblGrid>
      <w:tr>
        <w:tblPrEx>
          <w:shd w:val="clear" w:color="auto" w:fill="auto"/>
          <w:tblCellMar>
            <w:top w:w="0" w:type="dxa"/>
            <w:left w:w="0" w:type="dxa"/>
            <w:bottom w:w="0" w:type="dxa"/>
            <w:right w:w="0" w:type="dxa"/>
          </w:tblCellMar>
        </w:tblPrEx>
        <w:trPr>
          <w:trHeight w:val="375"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6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5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2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4750"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5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7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7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23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1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8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8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1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1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2,952,384.89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8,527,359.87</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838,869.47</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5,320,657.22</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693,007.52</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1,469.10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516,553.36</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30,708.83</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185,921.48</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93,563.42</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232,127.19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31,248.35</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21,618.43</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29,501.00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378,125.00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36,397.73</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47,914.09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6,646,318.39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15,586.10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313,769.89</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303,000.00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400,973.10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303,000.00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33,934.00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1,760,000.00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55,984.01</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1,985,345.29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7,432.60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2,550,001.47</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469"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2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9,598,703.28</w:t>
            </w:r>
          </w:p>
        </w:tc>
        <w:tc>
          <w:tcPr>
            <w:tcW w:w="791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8,841,939.87</w:t>
            </w:r>
          </w:p>
        </w:tc>
      </w:tr>
      <w:tr>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pPr>
    </w:p>
    <w:p>
      <w:pPr>
        <w:jc w:val="center"/>
      </w:pPr>
    </w:p>
    <w:p>
      <w:pPr>
        <w:jc w:val="center"/>
      </w:pPr>
    </w:p>
    <w:tbl>
      <w:tblPr>
        <w:tblStyle w:val="7"/>
        <w:tblW w:w="13725" w:type="dxa"/>
        <w:tblInd w:w="0" w:type="dxa"/>
        <w:shd w:val="clear" w:color="auto" w:fill="auto"/>
        <w:tblLayout w:type="autofit"/>
        <w:tblCellMar>
          <w:top w:w="0" w:type="dxa"/>
          <w:left w:w="0" w:type="dxa"/>
          <w:bottom w:w="0" w:type="dxa"/>
          <w:right w:w="0" w:type="dxa"/>
        </w:tblCellMar>
      </w:tblPr>
      <w:tblGrid>
        <w:gridCol w:w="608"/>
        <w:gridCol w:w="1700"/>
        <w:gridCol w:w="608"/>
        <w:gridCol w:w="1294"/>
        <w:gridCol w:w="1245"/>
        <w:gridCol w:w="1140"/>
        <w:gridCol w:w="1005"/>
        <w:gridCol w:w="1635"/>
        <w:gridCol w:w="585"/>
        <w:gridCol w:w="1245"/>
        <w:gridCol w:w="1245"/>
        <w:gridCol w:w="1575"/>
      </w:tblGrid>
      <w:tr>
        <w:tblPrEx>
          <w:shd w:val="clear" w:color="auto" w:fill="auto"/>
          <w:tblCellMar>
            <w:top w:w="0" w:type="dxa"/>
            <w:left w:w="0" w:type="dxa"/>
            <w:bottom w:w="0" w:type="dxa"/>
            <w:right w:w="0" w:type="dxa"/>
          </w:tblCellMar>
        </w:tblPrEx>
        <w:trPr>
          <w:trHeight w:val="375" w:hRule="atLeast"/>
        </w:trPr>
        <w:tc>
          <w:tcPr>
            <w:tcW w:w="13725"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00" w:hRule="atLeast"/>
        </w:trPr>
        <w:tc>
          <w:tcPr>
            <w:tcW w:w="13725"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0" w:type="auto"/>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43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29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8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0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0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0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58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r>
      <w:tr>
        <w:tblPrEx>
          <w:tblCellMar>
            <w:top w:w="0" w:type="dxa"/>
            <w:left w:w="0" w:type="dxa"/>
            <w:bottom w:w="0" w:type="dxa"/>
            <w:right w:w="0" w:type="dxa"/>
          </w:tblCellMar>
        </w:tblPrEx>
        <w:trPr>
          <w:trHeight w:val="600" w:hRule="atLeast"/>
        </w:trPr>
        <w:tc>
          <w:tcPr>
            <w:tcW w:w="13725"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pPr>
    </w:p>
    <w:p>
      <w:pPr>
        <w:jc w:val="center"/>
      </w:pPr>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bookmarkStart w:id="0" w:name="_GoBack"/>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黄石市黄石港区卫生健康局（本级）</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bookmarkEnd w:id="0"/>
    </w:tbl>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959.87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884.19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959.87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884.19</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年度财政收入预算数251.02万元，其中人员经费</w:t>
      </w:r>
      <w:r>
        <w:rPr>
          <w:rFonts w:hint="eastAsia" w:asciiTheme="minorEastAsia" w:hAnsiTheme="minorEastAsia" w:eastAsiaTheme="minorEastAsia" w:cstheme="minorEastAsia"/>
          <w:sz w:val="28"/>
          <w:szCs w:val="28"/>
        </w:rPr>
        <w:t>149.63万</w:t>
      </w:r>
      <w:r>
        <w:rPr>
          <w:rFonts w:hint="eastAsia" w:asciiTheme="minorEastAsia" w:hAnsiTheme="minorEastAsia" w:eastAsiaTheme="minorEastAsia" w:cstheme="minorEastAsia"/>
          <w:sz w:val="28"/>
          <w:szCs w:val="28"/>
          <w:shd w:val="clear" w:color="auto" w:fill="FFFFFF"/>
        </w:rPr>
        <w:t>元，公用经费101.39万元；201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年度财政支出预算数251.02万元，其中人员经费</w:t>
      </w:r>
      <w:r>
        <w:rPr>
          <w:rFonts w:hint="eastAsia" w:asciiTheme="minorEastAsia" w:hAnsiTheme="minorEastAsia" w:eastAsiaTheme="minorEastAsia" w:cstheme="minorEastAsia"/>
          <w:sz w:val="28"/>
          <w:szCs w:val="28"/>
        </w:rPr>
        <w:t>149.63万</w:t>
      </w:r>
      <w:r>
        <w:rPr>
          <w:rFonts w:hint="eastAsia" w:asciiTheme="minorEastAsia" w:hAnsiTheme="minorEastAsia" w:eastAsiaTheme="minorEastAsia" w:cstheme="minorEastAsia"/>
          <w:sz w:val="28"/>
          <w:szCs w:val="28"/>
          <w:shd w:val="clear" w:color="auto" w:fill="FFFFFF"/>
        </w:rPr>
        <w:t>元，公用经费101.39万元。201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收入预算数比上年增加39.91万元，201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支出预算数比上年增加39.91万元。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267.88</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1576.19</w:t>
      </w:r>
      <w:r>
        <w:rPr>
          <w:rFonts w:hint="eastAsia" w:asciiTheme="minorEastAsia" w:hAnsiTheme="minorEastAsia" w:eastAsiaTheme="minorEastAsia" w:cstheme="minorEastAsia"/>
          <w:sz w:val="28"/>
          <w:szCs w:val="28"/>
          <w:shd w:val="clear" w:color="auto" w:fill="FFFFFF"/>
        </w:rPr>
        <w:t>万元，增幅</w:t>
      </w:r>
      <w:r>
        <w:rPr>
          <w:rFonts w:hint="eastAsia" w:asciiTheme="minorEastAsia" w:hAnsiTheme="minorEastAsia" w:cstheme="minorEastAsia"/>
          <w:sz w:val="28"/>
          <w:szCs w:val="28"/>
          <w:shd w:val="clear" w:color="auto" w:fill="FFFFFF"/>
          <w:lang w:val="en-US" w:eastAsia="zh-CN"/>
        </w:rPr>
        <w:t>588</w:t>
      </w:r>
      <w:r>
        <w:rPr>
          <w:rFonts w:hint="eastAsia" w:asciiTheme="minorEastAsia" w:hAnsiTheme="minorEastAsia" w:eastAsiaTheme="minorEastAsia" w:cstheme="minorEastAsia"/>
          <w:sz w:val="28"/>
          <w:szCs w:val="28"/>
          <w:shd w:val="clear" w:color="auto" w:fill="FFFFFF"/>
        </w:rPr>
        <w:t>%，原因为业务增加。</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①支出功能分类：</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卫生健康支出</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959.87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884.19</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1844.06</w:t>
      </w:r>
      <w:r>
        <w:rPr>
          <w:rFonts w:hint="eastAsia" w:asciiTheme="minorEastAsia" w:hAnsiTheme="minorEastAsia" w:eastAsia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295.24</w:t>
      </w:r>
      <w:r>
        <w:rPr>
          <w:rFonts w:hint="eastAsia" w:asciiTheme="minorEastAsia" w:hAnsiTheme="minorEastAsia" w:eastAsia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852.74</w:t>
      </w:r>
      <w:r>
        <w:rPr>
          <w:rFonts w:hint="eastAsia" w:asciiTheme="minorEastAsia" w:hAnsiTheme="minorEastAsia" w:eastAsiaTheme="minorEastAsia" w:cstheme="minorEastAsia"/>
          <w:sz w:val="28"/>
          <w:szCs w:val="28"/>
          <w:shd w:val="clear" w:color="auto" w:fill="FFFFFF"/>
        </w:rPr>
        <w:t xml:space="preserve">万元；对个人和家庭的补助支出 </w:t>
      </w:r>
      <w:r>
        <w:rPr>
          <w:rFonts w:hint="eastAsia" w:asciiTheme="minorEastAsia" w:hAnsiTheme="minorEastAsia" w:cstheme="minorEastAsia"/>
          <w:sz w:val="28"/>
          <w:szCs w:val="28"/>
          <w:shd w:val="clear" w:color="auto" w:fill="FFFFFF"/>
          <w:lang w:val="en-US" w:eastAsia="zh-CN"/>
        </w:rPr>
        <w:t>664.63</w:t>
      </w:r>
      <w:r>
        <w:rPr>
          <w:rFonts w:hint="eastAsia" w:asciiTheme="minorEastAsia" w:hAnsiTheme="minorEastAsia" w:eastAsiaTheme="minorEastAsia" w:cstheme="minorEastAsia"/>
          <w:sz w:val="28"/>
          <w:szCs w:val="28"/>
          <w:shd w:val="clear" w:color="auto" w:fill="FFFFFF"/>
        </w:rPr>
        <w:t>万元；资本性支出</w:t>
      </w:r>
      <w:r>
        <w:rPr>
          <w:rFonts w:hint="eastAsia" w:asciiTheme="minorEastAsia" w:hAnsiTheme="minorEastAsia" w:cstheme="minorEastAsia"/>
          <w:sz w:val="28"/>
          <w:szCs w:val="28"/>
          <w:shd w:val="clear" w:color="auto" w:fill="FFFFFF"/>
          <w:lang w:val="en-US" w:eastAsia="zh-CN"/>
        </w:rPr>
        <w:t>1.16</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，其他支出</w:t>
      </w:r>
      <w:r>
        <w:rPr>
          <w:rFonts w:hint="eastAsia" w:asciiTheme="minorEastAsia" w:hAnsiTheme="minorEastAsia" w:cstheme="minorEastAsia"/>
          <w:sz w:val="28"/>
          <w:szCs w:val="28"/>
          <w:shd w:val="clear" w:color="auto" w:fill="FFFFFF"/>
          <w:lang w:val="en-US" w:eastAsia="zh-CN"/>
        </w:rPr>
        <w:t>30.3万元</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2083</w:t>
      </w:r>
      <w:r>
        <w:rPr>
          <w:rFonts w:hint="eastAsia" w:asciiTheme="minorEastAsia" w:hAnsiTheme="minorEastAsia" w:eastAsiaTheme="minorEastAsia" w:cstheme="minorEastAsia"/>
          <w:sz w:val="28"/>
          <w:szCs w:val="28"/>
          <w:shd w:val="clear" w:color="auto" w:fill="FFFFFF"/>
        </w:rPr>
        <w:t>元。去年同期未发生三公经费支出。</w:t>
      </w:r>
      <w:r>
        <w:rPr>
          <w:rFonts w:hint="eastAsia" w:ascii="宋体" w:hAnsi="宋体" w:cs="宋体"/>
          <w:color w:val="333333"/>
          <w:kern w:val="0"/>
          <w:sz w:val="28"/>
          <w:szCs w:val="28"/>
        </w:rPr>
        <w:t>全年累计发生国内接待</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rPr>
        <w:t>批次共</w:t>
      </w:r>
      <w:r>
        <w:rPr>
          <w:rFonts w:hint="eastAsia" w:ascii="宋体" w:hAnsi="宋体" w:cs="宋体"/>
          <w:color w:val="333333"/>
          <w:kern w:val="0"/>
          <w:sz w:val="28"/>
          <w:szCs w:val="28"/>
          <w:lang w:val="en-US" w:eastAsia="zh-CN"/>
        </w:rPr>
        <w:t>25</w:t>
      </w:r>
      <w:r>
        <w:rPr>
          <w:rFonts w:hint="eastAsia" w:ascii="宋体" w:hAnsi="宋体" w:cs="宋体"/>
          <w:color w:val="333333"/>
          <w:kern w:val="0"/>
          <w:sz w:val="28"/>
          <w:szCs w:val="28"/>
        </w:rPr>
        <w:t>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eastAsia="zh-CN"/>
        </w:rPr>
        <w:t>培训费支出</w:t>
      </w:r>
      <w:r>
        <w:rPr>
          <w:rFonts w:hint="eastAsia" w:asciiTheme="minorEastAsia" w:hAnsiTheme="minorEastAsia" w:cstheme="minorEastAsia"/>
          <w:sz w:val="28"/>
          <w:szCs w:val="28"/>
          <w:shd w:val="clear" w:color="auto" w:fill="FFFFFF"/>
          <w:lang w:val="en-US" w:eastAsia="zh-CN"/>
        </w:rPr>
        <w:t>1.56万元。</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度机关运行经费支出</w:t>
      </w:r>
      <w:r>
        <w:rPr>
          <w:rFonts w:hint="eastAsia" w:asciiTheme="minorEastAsia" w:hAnsiTheme="minorEastAsia" w:cstheme="minorEastAsia"/>
          <w:sz w:val="28"/>
          <w:szCs w:val="28"/>
          <w:shd w:val="clear" w:color="auto" w:fill="FFFFFF"/>
          <w:lang w:val="en-US" w:eastAsia="zh-CN"/>
        </w:rPr>
        <w:t>605.58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w:t>
      </w:r>
      <w:r>
        <w:rPr>
          <w:rFonts w:hint="eastAsia" w:asciiTheme="minorEastAsia" w:hAnsiTheme="minorEastAsia" w:cstheme="minorEastAsia"/>
          <w:sz w:val="28"/>
          <w:szCs w:val="28"/>
          <w:shd w:val="clear" w:color="auto" w:fill="FFFFFF"/>
          <w:lang w:val="en-US" w:eastAsia="zh-CN"/>
        </w:rPr>
        <w:t>267.88</w:t>
      </w:r>
      <w:r>
        <w:rPr>
          <w:rFonts w:hint="eastAsia" w:asciiTheme="minorEastAsia" w:hAnsiTheme="minorEastAsia" w:eastAsiaTheme="minorEastAsia" w:cstheme="minorEastAsia"/>
          <w:sz w:val="28"/>
          <w:szCs w:val="28"/>
          <w:shd w:val="clear" w:color="auto" w:fill="FFFFFF"/>
        </w:rPr>
        <w:t>万元增加</w:t>
      </w:r>
      <w:r>
        <w:rPr>
          <w:rFonts w:hint="eastAsia" w:asciiTheme="minorEastAsia" w:hAnsiTheme="minorEastAsia" w:cstheme="minorEastAsia"/>
          <w:sz w:val="28"/>
          <w:szCs w:val="28"/>
          <w:shd w:val="clear" w:color="auto" w:fill="FFFFFF"/>
          <w:lang w:val="en-US" w:eastAsia="zh-CN"/>
        </w:rPr>
        <w:t>337.7</w:t>
      </w:r>
      <w:r>
        <w:rPr>
          <w:rFonts w:hint="eastAsia" w:asciiTheme="minorEastAsia" w:hAnsiTheme="minorEastAsia" w:eastAsiaTheme="minorEastAsia" w:cstheme="minorEastAsia"/>
          <w:sz w:val="28"/>
          <w:szCs w:val="28"/>
          <w:shd w:val="clear" w:color="auto" w:fill="FFFFFF"/>
        </w:rPr>
        <w:t>万元，增长</w:t>
      </w:r>
      <w:r>
        <w:rPr>
          <w:rFonts w:hint="eastAsia" w:asciiTheme="minorEastAsia" w:hAnsiTheme="minorEastAsia" w:cstheme="minorEastAsia"/>
          <w:sz w:val="28"/>
          <w:szCs w:val="28"/>
          <w:shd w:val="clear" w:color="auto" w:fill="FFFFFF"/>
          <w:lang w:val="en-US" w:eastAsia="zh-CN"/>
        </w:rPr>
        <w:t>126</w:t>
      </w:r>
      <w:r>
        <w:rPr>
          <w:rFonts w:hint="eastAsia" w:asciiTheme="minorEastAsia" w:hAnsiTheme="minorEastAsia" w:eastAsiaTheme="minorEastAsia" w:cstheme="minorEastAsia"/>
          <w:sz w:val="28"/>
          <w:szCs w:val="28"/>
          <w:shd w:val="clear" w:color="auto" w:fill="FFFFFF"/>
        </w:rPr>
        <w:t>%。主要原因是：人员经费上涨，人员经费实际支出</w:t>
      </w:r>
      <w:r>
        <w:rPr>
          <w:rFonts w:hint="eastAsia" w:asciiTheme="minorEastAsia" w:hAnsiTheme="minorEastAsia" w:cstheme="minorEastAsia"/>
          <w:sz w:val="28"/>
          <w:szCs w:val="28"/>
          <w:shd w:val="clear" w:color="auto" w:fill="FFFFFF"/>
          <w:lang w:val="en-US" w:eastAsia="zh-CN"/>
        </w:rPr>
        <w:t>959</w:t>
      </w:r>
      <w:r>
        <w:rPr>
          <w:rFonts w:hint="eastAsia" w:asciiTheme="minorEastAsia" w:hAnsiTheme="minorEastAsia" w:eastAsiaTheme="minorEastAsia" w:cstheme="minorEastAsia"/>
          <w:sz w:val="28"/>
          <w:szCs w:val="28"/>
          <w:shd w:val="clear" w:color="auto" w:fill="FFFFFF"/>
        </w:rPr>
        <w:t>.87万元；预算数178.62万元；涨幅原因为本年度补发、补交以前年度工资及社保费用。公用经费基本持平。</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A9C2884"/>
    <w:rsid w:val="1AE52A24"/>
    <w:rsid w:val="1CE10904"/>
    <w:rsid w:val="20425963"/>
    <w:rsid w:val="28385A6F"/>
    <w:rsid w:val="2ED40676"/>
    <w:rsid w:val="30920D9D"/>
    <w:rsid w:val="35687F4F"/>
    <w:rsid w:val="35A91B32"/>
    <w:rsid w:val="37333E90"/>
    <w:rsid w:val="4D7C648F"/>
    <w:rsid w:val="55A925D9"/>
    <w:rsid w:val="571A201F"/>
    <w:rsid w:val="5CF6057B"/>
    <w:rsid w:val="62890BE6"/>
    <w:rsid w:val="649C7F93"/>
    <w:rsid w:val="6F546A68"/>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2021-05-17T07:57:39Z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