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宣传部</w:t>
      </w:r>
      <w:r>
        <w:rPr>
          <w:rFonts w:ascii="微软雅黑" w:hAnsi="微软雅黑" w:eastAsia="微软雅黑" w:cs="微软雅黑"/>
          <w:color w:val="BC1010"/>
          <w:sz w:val="40"/>
          <w:szCs w:val="40"/>
          <w:shd w:val="clear" w:color="auto" w:fill="FFFFFF"/>
        </w:rPr>
        <w:t>2020</w:t>
      </w:r>
      <w:r>
        <w:rPr>
          <w:rFonts w:hint="eastAsia" w:ascii="微软雅黑" w:hAnsi="微软雅黑" w:eastAsia="微软雅黑" w:cs="微软雅黑"/>
          <w:color w:val="BC1010"/>
          <w:sz w:val="40"/>
          <w:szCs w:val="40"/>
          <w:shd w:val="clear" w:color="auto" w:fill="FFFFFF"/>
        </w:rPr>
        <w:t>年度决算公开</w:t>
      </w:r>
    </w:p>
    <w:p>
      <w:pPr>
        <w:pStyle w:val="6"/>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黄石港区宣传部</w:t>
      </w: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年度决算公开</w:t>
      </w:r>
    </w:p>
    <w:p>
      <w:pPr>
        <w:pStyle w:val="6"/>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第一部分</w:t>
      </w:r>
      <w:r>
        <w:rPr>
          <w:rFonts w:ascii="微软雅黑" w:hAnsi="微软雅黑" w:eastAsia="微软雅黑" w:cs="微软雅黑"/>
          <w:color w:val="333333"/>
          <w:shd w:val="clear" w:color="090000" w:fill="FFFFFF"/>
        </w:rPr>
        <w:t>:</w:t>
      </w:r>
      <w:r>
        <w:rPr>
          <w:rFonts w:hint="eastAsia" w:ascii="微软雅黑" w:hAnsi="微软雅黑" w:eastAsia="微软雅黑" w:cs="微软雅黑"/>
          <w:color w:val="333333"/>
          <w:shd w:val="clear" w:color="090000" w:fill="FFFFFF"/>
        </w:rPr>
        <w:t>部门基本情况</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一、部门主要职责</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二、部门决算单位构成</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第二部分</w:t>
      </w:r>
      <w:r>
        <w:rPr>
          <w:rFonts w:ascii="微软雅黑" w:hAnsi="微软雅黑" w:eastAsia="微软雅黑" w:cs="微软雅黑"/>
          <w:color w:val="333333"/>
          <w:shd w:val="clear" w:color="090000" w:fill="FFFFFF"/>
        </w:rPr>
        <w:t xml:space="preserve">: </w:t>
      </w:r>
      <w:r>
        <w:rPr>
          <w:rFonts w:hint="eastAsia" w:ascii="微软雅黑" w:hAnsi="微软雅黑" w:eastAsia="微软雅黑" w:cs="微软雅黑"/>
          <w:color w:val="333333"/>
          <w:shd w:val="clear" w:color="090000" w:fill="FFFFFF"/>
        </w:rPr>
        <w:t>部门</w:t>
      </w:r>
      <w:r>
        <w:rPr>
          <w:rFonts w:ascii="微软雅黑" w:hAnsi="微软雅黑" w:eastAsia="微软雅黑" w:cs="微软雅黑"/>
          <w:color w:val="333333"/>
          <w:shd w:val="clear" w:color="090000" w:fill="FFFFFF"/>
        </w:rPr>
        <w:t>2020</w:t>
      </w:r>
      <w:r>
        <w:rPr>
          <w:rFonts w:hint="eastAsia" w:ascii="微软雅黑" w:hAnsi="微软雅黑" w:eastAsia="微软雅黑" w:cs="微软雅黑"/>
          <w:color w:val="333333"/>
          <w:shd w:val="clear" w:color="090000" w:fill="FFFFFF"/>
        </w:rPr>
        <w:t>年度部门决算表</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一、收入支出决算总表（表</w:t>
      </w:r>
      <w:r>
        <w:rPr>
          <w:rFonts w:ascii="微软雅黑" w:hAnsi="微软雅黑" w:eastAsia="微软雅黑" w:cs="微软雅黑"/>
          <w:color w:val="333333"/>
          <w:shd w:val="clear" w:color="090000" w:fill="FFFFFF"/>
        </w:rPr>
        <w:t>1</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二、收入决算表（表</w:t>
      </w:r>
      <w:r>
        <w:rPr>
          <w:rFonts w:ascii="微软雅黑" w:hAnsi="微软雅黑" w:eastAsia="微软雅黑" w:cs="微软雅黑"/>
          <w:color w:val="333333"/>
          <w:shd w:val="clear" w:color="090000" w:fill="FFFFFF"/>
        </w:rPr>
        <w:t>2</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三、支出决算表（表</w:t>
      </w:r>
      <w:r>
        <w:rPr>
          <w:rFonts w:ascii="微软雅黑" w:hAnsi="微软雅黑" w:eastAsia="微软雅黑" w:cs="微软雅黑"/>
          <w:color w:val="333333"/>
          <w:shd w:val="clear" w:color="090000" w:fill="FFFFFF"/>
        </w:rPr>
        <w:t>3</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四、财政拨款收入支出决算总表（表</w:t>
      </w:r>
      <w:r>
        <w:rPr>
          <w:rFonts w:ascii="微软雅黑" w:hAnsi="微软雅黑" w:eastAsia="微软雅黑" w:cs="微软雅黑"/>
          <w:color w:val="333333"/>
          <w:shd w:val="clear" w:color="090000" w:fill="FFFFFF"/>
        </w:rPr>
        <w:t>4</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五、一般公共预算财政拨款支出决算表（表</w:t>
      </w:r>
      <w:r>
        <w:rPr>
          <w:rFonts w:ascii="微软雅黑" w:hAnsi="微软雅黑" w:eastAsia="微软雅黑" w:cs="微软雅黑"/>
          <w:color w:val="333333"/>
          <w:shd w:val="clear" w:color="090000" w:fill="FFFFFF"/>
        </w:rPr>
        <w:t>5</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090000" w:fill="FFFFFF"/>
        </w:rPr>
        <w:t>六、一般公共预算财政拨款基本支出决算表（表</w:t>
      </w:r>
      <w:r>
        <w:rPr>
          <w:rFonts w:ascii="微软雅黑" w:hAnsi="微软雅黑" w:eastAsia="微软雅黑" w:cs="微软雅黑"/>
          <w:color w:val="333333"/>
          <w:shd w:val="clear" w:color="090000" w:fill="FFFFFF"/>
        </w:rPr>
        <w:t>6</w:t>
      </w:r>
      <w:r>
        <w:rPr>
          <w:rFonts w:hint="eastAsia" w:ascii="微软雅黑" w:hAnsi="微软雅黑" w:eastAsia="微软雅黑" w:cs="微软雅黑"/>
          <w:color w:val="333333"/>
          <w:shd w:val="clear" w:color="090000" w:fill="FFFFFF"/>
        </w:rPr>
        <w:t>）</w:t>
      </w:r>
    </w:p>
    <w:p>
      <w:pPr>
        <w:pStyle w:val="14"/>
        <w:spacing w:before="76" w:beforeAutospacing="0" w:after="76" w:afterAutospacing="0" w:line="450" w:lineRule="atLeast"/>
        <w:ind w:firstLine="420"/>
        <w:rPr>
          <w:rFonts w:hint="eastAsia" w:ascii="微软雅黑" w:hAnsi="微软雅黑" w:eastAsia="微软雅黑" w:cs="微软雅黑"/>
          <w:color w:val="333333"/>
          <w:shd w:val="clear" w:color="090000" w:fill="FFFFFF"/>
        </w:rPr>
      </w:pPr>
      <w:r>
        <w:rPr>
          <w:rFonts w:hint="eastAsia" w:ascii="微软雅黑" w:hAnsi="微软雅黑" w:eastAsia="微软雅黑" w:cs="微软雅黑"/>
          <w:color w:val="333333"/>
          <w:shd w:val="clear" w:color="090000" w:fill="FFFFFF"/>
        </w:rPr>
        <w:t>七、一般公共预算财政拨款“三公”经费支出决算表（表</w:t>
      </w:r>
      <w:r>
        <w:rPr>
          <w:rFonts w:ascii="微软雅黑" w:hAnsi="微软雅黑" w:eastAsia="微软雅黑" w:cs="微软雅黑"/>
          <w:color w:val="333333"/>
          <w:shd w:val="clear" w:color="090000" w:fill="FFFFFF"/>
        </w:rPr>
        <w:t>7</w:t>
      </w:r>
      <w:r>
        <w:rPr>
          <w:rFonts w:hint="eastAsia" w:ascii="微软雅黑" w:hAnsi="微软雅黑" w:eastAsia="微软雅黑" w:cs="微软雅黑"/>
          <w:color w:val="333333"/>
          <w:shd w:val="clear" w:color="090000"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八、政府性基金预算财政拨款收入支出决算表（表8）</w:t>
      </w:r>
    </w:p>
    <w:p>
      <w:pPr>
        <w:pStyle w:val="14"/>
        <w:spacing w:before="76" w:beforeAutospacing="0" w:after="76" w:afterAutospacing="0" w:line="450" w:lineRule="atLeast"/>
        <w:ind w:firstLine="480" w:firstLineChars="200"/>
        <w:rPr>
          <w:color w:val="333333"/>
        </w:rPr>
      </w:pPr>
      <w:r>
        <w:rPr>
          <w:rFonts w:hint="eastAsia" w:ascii="微软雅黑" w:hAnsi="微软雅黑" w:eastAsia="微软雅黑" w:cs="微软雅黑"/>
          <w:color w:val="333333"/>
          <w:shd w:val="clear" w:color="090000" w:fill="FFFFFF"/>
        </w:rPr>
        <w:t>第三部分：部门</w:t>
      </w:r>
      <w:r>
        <w:rPr>
          <w:rFonts w:ascii="微软雅黑" w:hAnsi="微软雅黑" w:eastAsia="微软雅黑" w:cs="微软雅黑"/>
          <w:color w:val="333333"/>
          <w:shd w:val="clear" w:color="090000" w:fill="FFFFFF"/>
        </w:rPr>
        <w:t>2020</w:t>
      </w:r>
      <w:r>
        <w:rPr>
          <w:rFonts w:hint="eastAsia" w:ascii="微软雅黑" w:hAnsi="微软雅黑" w:eastAsia="微软雅黑" w:cs="微软雅黑"/>
          <w:color w:val="333333"/>
          <w:shd w:val="clear" w:color="090000" w:fill="FFFFFF"/>
        </w:rPr>
        <w:t>年度部门决算情况说明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一、预算执行情况分析</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二、关于“三公”经费支出说明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三、关于机关运行经费支出说明</w:t>
      </w:r>
    </w:p>
    <w:p>
      <w:pPr>
        <w:pStyle w:val="14"/>
        <w:spacing w:before="76" w:beforeAutospacing="0" w:after="76" w:afterAutospacing="0" w:line="450" w:lineRule="atLeast"/>
        <w:ind w:firstLine="420"/>
        <w:rPr>
          <w:rFonts w:ascii="微软雅黑" w:hAnsi="微软雅黑" w:eastAsia="微软雅黑" w:cs="微软雅黑"/>
          <w:color w:val="333333"/>
          <w:shd w:val="clear" w:color="080000" w:fill="FFFFFF"/>
        </w:rPr>
      </w:pPr>
      <w:r>
        <w:rPr>
          <w:rFonts w:hint="eastAsia" w:ascii="微软雅黑" w:hAnsi="微软雅黑" w:eastAsia="微软雅黑" w:cs="微软雅黑"/>
          <w:color w:val="333333"/>
          <w:shd w:val="clear" w:color="080000" w:fill="FFFFFF"/>
        </w:rPr>
        <w:t>四、关于政府采购支出说明</w:t>
      </w:r>
    </w:p>
    <w:p>
      <w:pPr>
        <w:pStyle w:val="14"/>
        <w:spacing w:before="76" w:beforeAutospacing="0" w:after="76" w:afterAutospacing="0" w:line="450" w:lineRule="atLeast"/>
        <w:ind w:firstLine="420"/>
        <w:rPr>
          <w:shd w:val="clear" w:color="080000" w:fill="FFFFFF"/>
        </w:rPr>
      </w:pPr>
      <w:r>
        <w:rPr>
          <w:rFonts w:hint="eastAsia"/>
          <w:shd w:val="clear" w:color="080000" w:fill="FFFFFF"/>
        </w:rPr>
        <w:t>五、关于国有资产占用情况说明</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六、重点绩效评价结果等预算绩效情况说明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七、决算收支增减变化情况</w:t>
      </w:r>
    </w:p>
    <w:p>
      <w:pPr>
        <w:pStyle w:val="6"/>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14"/>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090000" w:fill="FFFFFF"/>
        </w:rPr>
        <w:t>第四部分：名词解释</w:t>
      </w:r>
      <w:r>
        <w:rPr>
          <w:rFonts w:ascii="微软雅黑" w:hAnsi="微软雅黑" w:eastAsia="微软雅黑" w:cs="微软雅黑"/>
          <w:color w:val="333333"/>
          <w:shd w:val="clear" w:color="090000" w:fill="FFFFFF"/>
        </w:rPr>
        <w:t> </w:t>
      </w: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2020</w:t>
      </w:r>
      <w:r>
        <w:rPr>
          <w:rStyle w:val="9"/>
          <w:rFonts w:hint="eastAsia" w:ascii="微软雅黑" w:hAnsi="微软雅黑" w:eastAsia="微软雅黑" w:cs="微软雅黑"/>
          <w:color w:val="333333"/>
          <w:shd w:val="clear" w:color="auto" w:fill="FFFFFF"/>
        </w:rPr>
        <w:t>年度部门决算</w:t>
      </w:r>
    </w:p>
    <w:p>
      <w:pPr>
        <w:pStyle w:val="6"/>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shd w:val="clear" w:color="auto" w:fill="FFFFFF"/>
        <w:snapToGrid w:val="0"/>
        <w:spacing w:line="560" w:lineRule="atLeast"/>
        <w:ind w:firstLine="562"/>
        <w:rPr>
          <w:rFonts w:ascii="宋体" w:hAnsi="宋体" w:cs="宋体"/>
          <w:sz w:val="28"/>
          <w:szCs w:val="28"/>
        </w:rPr>
      </w:pPr>
      <w:r>
        <w:rPr>
          <w:rFonts w:ascii="宋体" w:hAnsi="宋体" w:cs="宋体"/>
          <w:sz w:val="28"/>
          <w:szCs w:val="28"/>
        </w:rPr>
        <w:t>1</w:t>
      </w:r>
      <w:r>
        <w:rPr>
          <w:rFonts w:hint="eastAsia" w:ascii="宋体" w:hAnsi="宋体" w:cs="宋体"/>
          <w:sz w:val="28"/>
          <w:szCs w:val="28"/>
        </w:rPr>
        <w:t>、基本职能</w:t>
      </w:r>
      <w:r>
        <w:rPr>
          <w:rFonts w:ascii="宋体" w:hAnsi="宋体" w:cs="宋体"/>
          <w:sz w:val="28"/>
          <w:szCs w:val="28"/>
        </w:rPr>
        <w:t xml:space="preserve"> </w:t>
      </w:r>
    </w:p>
    <w:p>
      <w:pPr>
        <w:ind w:firstLine="840" w:firstLineChars="300"/>
        <w:rPr>
          <w:rFonts w:ascii="宋体"/>
          <w:sz w:val="28"/>
          <w:szCs w:val="28"/>
        </w:rPr>
      </w:pPr>
      <w:r>
        <w:rPr>
          <w:rFonts w:hint="eastAsia" w:ascii="宋体" w:hAnsi="宋体"/>
          <w:sz w:val="28"/>
          <w:szCs w:val="28"/>
        </w:rPr>
        <w:t>中共黄石港区委宣传部位于黄石市磁湖路</w:t>
      </w:r>
      <w:r>
        <w:rPr>
          <w:rFonts w:ascii="宋体" w:hAnsi="宋体"/>
          <w:sz w:val="28"/>
          <w:szCs w:val="28"/>
        </w:rPr>
        <w:t>180</w:t>
      </w:r>
      <w:r>
        <w:rPr>
          <w:rFonts w:hint="eastAsia" w:ascii="宋体" w:hAnsi="宋体"/>
          <w:sz w:val="28"/>
          <w:szCs w:val="28"/>
        </w:rPr>
        <w:t>号，主要职能是：</w:t>
      </w:r>
    </w:p>
    <w:p>
      <w:pPr>
        <w:numPr>
          <w:ilvl w:val="1"/>
          <w:numId w:val="1"/>
        </w:numPr>
        <w:rPr>
          <w:rFonts w:ascii="宋体"/>
          <w:sz w:val="28"/>
          <w:szCs w:val="28"/>
        </w:rPr>
      </w:pPr>
      <w:r>
        <w:rPr>
          <w:rFonts w:hint="eastAsia" w:ascii="宋体" w:hAnsi="宋体"/>
          <w:sz w:val="28"/>
          <w:szCs w:val="28"/>
        </w:rPr>
        <w:t>拟定全区宣传思想文化工作重大决策部署和事业发展总体规划。按照区委统一部署，协调宣传思想文化系统各部门之间的工作。</w:t>
      </w:r>
    </w:p>
    <w:p>
      <w:pPr>
        <w:numPr>
          <w:ilvl w:val="1"/>
          <w:numId w:val="1"/>
        </w:numPr>
        <w:rPr>
          <w:rFonts w:ascii="宋体"/>
          <w:sz w:val="28"/>
          <w:szCs w:val="28"/>
        </w:rPr>
      </w:pPr>
      <w:r>
        <w:rPr>
          <w:rFonts w:hint="eastAsia" w:ascii="宋体" w:hAnsi="宋体"/>
          <w:sz w:val="28"/>
          <w:szCs w:val="28"/>
        </w:rPr>
        <w:t>统筹协调全区意识形态工作，组织协调全区意识形态工作责任制落实和日常监督检查。</w:t>
      </w:r>
    </w:p>
    <w:p>
      <w:pPr>
        <w:numPr>
          <w:ilvl w:val="1"/>
          <w:numId w:val="1"/>
        </w:numPr>
        <w:rPr>
          <w:rFonts w:ascii="宋体"/>
          <w:sz w:val="28"/>
          <w:szCs w:val="28"/>
        </w:rPr>
      </w:pPr>
      <w:r>
        <w:rPr>
          <w:rFonts w:hint="eastAsia" w:ascii="宋体" w:hAnsi="宋体"/>
          <w:sz w:val="28"/>
          <w:szCs w:val="28"/>
        </w:rPr>
        <w:t>负责统筹指导协调全区理论研究、理论学习、理论宣传工作、组织推动理论武装工作。引导社会舆论，指导、协调新闻、文化等工作，从宏观上指导精神文化产品的生产。</w:t>
      </w:r>
    </w:p>
    <w:p>
      <w:pPr>
        <w:numPr>
          <w:ilvl w:val="1"/>
          <w:numId w:val="1"/>
        </w:numPr>
        <w:rPr>
          <w:rFonts w:ascii="宋体"/>
          <w:sz w:val="28"/>
          <w:szCs w:val="28"/>
        </w:rPr>
      </w:pPr>
      <w:r>
        <w:rPr>
          <w:rFonts w:hint="eastAsia" w:ascii="宋体" w:hAnsi="宋体"/>
          <w:sz w:val="28"/>
          <w:szCs w:val="28"/>
        </w:rPr>
        <w:t>负责规划、部署全区性的思想政治工作，研究改革创新思想政治工作，负责全区社会主义精神文明建设的组织、协调和指导工作。</w:t>
      </w:r>
    </w:p>
    <w:p>
      <w:pPr>
        <w:numPr>
          <w:ilvl w:val="1"/>
          <w:numId w:val="1"/>
        </w:numPr>
        <w:rPr>
          <w:rFonts w:ascii="宋体"/>
          <w:sz w:val="28"/>
          <w:szCs w:val="28"/>
        </w:rPr>
      </w:pPr>
      <w:r>
        <w:rPr>
          <w:rFonts w:hint="eastAsia" w:ascii="宋体" w:hAnsi="宋体"/>
          <w:sz w:val="28"/>
          <w:szCs w:val="28"/>
        </w:rPr>
        <w:t>负责全区党员的理论教育、路线方针政策教育、形势教育和国防教育的计划与安排。</w:t>
      </w:r>
    </w:p>
    <w:p>
      <w:pPr>
        <w:numPr>
          <w:ilvl w:val="1"/>
          <w:numId w:val="1"/>
        </w:numPr>
        <w:rPr>
          <w:rFonts w:ascii="宋体"/>
          <w:sz w:val="28"/>
          <w:szCs w:val="28"/>
        </w:rPr>
      </w:pPr>
      <w:r>
        <w:rPr>
          <w:rFonts w:hint="eastAsia" w:ascii="宋体" w:hAnsi="宋体"/>
          <w:sz w:val="28"/>
          <w:szCs w:val="28"/>
        </w:rPr>
        <w:t>统筹分析石头和引导全区社会舆论，组织全区突发公共事件应急新闻工作。承担区突发公共事件应急新闻日常工作。</w:t>
      </w:r>
    </w:p>
    <w:p>
      <w:pPr>
        <w:numPr>
          <w:ilvl w:val="1"/>
          <w:numId w:val="1"/>
        </w:numPr>
        <w:rPr>
          <w:rFonts w:ascii="宋体"/>
          <w:sz w:val="28"/>
          <w:szCs w:val="28"/>
        </w:rPr>
      </w:pPr>
      <w:r>
        <w:rPr>
          <w:rFonts w:hint="eastAsia" w:ascii="宋体" w:hAnsi="宋体"/>
          <w:sz w:val="28"/>
          <w:szCs w:val="28"/>
        </w:rPr>
        <w:t>负责全区新闻出版、鲁迅业、影视听传播及市场监督管理等工作，组织指导协调全区“扫黄打非”工作。负责全区全民阅读活动组织协调工作。</w:t>
      </w:r>
    </w:p>
    <w:p>
      <w:pPr>
        <w:numPr>
          <w:ilvl w:val="1"/>
          <w:numId w:val="1"/>
        </w:numPr>
        <w:rPr>
          <w:rFonts w:ascii="宋体"/>
          <w:sz w:val="28"/>
          <w:szCs w:val="28"/>
        </w:rPr>
      </w:pPr>
      <w:r>
        <w:rPr>
          <w:rFonts w:hint="eastAsia" w:ascii="宋体" w:hAnsi="宋体"/>
          <w:sz w:val="28"/>
          <w:szCs w:val="28"/>
        </w:rPr>
        <w:t>统筹指导协调全区互联网宣传和信息内容协调工作。统筹协调全区网络新媒体的建设、运行和管理工作。</w:t>
      </w:r>
    </w:p>
    <w:p>
      <w:pPr>
        <w:numPr>
          <w:ilvl w:val="1"/>
          <w:numId w:val="1"/>
        </w:numPr>
        <w:rPr>
          <w:rFonts w:ascii="宋体"/>
          <w:sz w:val="28"/>
          <w:szCs w:val="28"/>
        </w:rPr>
      </w:pPr>
      <w:r>
        <w:rPr>
          <w:rFonts w:hint="eastAsia" w:ascii="宋体" w:hAnsi="宋体"/>
          <w:sz w:val="28"/>
          <w:szCs w:val="28"/>
        </w:rPr>
        <w:t>统筹指导全区舆情信息工作，组织协调开展全区传情信息收集分析研判工作，跟踪了解、研究掌握宣传传情动态。</w:t>
      </w:r>
    </w:p>
    <w:p>
      <w:pPr>
        <w:numPr>
          <w:ilvl w:val="1"/>
          <w:numId w:val="1"/>
        </w:numPr>
        <w:rPr>
          <w:rFonts w:ascii="宋体"/>
          <w:sz w:val="28"/>
          <w:szCs w:val="28"/>
        </w:rPr>
      </w:pPr>
      <w:r>
        <w:rPr>
          <w:rFonts w:hint="eastAsia" w:ascii="宋体" w:hAnsi="宋体"/>
          <w:sz w:val="28"/>
          <w:szCs w:val="28"/>
        </w:rPr>
        <w:t>主管全区对外宣传工作，具体承担区委对外宣传的日常工作。统筹协调全区新闻通讯工作，承担区委新闻通讯有关协调工作，负责区政府新闻通讯的组织实施工作，落实新闻发言人制度。</w:t>
      </w:r>
    </w:p>
    <w:p>
      <w:pPr>
        <w:ind w:left="420"/>
        <w:rPr>
          <w:rFonts w:ascii="宋体"/>
          <w:sz w:val="28"/>
          <w:szCs w:val="28"/>
        </w:rPr>
      </w:pPr>
      <w:r>
        <w:rPr>
          <w:rFonts w:hint="eastAsia" w:ascii="宋体" w:hAnsi="宋体"/>
          <w:sz w:val="28"/>
          <w:szCs w:val="28"/>
        </w:rPr>
        <w:t>（十一）组织指导协调全区精神文明建设工作，承担区委精神文明建设指导委员会日常工作。</w:t>
      </w:r>
    </w:p>
    <w:p>
      <w:pPr>
        <w:ind w:left="420"/>
        <w:rPr>
          <w:rFonts w:ascii="宋体"/>
          <w:sz w:val="28"/>
          <w:szCs w:val="28"/>
        </w:rPr>
      </w:pPr>
      <w:r>
        <w:rPr>
          <w:rFonts w:hint="eastAsia" w:ascii="宋体" w:hAnsi="宋体"/>
          <w:sz w:val="28"/>
          <w:szCs w:val="28"/>
        </w:rPr>
        <w:t>（十二）组织协调全区网络安全和信息化建设工作，承担区委网络安全和信息化委员会日常工作。</w:t>
      </w:r>
    </w:p>
    <w:p>
      <w:pPr>
        <w:ind w:left="420"/>
        <w:rPr>
          <w:rFonts w:ascii="宋体"/>
          <w:sz w:val="28"/>
          <w:szCs w:val="28"/>
        </w:rPr>
      </w:pPr>
      <w:r>
        <w:rPr>
          <w:rFonts w:hint="eastAsia" w:ascii="宋体" w:hAnsi="宋体"/>
          <w:sz w:val="28"/>
          <w:szCs w:val="28"/>
        </w:rPr>
        <w:t>（十三）指导全区开展文化体育工作，协调组织中华优秀传统文化传承发展有关工作，指导协调推动群众文化建设。</w:t>
      </w:r>
    </w:p>
    <w:p>
      <w:pPr>
        <w:ind w:left="420"/>
        <w:rPr>
          <w:rFonts w:ascii="宋体"/>
          <w:sz w:val="28"/>
          <w:szCs w:val="28"/>
        </w:rPr>
      </w:pPr>
      <w:r>
        <w:rPr>
          <w:rFonts w:hint="eastAsia" w:ascii="宋体" w:hAnsi="宋体"/>
          <w:sz w:val="28"/>
          <w:szCs w:val="28"/>
        </w:rPr>
        <w:t>（十四）受区委委托，指导全区中小学校、群团组织的意识形态工作。</w:t>
      </w:r>
    </w:p>
    <w:p>
      <w:pPr>
        <w:ind w:left="420"/>
        <w:rPr>
          <w:rFonts w:ascii="宋体"/>
          <w:sz w:val="28"/>
          <w:szCs w:val="28"/>
        </w:rPr>
      </w:pPr>
      <w:r>
        <w:rPr>
          <w:rFonts w:hint="eastAsia" w:ascii="宋体" w:hAnsi="宋体"/>
          <w:sz w:val="28"/>
          <w:szCs w:val="28"/>
        </w:rPr>
        <w:t>（十五）负责政府网站、微信公众号的日常新闻采集编写、重大新闻信息发布、日常管理等工作。</w:t>
      </w:r>
    </w:p>
    <w:p>
      <w:pPr>
        <w:tabs>
          <w:tab w:val="right" w:pos="8306"/>
        </w:tabs>
        <w:ind w:left="420"/>
        <w:rPr>
          <w:rFonts w:ascii="宋体"/>
          <w:sz w:val="28"/>
          <w:szCs w:val="28"/>
        </w:rPr>
      </w:pPr>
      <w:r>
        <w:rPr>
          <w:rFonts w:hint="eastAsia" w:ascii="宋体" w:hAnsi="宋体"/>
          <w:sz w:val="28"/>
          <w:szCs w:val="28"/>
        </w:rPr>
        <w:t>（十六）完成上级交给的其他任务。</w:t>
      </w:r>
      <w:r>
        <w:rPr>
          <w:rFonts w:ascii="宋体"/>
          <w:sz w:val="28"/>
          <w:szCs w:val="28"/>
        </w:rPr>
        <w:tab/>
      </w:r>
    </w:p>
    <w:p>
      <w:pPr>
        <w:pStyle w:val="14"/>
        <w:spacing w:before="76" w:beforeAutospacing="0" w:after="76" w:afterAutospacing="0" w:line="450" w:lineRule="atLeast"/>
        <w:ind w:firstLine="420"/>
        <w:rPr>
          <w:color w:val="333333"/>
        </w:rPr>
      </w:pPr>
      <w:r>
        <w:rPr>
          <w:rFonts w:ascii="微软雅黑" w:hAnsi="微软雅黑" w:eastAsia="微软雅黑" w:cs="微软雅黑"/>
          <w:color w:val="333333"/>
          <w:shd w:val="clear" w:color="090000" w:fill="FFFFFF"/>
        </w:rPr>
        <w:t>2</w:t>
      </w:r>
      <w:r>
        <w:rPr>
          <w:rFonts w:hint="eastAsia" w:ascii="微软雅黑" w:hAnsi="微软雅黑" w:eastAsia="微软雅黑" w:cs="微软雅黑"/>
          <w:color w:val="333333"/>
          <w:shd w:val="clear" w:color="090000" w:fill="FFFFFF"/>
        </w:rPr>
        <w:t>、部门决算单位构成</w:t>
      </w:r>
    </w:p>
    <w:p>
      <w:pPr>
        <w:ind w:left="420"/>
        <w:rPr>
          <w:rFonts w:ascii="宋体" w:hAnsi="宋体"/>
          <w:sz w:val="28"/>
          <w:szCs w:val="28"/>
        </w:rPr>
      </w:pPr>
      <w:r>
        <w:rPr>
          <w:rFonts w:ascii="宋体" w:hAnsi="宋体"/>
          <w:sz w:val="28"/>
          <w:szCs w:val="28"/>
        </w:rPr>
        <w:t>区委文明办、区委网信办、区融媒体中心、区互联网信息办、区新闻办、区新闻出版局(版权局)</w:t>
      </w:r>
    </w:p>
    <w:p>
      <w:pPr>
        <w:pStyle w:val="6"/>
        <w:widowControl/>
        <w:spacing w:before="76" w:beforeAutospacing="0" w:after="76" w:afterAutospacing="0" w:line="450" w:lineRule="atLeast"/>
      </w:pPr>
      <w:r>
        <w:rPr>
          <w:rFonts w:hint="eastAsia" w:ascii="微软雅黑" w:hAnsi="微软雅黑" w:eastAsia="微软雅黑" w:cs="微软雅黑"/>
          <w:b/>
          <w:bCs/>
        </w:rPr>
        <w:t>第二部分：部门</w:t>
      </w:r>
      <w:r>
        <w:rPr>
          <w:rFonts w:ascii="微软雅黑" w:hAnsi="微软雅黑" w:eastAsia="微软雅黑" w:cs="微软雅黑"/>
          <w:b/>
          <w:bCs/>
        </w:rPr>
        <w:t>2020</w:t>
      </w:r>
      <w:r>
        <w:rPr>
          <w:rFonts w:hint="eastAsia" w:ascii="微软雅黑" w:hAnsi="微软雅黑" w:eastAsia="微软雅黑" w:cs="微软雅黑"/>
          <w:b/>
          <w:bCs/>
        </w:rPr>
        <w:t>年度部门决算表</w:t>
      </w:r>
    </w:p>
    <w:p>
      <w:pPr>
        <w:pStyle w:val="6"/>
        <w:widowControl/>
        <w:spacing w:before="76" w:beforeAutospacing="0" w:after="76" w:afterAutospacing="0" w:line="450" w:lineRule="atLeast"/>
        <w:jc w:val="both"/>
        <w:rPr>
          <w:color w:val="333333"/>
        </w:rPr>
      </w:pPr>
    </w:p>
    <w:p>
      <w:pPr>
        <w:pStyle w:val="6"/>
        <w:widowControl/>
        <w:spacing w:before="76" w:beforeAutospacing="0" w:after="76" w:afterAutospacing="0" w:line="450" w:lineRule="atLeast"/>
        <w:jc w:val="both"/>
        <w:rPr>
          <w:color w:val="333333"/>
        </w:rPr>
      </w:pPr>
      <w:r>
        <w:rPr>
          <w:color w:val="333333"/>
        </w:rPr>
        <w:drawing>
          <wp:inline distT="0" distB="0" distL="114300" distR="114300">
            <wp:extent cx="6515100" cy="52197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6515100" cy="5219700"/>
                    </a:xfrm>
                    <a:prstGeom prst="rect">
                      <a:avLst/>
                    </a:prstGeom>
                    <a:noFill/>
                    <a:ln>
                      <a:noFill/>
                    </a:ln>
                  </pic:spPr>
                </pic:pic>
              </a:graphicData>
            </a:graphic>
          </wp:inline>
        </w:drawing>
      </w:r>
    </w:p>
    <w:p>
      <w:pPr>
        <w:pStyle w:val="6"/>
        <w:widowControl/>
        <w:spacing w:before="76" w:beforeAutospacing="0" w:after="76" w:afterAutospacing="0" w:line="450" w:lineRule="atLeast"/>
        <w:jc w:val="both"/>
        <w:rPr>
          <w:color w:val="333333"/>
        </w:rPr>
      </w:pPr>
      <w:r>
        <w:rPr>
          <w:color w:val="333333"/>
        </w:rPr>
        <w:drawing>
          <wp:inline distT="0" distB="0" distL="114300" distR="114300">
            <wp:extent cx="8791575" cy="1971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8791575" cy="1971675"/>
                    </a:xfrm>
                    <a:prstGeom prst="rect">
                      <a:avLst/>
                    </a:prstGeom>
                    <a:noFill/>
                    <a:ln>
                      <a:noFill/>
                    </a:ln>
                  </pic:spPr>
                </pic:pic>
              </a:graphicData>
            </a:graphic>
          </wp:inline>
        </w:drawing>
      </w:r>
    </w:p>
    <w:p>
      <w:pPr>
        <w:pStyle w:val="6"/>
        <w:widowControl/>
        <w:spacing w:before="76" w:beforeAutospacing="0" w:after="76" w:afterAutospacing="0" w:line="450" w:lineRule="atLeast"/>
        <w:ind w:left="420"/>
        <w:jc w:val="center"/>
        <w:rPr>
          <w:color w:val="333333"/>
        </w:rPr>
      </w:pPr>
    </w:p>
    <w:p>
      <w:pPr>
        <w:pStyle w:val="6"/>
        <w:widowControl/>
        <w:spacing w:before="76" w:beforeAutospacing="0" w:after="76" w:afterAutospacing="0" w:line="450" w:lineRule="atLeast"/>
        <w:jc w:val="both"/>
        <w:rPr>
          <w:color w:val="333333"/>
        </w:rPr>
      </w:pPr>
    </w:p>
    <w:p>
      <w:pPr>
        <w:pStyle w:val="6"/>
        <w:widowControl/>
        <w:spacing w:before="76" w:beforeAutospacing="0" w:after="76" w:afterAutospacing="0" w:line="450" w:lineRule="atLeast"/>
        <w:jc w:val="both"/>
      </w:pPr>
      <w:r>
        <w:drawing>
          <wp:inline distT="0" distB="0" distL="114300" distR="114300">
            <wp:extent cx="8791575" cy="21907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8791575" cy="2190750"/>
                    </a:xfrm>
                    <a:prstGeom prst="rect">
                      <a:avLst/>
                    </a:prstGeom>
                    <a:noFill/>
                    <a:ln>
                      <a:noFill/>
                    </a:ln>
                  </pic:spPr>
                </pic:pic>
              </a:graphicData>
            </a:graphic>
          </wp:inline>
        </w:drawing>
      </w:r>
    </w:p>
    <w:p>
      <w:pPr>
        <w:pStyle w:val="6"/>
        <w:widowControl/>
        <w:spacing w:before="76" w:beforeAutospacing="0" w:after="76" w:afterAutospacing="0" w:line="450" w:lineRule="atLeast"/>
        <w:jc w:val="both"/>
      </w:pPr>
      <w:r>
        <w:drawing>
          <wp:inline distT="0" distB="0" distL="114300" distR="114300">
            <wp:extent cx="7419975" cy="52292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7419975" cy="5229225"/>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696325" cy="24860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8696325" cy="2486025"/>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848725" cy="52387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8848725" cy="5238750"/>
                    </a:xfrm>
                    <a:prstGeom prst="rect">
                      <a:avLst/>
                    </a:prstGeom>
                    <a:noFill/>
                    <a:ln>
                      <a:noFill/>
                    </a:ln>
                  </pic:spPr>
                </pic:pic>
              </a:graphicData>
            </a:graphic>
          </wp:inline>
        </w:drawing>
      </w: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r>
        <w:drawing>
          <wp:inline distT="0" distB="0" distL="114300" distR="114300">
            <wp:extent cx="8820150" cy="18764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8820150" cy="1876425"/>
                    </a:xfrm>
                    <a:prstGeom prst="rect">
                      <a:avLst/>
                    </a:prstGeom>
                    <a:noFill/>
                    <a:ln>
                      <a:noFill/>
                    </a:ln>
                  </pic:spPr>
                </pic:pic>
              </a:graphicData>
            </a:graphic>
          </wp:inline>
        </w:drawing>
      </w:r>
    </w:p>
    <w:p>
      <w:pPr>
        <w:pStyle w:val="6"/>
        <w:widowControl/>
        <w:spacing w:before="76" w:beforeAutospacing="0" w:after="76" w:afterAutospacing="0" w:line="450" w:lineRule="atLeast"/>
        <w:jc w:val="both"/>
      </w:pPr>
    </w:p>
    <w:tbl>
      <w:tblPr>
        <w:tblStyle w:val="7"/>
        <w:tblpPr w:leftFromText="180" w:rightFromText="180" w:vertAnchor="text" w:horzAnchor="page" w:tblpX="1573" w:tblpY="28"/>
        <w:tblOverlap w:val="never"/>
        <w:tblW w:w="13820" w:type="dxa"/>
        <w:tblInd w:w="0" w:type="dxa"/>
        <w:shd w:val="clear" w:color="auto" w:fill="auto"/>
        <w:tblLayout w:type="fixed"/>
        <w:tblCellMar>
          <w:top w:w="0" w:type="dxa"/>
          <w:left w:w="0" w:type="dxa"/>
          <w:bottom w:w="0" w:type="dxa"/>
          <w:right w:w="0" w:type="dxa"/>
        </w:tblCellMar>
      </w:tblPr>
      <w:tblGrid>
        <w:gridCol w:w="4240"/>
        <w:gridCol w:w="1329"/>
        <w:gridCol w:w="843"/>
        <w:gridCol w:w="843"/>
        <w:gridCol w:w="843"/>
        <w:gridCol w:w="843"/>
        <w:gridCol w:w="843"/>
        <w:gridCol w:w="4036"/>
      </w:tblGrid>
      <w:tr>
        <w:tblPrEx>
          <w:shd w:val="clear" w:color="auto" w:fill="auto"/>
          <w:tblCellMar>
            <w:top w:w="0" w:type="dxa"/>
            <w:left w:w="0" w:type="dxa"/>
            <w:bottom w:w="0" w:type="dxa"/>
            <w:right w:w="0" w:type="dxa"/>
          </w:tblCellMar>
        </w:tblPrEx>
        <w:trPr>
          <w:trHeight w:val="215"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110" w:hRule="atLeast"/>
        </w:trPr>
        <w:tc>
          <w:tcPr>
            <w:tcW w:w="13820" w:type="dxa"/>
            <w:gridSpan w:val="8"/>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110" w:hRule="atLeast"/>
        </w:trPr>
        <w:tc>
          <w:tcPr>
            <w:tcW w:w="5569" w:type="dxa"/>
            <w:gridSpan w:val="2"/>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18"/>
                <w:szCs w:val="18"/>
                <w:u w:val="none"/>
                <w:lang w:val="en-US" w:eastAsia="zh-CN" w:bidi="ar"/>
              </w:rPr>
              <w:t>中共</w:t>
            </w:r>
            <w:r>
              <w:rPr>
                <w:rFonts w:hint="eastAsia" w:ascii="宋体" w:hAnsi="宋体" w:eastAsia="宋体" w:cs="宋体"/>
                <w:i w:val="0"/>
                <w:color w:val="000000"/>
                <w:kern w:val="0"/>
                <w:sz w:val="18"/>
                <w:szCs w:val="18"/>
                <w:u w:val="none"/>
                <w:lang w:val="en-US" w:eastAsia="zh-CN" w:bidi="ar"/>
              </w:rPr>
              <w:t>黄石港区</w:t>
            </w:r>
            <w:r>
              <w:rPr>
                <w:rFonts w:hint="eastAsia" w:ascii="宋体" w:hAnsi="宋体" w:cs="宋体"/>
                <w:i w:val="0"/>
                <w:color w:val="000000"/>
                <w:kern w:val="0"/>
                <w:sz w:val="18"/>
                <w:szCs w:val="18"/>
                <w:u w:val="none"/>
                <w:lang w:val="en-US" w:eastAsia="zh-CN" w:bidi="ar"/>
              </w:rPr>
              <w:t>委宣传部</w:t>
            </w: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843" w:type="dxa"/>
            <w:tcBorders>
              <w:top w:val="nil"/>
              <w:left w:val="nil"/>
              <w:bottom w:val="nil"/>
              <w:right w:val="nil"/>
            </w:tcBorders>
            <w:shd w:val="clear" w:color="auto" w:fill="auto"/>
            <w:noWrap/>
            <w:tcMar>
              <w:top w:w="15" w:type="dxa"/>
              <w:left w:w="15" w:type="dxa"/>
              <w:right w:w="15" w:type="dxa"/>
            </w:tcMar>
            <w:vAlign w:val="bottom"/>
          </w:tcPr>
          <w:p>
            <w:pPr>
              <w:rPr>
                <w:rFonts w:hint="default" w:ascii="Arial" w:hAnsi="Arial" w:cs="Arial"/>
                <w:i w:val="0"/>
                <w:color w:val="000000"/>
                <w:sz w:val="20"/>
                <w:szCs w:val="20"/>
                <w:u w:val="none"/>
              </w:rPr>
            </w:pPr>
          </w:p>
        </w:tc>
        <w:tc>
          <w:tcPr>
            <w:tcW w:w="4036" w:type="dxa"/>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114" w:hRule="atLeast"/>
        </w:trPr>
        <w:tc>
          <w:tcPr>
            <w:tcW w:w="5569" w:type="dxa"/>
            <w:gridSpan w:val="2"/>
            <w:tcBorders>
              <w:top w:val="single" w:color="000000" w:sz="4" w:space="0"/>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43"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29" w:type="dxa"/>
            <w:gridSpan w:val="3"/>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036" w:type="dxa"/>
            <w:vMerge w:val="restart"/>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4240" w:type="dxa"/>
            <w:vMerge w:val="restart"/>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329" w:type="dxa"/>
            <w:vMerge w:val="restart"/>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trPr>
        <w:tc>
          <w:tcPr>
            <w:tcW w:w="4240" w:type="dxa"/>
            <w:vMerge w:val="continue"/>
            <w:tcBorders>
              <w:top w:val="nil"/>
              <w:left w:val="single" w:color="000000" w:sz="4" w:space="0"/>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9" w:type="dxa"/>
            <w:vMerge w:val="continue"/>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43" w:type="dxa"/>
            <w:vMerge w:val="continue"/>
            <w:tcBorders>
              <w:top w:val="nil"/>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036" w:type="dxa"/>
            <w:vMerge w:val="continue"/>
            <w:tcBorders>
              <w:top w:val="single" w:color="000000" w:sz="4" w:space="0"/>
              <w:left w:val="nil"/>
              <w:bottom w:val="single" w:color="000000" w:sz="4" w:space="0"/>
              <w:right w:val="single" w:color="000000" w:sz="4" w:space="0"/>
            </w:tcBorders>
            <w:shd w:val="clear" w:color="FFFFFF" w:fill="C0C0C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36" w:type="dxa"/>
            <w:tcBorders>
              <w:top w:val="nil"/>
              <w:left w:val="nil"/>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114" w:hRule="atLeast"/>
        </w:trPr>
        <w:tc>
          <w:tcPr>
            <w:tcW w:w="5569" w:type="dxa"/>
            <w:gridSpan w:val="2"/>
            <w:tcBorders>
              <w:top w:val="nil"/>
              <w:left w:val="single" w:color="000000" w:sz="4" w:space="0"/>
              <w:bottom w:val="single" w:color="000000" w:sz="4" w:space="0"/>
              <w:right w:val="single" w:color="000000" w:sz="4" w:space="0"/>
            </w:tcBorders>
            <w:shd w:val="clear" w:color="FFFFFF" w:fill="C0C0C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b/>
                <w:i w:val="0"/>
                <w:color w:val="000000"/>
                <w:sz w:val="22"/>
                <w:szCs w:val="22"/>
                <w:u w:val="none"/>
                <w:lang w:val="en-US" w:eastAsia="zh-CN"/>
              </w:rPr>
            </w:pPr>
          </w:p>
        </w:tc>
      </w:tr>
      <w:tr>
        <w:tblPrEx>
          <w:tblCellMar>
            <w:top w:w="0" w:type="dxa"/>
            <w:left w:w="0" w:type="dxa"/>
            <w:bottom w:w="0" w:type="dxa"/>
            <w:right w:w="0" w:type="dxa"/>
          </w:tblCellMar>
        </w:tblPrEx>
        <w:trPr>
          <w:trHeight w:val="114" w:hRule="atLeast"/>
        </w:trPr>
        <w:tc>
          <w:tcPr>
            <w:tcW w:w="424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3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0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14" w:hRule="atLeast"/>
        </w:trPr>
        <w:tc>
          <w:tcPr>
            <w:tcW w:w="1382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pPr>
    </w:p>
    <w:p>
      <w:pPr>
        <w:pStyle w:val="6"/>
        <w:widowControl/>
        <w:spacing w:before="76" w:beforeAutospacing="0" w:after="76" w:afterAutospacing="0" w:line="450" w:lineRule="atLeast"/>
        <w:jc w:val="both"/>
        <w:sectPr>
          <w:headerReference r:id="rId3" w:type="default"/>
          <w:pgSz w:w="16838" w:h="11906" w:orient="landscape"/>
          <w:pgMar w:top="1800" w:right="1440" w:bottom="1800" w:left="1440" w:header="851" w:footer="992" w:gutter="0"/>
          <w:cols w:space="425" w:num="1"/>
          <w:docGrid w:type="lines" w:linePitch="312" w:charSpace="0"/>
        </w:sectPr>
      </w:pPr>
    </w:p>
    <w:p>
      <w:pPr>
        <w:pStyle w:val="6"/>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p>
    <w:p>
      <w:pPr>
        <w:pStyle w:val="6"/>
        <w:widowControl/>
        <w:spacing w:before="76" w:beforeAutospacing="0" w:after="76" w:afterAutospacing="0" w:line="450" w:lineRule="atLeast"/>
        <w:ind w:firstLine="240" w:firstLineChars="100"/>
        <w:rPr>
          <w:color w:val="333333"/>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2020</w:t>
      </w:r>
      <w:r>
        <w:rPr>
          <w:rStyle w:val="9"/>
          <w:rFonts w:hint="eastAsia" w:ascii="微软雅黑" w:hAnsi="微软雅黑" w:eastAsia="微软雅黑" w:cs="微软雅黑"/>
          <w:color w:val="333333"/>
          <w:shd w:val="clear" w:color="auto" w:fill="FFFFFF"/>
        </w:rPr>
        <w:t>年度部门决算情况说明</w:t>
      </w:r>
    </w:p>
    <w:p>
      <w:pPr>
        <w:widowControl/>
        <w:shd w:val="clear" w:color="auto" w:fill="FFFFFF"/>
        <w:ind w:firstLine="480"/>
        <w:jc w:val="left"/>
        <w:rPr>
          <w:rFonts w:ascii="宋体" w:cs="宋体"/>
          <w:b/>
          <w:bCs/>
          <w:sz w:val="28"/>
          <w:szCs w:val="28"/>
        </w:rPr>
      </w:pPr>
      <w:r>
        <w:rPr>
          <w:rFonts w:hint="eastAsia" w:ascii="宋体" w:hAnsi="宋体" w:cs="宋体"/>
          <w:b/>
          <w:bCs/>
          <w:sz w:val="28"/>
          <w:szCs w:val="28"/>
        </w:rPr>
        <w:t>（一）预算执行情况分析</w:t>
      </w:r>
    </w:p>
    <w:p>
      <w:pPr>
        <w:shd w:val="clear" w:color="auto" w:fill="FFFFFF"/>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1</w:t>
      </w:r>
      <w:r>
        <w:rPr>
          <w:rFonts w:hint="eastAsia" w:ascii="宋体" w:hAnsi="宋体" w:cs="宋体"/>
          <w:color w:val="333333"/>
          <w:sz w:val="28"/>
          <w:szCs w:val="28"/>
        </w:rPr>
        <w:t>、收入分析：</w:t>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本年总收入</w:t>
      </w:r>
      <w:r>
        <w:rPr>
          <w:rFonts w:ascii="宋体" w:hAnsi="宋体" w:cs="仿宋_GB2312"/>
          <w:color w:val="000000"/>
          <w:sz w:val="28"/>
          <w:szCs w:val="28"/>
        </w:rPr>
        <w:t>392.71</w:t>
      </w:r>
      <w:r>
        <w:rPr>
          <w:rFonts w:hint="eastAsia" w:ascii="宋体" w:hAnsi="宋体" w:cs="仿宋_GB2312"/>
          <w:color w:val="000000"/>
          <w:sz w:val="28"/>
          <w:szCs w:val="28"/>
        </w:rPr>
        <w:t>万元比去年</w:t>
      </w:r>
      <w:r>
        <w:rPr>
          <w:rFonts w:ascii="宋体" w:hAnsi="宋体" w:cs="仿宋_GB2312"/>
          <w:color w:val="000000"/>
          <w:sz w:val="28"/>
          <w:szCs w:val="28"/>
        </w:rPr>
        <w:t>310.86</w:t>
      </w:r>
      <w:r>
        <w:rPr>
          <w:rFonts w:hint="eastAsia" w:ascii="宋体" w:hAnsi="宋体" w:cs="仿宋_GB2312"/>
          <w:color w:val="000000"/>
          <w:sz w:val="28"/>
          <w:szCs w:val="28"/>
        </w:rPr>
        <w:t>万元增加</w:t>
      </w:r>
      <w:r>
        <w:rPr>
          <w:rFonts w:ascii="宋体" w:hAnsi="宋体" w:cs="仿宋_GB2312"/>
          <w:color w:val="000000"/>
          <w:sz w:val="28"/>
          <w:szCs w:val="28"/>
        </w:rPr>
        <w:t>81.85</w:t>
      </w:r>
      <w:r>
        <w:rPr>
          <w:rFonts w:hint="eastAsia" w:ascii="宋体" w:hAnsi="宋体" w:cs="仿宋_GB2312"/>
          <w:color w:val="000000"/>
          <w:sz w:val="28"/>
          <w:szCs w:val="28"/>
        </w:rPr>
        <w:t>万元，增幅</w:t>
      </w:r>
      <w:r>
        <w:rPr>
          <w:rFonts w:ascii="宋体" w:hAnsi="宋体" w:cs="仿宋_GB2312"/>
          <w:color w:val="000000"/>
          <w:sz w:val="28"/>
          <w:szCs w:val="28"/>
        </w:rPr>
        <w:t>26.33%</w:t>
      </w:r>
      <w:r>
        <w:rPr>
          <w:rFonts w:hint="eastAsia" w:ascii="宋体" w:hAnsi="宋体" w:cs="仿宋_GB2312"/>
          <w:color w:val="000000"/>
          <w:sz w:val="28"/>
          <w:szCs w:val="28"/>
        </w:rPr>
        <w:t>，其主要原因为本年增加建市</w:t>
      </w:r>
      <w:r>
        <w:rPr>
          <w:rFonts w:ascii="宋体" w:hAnsi="宋体" w:cs="仿宋_GB2312"/>
          <w:color w:val="000000"/>
          <w:sz w:val="28"/>
          <w:szCs w:val="28"/>
        </w:rPr>
        <w:t>70</w:t>
      </w:r>
      <w:r>
        <w:rPr>
          <w:rFonts w:hint="eastAsia" w:ascii="宋体" w:hAnsi="宋体" w:cs="仿宋_GB2312"/>
          <w:color w:val="000000"/>
          <w:sz w:val="28"/>
          <w:szCs w:val="28"/>
        </w:rPr>
        <w:t>周年宣传业务所致，</w:t>
      </w:r>
      <w:r>
        <w:rPr>
          <w:rFonts w:hint="eastAsia" w:ascii="宋体" w:hAnsi="宋体" w:cs="宋体"/>
          <w:color w:val="333333"/>
          <w:sz w:val="28"/>
          <w:szCs w:val="28"/>
        </w:rPr>
        <w:t>其中财政拨款收入</w:t>
      </w:r>
      <w:r>
        <w:rPr>
          <w:rFonts w:ascii="宋体" w:hAnsi="宋体" w:cs="宋体"/>
          <w:color w:val="333333"/>
          <w:sz w:val="28"/>
          <w:szCs w:val="28"/>
        </w:rPr>
        <w:t>388.81</w:t>
      </w:r>
      <w:r>
        <w:rPr>
          <w:rFonts w:hint="eastAsia" w:ascii="宋体" w:hAnsi="宋体" w:cs="宋体"/>
          <w:color w:val="333333"/>
          <w:sz w:val="28"/>
          <w:szCs w:val="28"/>
        </w:rPr>
        <w:t>万元，占比</w:t>
      </w:r>
      <w:r>
        <w:rPr>
          <w:rFonts w:ascii="宋体" w:hAnsi="宋体" w:cs="宋体"/>
          <w:color w:val="333333"/>
          <w:sz w:val="28"/>
          <w:szCs w:val="28"/>
        </w:rPr>
        <w:t>99.01%</w:t>
      </w:r>
      <w:r>
        <w:rPr>
          <w:rFonts w:hint="eastAsia" w:ascii="宋体" w:hAnsi="宋体" w:cs="宋体"/>
          <w:color w:val="333333"/>
          <w:sz w:val="28"/>
          <w:szCs w:val="28"/>
        </w:rPr>
        <w:t>，其他收入</w:t>
      </w:r>
      <w:r>
        <w:rPr>
          <w:rFonts w:ascii="宋体" w:hAnsi="宋体" w:cs="宋体"/>
          <w:color w:val="333333"/>
          <w:sz w:val="28"/>
          <w:szCs w:val="28"/>
        </w:rPr>
        <w:t>3.90</w:t>
      </w:r>
      <w:r>
        <w:rPr>
          <w:rFonts w:hint="eastAsia" w:ascii="宋体" w:hAnsi="宋体" w:cs="宋体"/>
          <w:color w:val="333333"/>
          <w:sz w:val="28"/>
          <w:szCs w:val="28"/>
        </w:rPr>
        <w:t>万元，占比</w:t>
      </w:r>
      <w:r>
        <w:rPr>
          <w:rFonts w:ascii="宋体" w:hAnsi="宋体" w:cs="宋体"/>
          <w:color w:val="333333"/>
          <w:sz w:val="28"/>
          <w:szCs w:val="28"/>
        </w:rPr>
        <w:t>0.99%</w:t>
      </w:r>
      <w:r>
        <w:rPr>
          <w:rFonts w:hint="eastAsia" w:ascii="宋体" w:hAnsi="宋体" w:cs="宋体"/>
          <w:color w:val="333333"/>
          <w:sz w:val="28"/>
          <w:szCs w:val="28"/>
        </w:rPr>
        <w:t>。</w:t>
      </w:r>
    </w:p>
    <w:p>
      <w:pPr>
        <w:shd w:val="clear" w:color="auto" w:fill="FFFFFF"/>
        <w:tabs>
          <w:tab w:val="left" w:pos="6690"/>
          <w:tab w:val="left" w:pos="7545"/>
        </w:tabs>
        <w:snapToGrid w:val="0"/>
        <w:spacing w:line="560" w:lineRule="atLeast"/>
        <w:ind w:firstLine="560" w:firstLineChars="200"/>
        <w:rPr>
          <w:rFonts w:ascii="宋体" w:cs="宋体"/>
          <w:color w:val="333333"/>
          <w:sz w:val="28"/>
          <w:szCs w:val="28"/>
        </w:rPr>
      </w:pPr>
      <w:r>
        <w:rPr>
          <w:rFonts w:ascii="宋体" w:hAnsi="宋体" w:cs="宋体"/>
          <w:color w:val="333333"/>
          <w:sz w:val="28"/>
          <w:szCs w:val="28"/>
        </w:rPr>
        <w:t>2</w:t>
      </w:r>
      <w:r>
        <w:rPr>
          <w:rFonts w:hint="eastAsia" w:ascii="宋体" w:hAnsi="宋体" w:cs="宋体"/>
          <w:color w:val="333333"/>
          <w:sz w:val="28"/>
          <w:szCs w:val="28"/>
        </w:rPr>
        <w:t>、支出分析：</w:t>
      </w:r>
      <w:r>
        <w:rPr>
          <w:rFonts w:ascii="宋体" w:cs="宋体"/>
          <w:color w:val="333333"/>
          <w:sz w:val="28"/>
          <w:szCs w:val="28"/>
        </w:rPr>
        <w:tab/>
      </w:r>
      <w:r>
        <w:rPr>
          <w:rFonts w:ascii="宋体" w:cs="宋体"/>
          <w:color w:val="333333"/>
          <w:sz w:val="28"/>
          <w:szCs w:val="28"/>
        </w:rPr>
        <w:tab/>
      </w:r>
    </w:p>
    <w:p>
      <w:pPr>
        <w:shd w:val="clear" w:color="auto" w:fill="FFFFFF"/>
        <w:snapToGrid w:val="0"/>
        <w:spacing w:line="560" w:lineRule="atLeast"/>
        <w:ind w:firstLine="560" w:firstLineChars="200"/>
        <w:rPr>
          <w:rFonts w:ascii="宋体" w:cs="宋体"/>
          <w:color w:val="333333"/>
          <w:sz w:val="28"/>
          <w:szCs w:val="28"/>
        </w:rPr>
      </w:pPr>
      <w:r>
        <w:rPr>
          <w:rFonts w:hint="eastAsia" w:ascii="宋体" w:hAnsi="宋体" w:cs="宋体"/>
          <w:color w:val="333333"/>
          <w:sz w:val="28"/>
          <w:szCs w:val="28"/>
        </w:rPr>
        <w:t>本年总支出为</w:t>
      </w:r>
      <w:r>
        <w:rPr>
          <w:rFonts w:ascii="宋体" w:hAnsi="宋体" w:cs="仿宋_GB2312"/>
          <w:color w:val="000000"/>
          <w:sz w:val="28"/>
          <w:szCs w:val="28"/>
        </w:rPr>
        <w:t>392.71</w:t>
      </w:r>
      <w:r>
        <w:rPr>
          <w:rFonts w:hint="eastAsia" w:ascii="宋体" w:hAnsi="宋体" w:cs="仿宋_GB2312"/>
          <w:color w:val="000000"/>
          <w:sz w:val="28"/>
          <w:szCs w:val="28"/>
        </w:rPr>
        <w:t>万元比去年</w:t>
      </w:r>
      <w:r>
        <w:rPr>
          <w:rFonts w:ascii="宋体" w:hAnsi="宋体" w:cs="仿宋_GB2312"/>
          <w:color w:val="000000"/>
          <w:sz w:val="28"/>
          <w:szCs w:val="28"/>
        </w:rPr>
        <w:t>310.86</w:t>
      </w:r>
      <w:r>
        <w:rPr>
          <w:rFonts w:hint="eastAsia" w:ascii="宋体" w:hAnsi="宋体" w:cs="仿宋_GB2312"/>
          <w:color w:val="000000"/>
          <w:sz w:val="28"/>
          <w:szCs w:val="28"/>
        </w:rPr>
        <w:t>万元增加</w:t>
      </w:r>
      <w:r>
        <w:rPr>
          <w:rFonts w:ascii="宋体" w:hAnsi="宋体" w:cs="仿宋_GB2312"/>
          <w:color w:val="000000"/>
          <w:sz w:val="28"/>
          <w:szCs w:val="28"/>
        </w:rPr>
        <w:t>81.85</w:t>
      </w:r>
      <w:r>
        <w:rPr>
          <w:rFonts w:hint="eastAsia" w:ascii="宋体" w:hAnsi="宋体" w:cs="仿宋_GB2312"/>
          <w:color w:val="000000"/>
          <w:sz w:val="28"/>
          <w:szCs w:val="28"/>
        </w:rPr>
        <w:t>万元，增幅</w:t>
      </w:r>
      <w:r>
        <w:rPr>
          <w:rFonts w:ascii="宋体" w:hAnsi="宋体" w:cs="仿宋_GB2312"/>
          <w:color w:val="000000"/>
          <w:sz w:val="28"/>
          <w:szCs w:val="28"/>
        </w:rPr>
        <w:t>26.33%</w:t>
      </w:r>
      <w:r>
        <w:rPr>
          <w:rFonts w:hint="eastAsia" w:ascii="宋体" w:hAnsi="宋体" w:cs="仿宋_GB2312"/>
          <w:color w:val="000000"/>
          <w:sz w:val="28"/>
          <w:szCs w:val="28"/>
        </w:rPr>
        <w:t>，其主要原因为本年增加建市</w:t>
      </w:r>
      <w:r>
        <w:rPr>
          <w:rFonts w:ascii="宋体" w:hAnsi="宋体" w:cs="仿宋_GB2312"/>
          <w:color w:val="000000"/>
          <w:sz w:val="28"/>
          <w:szCs w:val="28"/>
        </w:rPr>
        <w:t>70</w:t>
      </w:r>
      <w:r>
        <w:rPr>
          <w:rFonts w:hint="eastAsia" w:ascii="宋体" w:hAnsi="宋体" w:cs="仿宋_GB2312"/>
          <w:color w:val="000000"/>
          <w:sz w:val="28"/>
          <w:szCs w:val="28"/>
        </w:rPr>
        <w:t>周年宣传业务所致，</w:t>
      </w:r>
      <w:r>
        <w:rPr>
          <w:rFonts w:hint="eastAsia" w:ascii="宋体" w:hAnsi="宋体" w:cs="宋体"/>
          <w:color w:val="333333"/>
          <w:sz w:val="28"/>
          <w:szCs w:val="28"/>
        </w:rPr>
        <w:t>其中一般公共预算财政拨款支出</w:t>
      </w:r>
      <w:r>
        <w:rPr>
          <w:rFonts w:ascii="宋体" w:hAnsi="宋体" w:cs="宋体"/>
          <w:color w:val="333333"/>
          <w:sz w:val="28"/>
          <w:szCs w:val="28"/>
        </w:rPr>
        <w:t>388.81</w:t>
      </w:r>
      <w:r>
        <w:rPr>
          <w:rFonts w:hint="eastAsia" w:ascii="宋体" w:hAnsi="宋体" w:cs="宋体"/>
          <w:color w:val="333333"/>
          <w:sz w:val="28"/>
          <w:szCs w:val="28"/>
        </w:rPr>
        <w:t>万元具体构成如下：</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1</w:t>
      </w:r>
      <w:r>
        <w:rPr>
          <w:rFonts w:hint="eastAsia" w:ascii="宋体" w:hAnsi="宋体" w:cs="宋体"/>
          <w:color w:val="333333"/>
          <w:sz w:val="28"/>
          <w:szCs w:val="28"/>
        </w:rPr>
        <w:t>）工资福利支出</w:t>
      </w:r>
      <w:r>
        <w:rPr>
          <w:rFonts w:ascii="宋体" w:hAnsi="宋体" w:cs="宋体"/>
          <w:color w:val="333333"/>
          <w:sz w:val="28"/>
          <w:szCs w:val="28"/>
        </w:rPr>
        <w:t>130.81</w:t>
      </w:r>
      <w:r>
        <w:rPr>
          <w:rFonts w:hint="eastAsia" w:ascii="宋体" w:hAnsi="宋体" w:cs="宋体"/>
          <w:color w:val="333333"/>
          <w:sz w:val="28"/>
          <w:szCs w:val="28"/>
        </w:rPr>
        <w:t>万元。占比</w:t>
      </w:r>
      <w:r>
        <w:rPr>
          <w:rFonts w:ascii="宋体" w:hAnsi="宋体" w:cs="宋体"/>
          <w:color w:val="333333"/>
          <w:sz w:val="28"/>
          <w:szCs w:val="28"/>
        </w:rPr>
        <w:t>33.65%</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2</w:t>
      </w:r>
      <w:r>
        <w:rPr>
          <w:rFonts w:hint="eastAsia" w:ascii="宋体" w:hAnsi="宋体" w:cs="宋体"/>
          <w:color w:val="333333"/>
          <w:sz w:val="28"/>
          <w:szCs w:val="28"/>
        </w:rPr>
        <w:t>）商品和服务支出</w:t>
      </w:r>
      <w:r>
        <w:rPr>
          <w:rFonts w:ascii="宋体" w:hAnsi="宋体" w:cs="宋体"/>
          <w:color w:val="333333"/>
          <w:sz w:val="28"/>
          <w:szCs w:val="28"/>
        </w:rPr>
        <w:t>248.54</w:t>
      </w:r>
      <w:r>
        <w:rPr>
          <w:rFonts w:hint="eastAsia" w:ascii="宋体" w:hAnsi="宋体" w:cs="宋体"/>
          <w:color w:val="333333"/>
          <w:sz w:val="28"/>
          <w:szCs w:val="28"/>
        </w:rPr>
        <w:t>万元。占比</w:t>
      </w:r>
      <w:r>
        <w:rPr>
          <w:rFonts w:ascii="宋体" w:hAnsi="宋体" w:cs="宋体"/>
          <w:color w:val="333333"/>
          <w:sz w:val="28"/>
          <w:szCs w:val="28"/>
        </w:rPr>
        <w:t>63.92%</w:t>
      </w:r>
    </w:p>
    <w:p>
      <w:pPr>
        <w:shd w:val="clear" w:color="auto" w:fill="FFFFFF"/>
        <w:snapToGrid w:val="0"/>
        <w:spacing w:line="560" w:lineRule="atLeast"/>
        <w:ind w:firstLine="560" w:firstLineChars="200"/>
        <w:rPr>
          <w:rFonts w:ascii="宋体" w:hAnsi="宋体" w:cs="宋体"/>
          <w:color w:val="333333"/>
          <w:sz w:val="28"/>
          <w:szCs w:val="28"/>
        </w:rPr>
      </w:pPr>
      <w:r>
        <w:rPr>
          <w:rFonts w:hint="eastAsia" w:ascii="宋体" w:hAnsi="宋体" w:cs="宋体"/>
          <w:color w:val="333333"/>
          <w:sz w:val="28"/>
          <w:szCs w:val="28"/>
        </w:rPr>
        <w:t>（</w:t>
      </w:r>
      <w:r>
        <w:rPr>
          <w:rFonts w:ascii="宋体" w:hAnsi="宋体" w:cs="宋体"/>
          <w:color w:val="333333"/>
          <w:sz w:val="28"/>
          <w:szCs w:val="28"/>
        </w:rPr>
        <w:t>3</w:t>
      </w:r>
      <w:r>
        <w:rPr>
          <w:rFonts w:hint="eastAsia" w:ascii="宋体" w:hAnsi="宋体" w:cs="宋体"/>
          <w:color w:val="333333"/>
          <w:sz w:val="28"/>
          <w:szCs w:val="28"/>
        </w:rPr>
        <w:t>）资本性支出</w:t>
      </w:r>
      <w:r>
        <w:rPr>
          <w:rFonts w:ascii="宋体" w:hAnsi="宋体" w:cs="宋体"/>
          <w:color w:val="333333"/>
          <w:sz w:val="28"/>
          <w:szCs w:val="28"/>
        </w:rPr>
        <w:t>9.46</w:t>
      </w:r>
      <w:r>
        <w:rPr>
          <w:rFonts w:hint="eastAsia" w:ascii="宋体" w:hAnsi="宋体" w:cs="宋体"/>
          <w:color w:val="333333"/>
          <w:sz w:val="28"/>
          <w:szCs w:val="28"/>
        </w:rPr>
        <w:t>万元。占比</w:t>
      </w:r>
      <w:r>
        <w:rPr>
          <w:rFonts w:ascii="宋体" w:hAnsi="宋体" w:cs="宋体"/>
          <w:color w:val="333333"/>
          <w:sz w:val="28"/>
          <w:szCs w:val="28"/>
        </w:rPr>
        <w:t>2.43%</w:t>
      </w:r>
    </w:p>
    <w:p>
      <w:pPr>
        <w:widowControl/>
        <w:ind w:firstLine="560" w:firstLineChars="200"/>
        <w:rPr>
          <w:rFonts w:ascii="宋体"/>
          <w:sz w:val="28"/>
          <w:szCs w:val="28"/>
        </w:rPr>
      </w:pPr>
    </w:p>
    <w:p>
      <w:pPr>
        <w:widowControl/>
        <w:numPr>
          <w:ilvl w:val="0"/>
          <w:numId w:val="2"/>
        </w:numPr>
        <w:shd w:val="clear" w:color="auto" w:fill="FFFFFF"/>
        <w:ind w:firstLine="480"/>
        <w:jc w:val="left"/>
        <w:rPr>
          <w:rFonts w:ascii="宋体" w:cs="宋体"/>
          <w:b/>
          <w:bCs/>
          <w:sz w:val="28"/>
          <w:szCs w:val="28"/>
        </w:rPr>
      </w:pPr>
      <w:r>
        <w:rPr>
          <w:rFonts w:hint="eastAsia" w:ascii="宋体" w:hAnsi="宋体" w:cs="宋体"/>
          <w:b/>
          <w:bCs/>
          <w:sz w:val="28"/>
          <w:szCs w:val="28"/>
        </w:rPr>
        <w:t>关于“三公”经费支出说明</w:t>
      </w:r>
    </w:p>
    <w:p>
      <w:pPr>
        <w:widowControl/>
        <w:shd w:val="clear" w:color="auto" w:fill="FFFFFF"/>
        <w:ind w:firstLine="840" w:firstLineChars="300"/>
        <w:jc w:val="left"/>
        <w:rPr>
          <w:rFonts w:ascii="宋体" w:cs="宋体"/>
          <w:sz w:val="28"/>
          <w:szCs w:val="28"/>
        </w:rPr>
      </w:pPr>
      <w:r>
        <w:rPr>
          <w:rFonts w:hint="eastAsia" w:ascii="宋体" w:hAnsi="宋体" w:cs="仿宋_GB2312"/>
          <w:color w:val="000000"/>
          <w:sz w:val="28"/>
          <w:szCs w:val="28"/>
        </w:rPr>
        <w:t>本部门</w:t>
      </w:r>
      <w:r>
        <w:rPr>
          <w:rFonts w:hint="eastAsia" w:ascii="宋体" w:hAnsi="宋体" w:cs="宋体"/>
          <w:color w:val="333333"/>
          <w:sz w:val="28"/>
          <w:szCs w:val="28"/>
        </w:rPr>
        <w:t>本年度三公经费支出</w:t>
      </w:r>
      <w:r>
        <w:rPr>
          <w:rFonts w:ascii="宋体" w:hAnsi="宋体" w:cs="宋体"/>
          <w:color w:val="333333"/>
          <w:sz w:val="28"/>
          <w:szCs w:val="28"/>
        </w:rPr>
        <w:t>635.00</w:t>
      </w:r>
      <w:r>
        <w:rPr>
          <w:rFonts w:hint="eastAsia" w:ascii="宋体" w:hAnsi="宋体" w:cs="宋体"/>
          <w:color w:val="333333"/>
          <w:sz w:val="28"/>
          <w:szCs w:val="28"/>
        </w:rPr>
        <w:t>元，全部为公务接待支出，今年国内公务接待</w:t>
      </w:r>
      <w:r>
        <w:rPr>
          <w:rFonts w:ascii="宋体" w:hAnsi="宋体" w:cs="宋体"/>
          <w:color w:val="333333"/>
          <w:sz w:val="28"/>
          <w:szCs w:val="28"/>
        </w:rPr>
        <w:t>1</w:t>
      </w:r>
      <w:r>
        <w:rPr>
          <w:rFonts w:hint="eastAsia" w:ascii="宋体" w:hAnsi="宋体" w:cs="宋体"/>
          <w:color w:val="333333"/>
          <w:sz w:val="28"/>
          <w:szCs w:val="28"/>
        </w:rPr>
        <w:t>批</w:t>
      </w:r>
      <w:r>
        <w:rPr>
          <w:rFonts w:ascii="宋体" w:hAnsi="宋体" w:cs="宋体"/>
          <w:color w:val="333333"/>
          <w:sz w:val="28"/>
          <w:szCs w:val="28"/>
        </w:rPr>
        <w:t>7</w:t>
      </w:r>
      <w:r>
        <w:rPr>
          <w:rFonts w:hint="eastAsia" w:ascii="宋体" w:hAnsi="宋体" w:cs="宋体"/>
          <w:color w:val="333333"/>
          <w:sz w:val="28"/>
          <w:szCs w:val="28"/>
        </w:rPr>
        <w:t>人支出</w:t>
      </w:r>
      <w:r>
        <w:rPr>
          <w:rFonts w:ascii="宋体" w:hAnsi="宋体" w:cs="宋体"/>
          <w:color w:val="333333"/>
          <w:sz w:val="28"/>
          <w:szCs w:val="28"/>
        </w:rPr>
        <w:t>635.00</w:t>
      </w:r>
      <w:r>
        <w:rPr>
          <w:rFonts w:hint="eastAsia" w:ascii="宋体" w:hAnsi="宋体" w:cs="宋体"/>
          <w:color w:val="333333"/>
          <w:sz w:val="28"/>
          <w:szCs w:val="28"/>
        </w:rPr>
        <w:t>元。</w:t>
      </w:r>
    </w:p>
    <w:p>
      <w:pPr>
        <w:widowControl/>
        <w:shd w:val="clear" w:color="auto" w:fill="FFFFFF"/>
        <w:jc w:val="left"/>
        <w:rPr>
          <w:rFonts w:ascii="宋体" w:cs="宋体"/>
          <w:b/>
          <w:bCs/>
          <w:sz w:val="28"/>
          <w:szCs w:val="28"/>
        </w:rPr>
      </w:pPr>
      <w:r>
        <w:rPr>
          <w:rFonts w:hint="eastAsia" w:ascii="宋体" w:hAnsi="宋体" w:cs="宋体"/>
          <w:sz w:val="28"/>
          <w:szCs w:val="28"/>
        </w:rPr>
        <w:t>　　</w:t>
      </w:r>
      <w:r>
        <w:rPr>
          <w:rFonts w:hint="eastAsia" w:ascii="宋体" w:hAnsi="宋体" w:cs="宋体"/>
          <w:b/>
          <w:bCs/>
          <w:sz w:val="28"/>
          <w:szCs w:val="28"/>
        </w:rPr>
        <w:t>（三）关于机关运行经费支出说明</w:t>
      </w:r>
    </w:p>
    <w:p>
      <w:pPr>
        <w:ind w:firstLine="709"/>
        <w:rPr>
          <w:rFonts w:ascii="宋体" w:cs="仿宋"/>
          <w:bCs/>
          <w:color w:val="000000"/>
          <w:sz w:val="28"/>
          <w:szCs w:val="28"/>
        </w:rPr>
      </w:pPr>
      <w:r>
        <w:rPr>
          <w:rFonts w:hint="eastAsia" w:ascii="宋体" w:hAnsi="宋体" w:cs="仿宋"/>
          <w:bCs/>
          <w:color w:val="000000"/>
          <w:sz w:val="28"/>
          <w:szCs w:val="28"/>
        </w:rPr>
        <w:t>本单位</w:t>
      </w:r>
      <w:r>
        <w:rPr>
          <w:rFonts w:hint="eastAsia" w:ascii="宋体" w:hAnsi="宋体" w:cs="仿宋_GB2312"/>
          <w:color w:val="000000"/>
          <w:sz w:val="28"/>
          <w:szCs w:val="28"/>
        </w:rPr>
        <w:t>本年机关运行经费支出</w:t>
      </w:r>
      <w:r>
        <w:rPr>
          <w:rFonts w:ascii="宋体" w:hAnsi="宋体" w:cs="仿宋_GB2312"/>
          <w:color w:val="000000"/>
          <w:sz w:val="28"/>
          <w:szCs w:val="28"/>
        </w:rPr>
        <w:t>258.00</w:t>
      </w:r>
      <w:r>
        <w:rPr>
          <w:rFonts w:hint="eastAsia" w:ascii="宋体" w:hAnsi="宋体" w:cs="仿宋_GB2312"/>
          <w:color w:val="000000"/>
          <w:sz w:val="28"/>
          <w:szCs w:val="28"/>
        </w:rPr>
        <w:t>万元比去年</w:t>
      </w:r>
      <w:r>
        <w:rPr>
          <w:rFonts w:ascii="宋体" w:hAnsi="宋体" w:cs="仿宋_GB2312"/>
          <w:color w:val="000000"/>
          <w:sz w:val="28"/>
          <w:szCs w:val="28"/>
        </w:rPr>
        <w:t>199.17</w:t>
      </w:r>
      <w:r>
        <w:rPr>
          <w:rFonts w:hint="eastAsia" w:ascii="宋体" w:hAnsi="宋体" w:cs="仿宋_GB2312"/>
          <w:color w:val="000000"/>
          <w:sz w:val="28"/>
          <w:szCs w:val="28"/>
        </w:rPr>
        <w:t>万元增加</w:t>
      </w:r>
      <w:r>
        <w:rPr>
          <w:rFonts w:ascii="宋体" w:hAnsi="宋体" w:cs="仿宋_GB2312"/>
          <w:color w:val="000000"/>
          <w:sz w:val="28"/>
          <w:szCs w:val="28"/>
        </w:rPr>
        <w:t>58.83</w:t>
      </w:r>
      <w:r>
        <w:rPr>
          <w:rFonts w:hint="eastAsia" w:ascii="宋体" w:hAnsi="宋体" w:cs="仿宋_GB2312"/>
          <w:color w:val="000000"/>
          <w:sz w:val="28"/>
          <w:szCs w:val="28"/>
        </w:rPr>
        <w:t>万元，增幅</w:t>
      </w:r>
      <w:r>
        <w:rPr>
          <w:rFonts w:ascii="宋体" w:hAnsi="宋体" w:cs="仿宋_GB2312"/>
          <w:color w:val="000000"/>
          <w:sz w:val="28"/>
          <w:szCs w:val="28"/>
        </w:rPr>
        <w:t>29.54%</w:t>
      </w:r>
      <w:r>
        <w:rPr>
          <w:rFonts w:hint="eastAsia" w:ascii="宋体" w:hAnsi="宋体" w:cs="仿宋_GB2312"/>
          <w:color w:val="000000"/>
          <w:sz w:val="28"/>
          <w:szCs w:val="28"/>
        </w:rPr>
        <w:t>，其主要原因为本年增加建市</w:t>
      </w:r>
      <w:r>
        <w:rPr>
          <w:rFonts w:ascii="宋体" w:hAnsi="宋体" w:cs="仿宋_GB2312"/>
          <w:color w:val="000000"/>
          <w:sz w:val="28"/>
          <w:szCs w:val="28"/>
        </w:rPr>
        <w:t>70</w:t>
      </w:r>
      <w:r>
        <w:rPr>
          <w:rFonts w:hint="eastAsia" w:ascii="宋体" w:hAnsi="宋体" w:cs="仿宋_GB2312"/>
          <w:color w:val="000000"/>
          <w:sz w:val="28"/>
          <w:szCs w:val="28"/>
        </w:rPr>
        <w:t>周年宣传业务</w:t>
      </w:r>
      <w:r>
        <w:rPr>
          <w:rFonts w:hint="eastAsia" w:ascii="宋体" w:hAnsi="宋体" w:cs="仿宋"/>
          <w:bCs/>
          <w:color w:val="000000"/>
          <w:sz w:val="28"/>
          <w:szCs w:val="28"/>
        </w:rPr>
        <w:t>所致。</w:t>
      </w:r>
    </w:p>
    <w:p>
      <w:pPr>
        <w:widowControl/>
        <w:shd w:val="clear" w:color="auto" w:fill="FFFFFF"/>
        <w:ind w:firstLine="422" w:firstLineChars="150"/>
        <w:jc w:val="left"/>
        <w:rPr>
          <w:rFonts w:ascii="宋体" w:cs="宋体"/>
          <w:b/>
          <w:bCs/>
          <w:sz w:val="28"/>
          <w:szCs w:val="28"/>
        </w:rPr>
      </w:pPr>
      <w:r>
        <w:rPr>
          <w:rFonts w:hint="eastAsia" w:ascii="宋体" w:hAnsi="宋体" w:cs="宋体"/>
          <w:b/>
          <w:bCs/>
          <w:sz w:val="28"/>
          <w:szCs w:val="28"/>
        </w:rPr>
        <w:t>（四）关于政府采购支出说明</w:t>
      </w:r>
    </w:p>
    <w:p>
      <w:pPr>
        <w:ind w:firstLine="560" w:firstLineChars="200"/>
        <w:rPr>
          <w:rFonts w:ascii="宋体" w:cs="仿宋"/>
          <w:sz w:val="28"/>
          <w:szCs w:val="28"/>
        </w:rPr>
      </w:pPr>
      <w:r>
        <w:rPr>
          <w:rFonts w:hint="eastAsia" w:ascii="宋体" w:hAnsi="宋体" w:cs="仿宋"/>
          <w:bCs/>
          <w:sz w:val="28"/>
          <w:szCs w:val="28"/>
        </w:rPr>
        <w:t>本部门本年度政府采购总支出</w:t>
      </w:r>
      <w:r>
        <w:rPr>
          <w:rFonts w:ascii="宋体" w:hAnsi="宋体" w:cs="仿宋"/>
          <w:bCs/>
          <w:sz w:val="28"/>
          <w:szCs w:val="28"/>
        </w:rPr>
        <w:t>23.21</w:t>
      </w:r>
      <w:r>
        <w:rPr>
          <w:rFonts w:hint="eastAsia" w:ascii="宋体" w:hAnsi="宋体" w:cs="仿宋"/>
          <w:bCs/>
          <w:sz w:val="28"/>
          <w:szCs w:val="28"/>
        </w:rPr>
        <w:t>万元，其中采购货物支出</w:t>
      </w:r>
      <w:r>
        <w:rPr>
          <w:rFonts w:ascii="宋体" w:hAnsi="宋体" w:cs="仿宋"/>
          <w:bCs/>
          <w:sz w:val="28"/>
          <w:szCs w:val="28"/>
        </w:rPr>
        <w:t>10.24</w:t>
      </w:r>
      <w:r>
        <w:rPr>
          <w:rFonts w:hint="eastAsia" w:ascii="宋体" w:hAnsi="宋体" w:cs="仿宋"/>
          <w:bCs/>
          <w:sz w:val="28"/>
          <w:szCs w:val="28"/>
        </w:rPr>
        <w:t>万元、采购服务支出</w:t>
      </w:r>
      <w:r>
        <w:rPr>
          <w:rFonts w:ascii="宋体" w:hAnsi="宋体" w:cs="仿宋"/>
          <w:bCs/>
          <w:sz w:val="28"/>
          <w:szCs w:val="28"/>
        </w:rPr>
        <w:t>12.97</w:t>
      </w:r>
      <w:r>
        <w:rPr>
          <w:rFonts w:hint="eastAsia" w:ascii="宋体" w:hAnsi="宋体" w:cs="仿宋"/>
          <w:bCs/>
          <w:sz w:val="28"/>
          <w:szCs w:val="28"/>
        </w:rPr>
        <w:t>万元。</w:t>
      </w:r>
    </w:p>
    <w:p>
      <w:pPr>
        <w:widowControl/>
        <w:shd w:val="clear" w:color="auto" w:fill="FFFFFF"/>
        <w:ind w:firstLine="422" w:firstLineChars="150"/>
        <w:jc w:val="left"/>
        <w:rPr>
          <w:rFonts w:ascii="宋体" w:cs="宋体"/>
          <w:b/>
          <w:bCs/>
          <w:sz w:val="28"/>
          <w:szCs w:val="28"/>
        </w:rPr>
      </w:pPr>
      <w:r>
        <w:rPr>
          <w:rFonts w:hint="eastAsia" w:ascii="宋体" w:hAnsi="宋体" w:cs="宋体"/>
          <w:b/>
          <w:bCs/>
          <w:sz w:val="28"/>
          <w:szCs w:val="28"/>
        </w:rPr>
        <w:t>（五）关于国有资产占用情况说明</w:t>
      </w:r>
    </w:p>
    <w:p>
      <w:pPr>
        <w:widowControl/>
        <w:ind w:firstLine="556" w:firstLineChars="196"/>
        <w:rPr>
          <w:rFonts w:ascii="宋体"/>
          <w:spacing w:val="2"/>
          <w:sz w:val="28"/>
          <w:szCs w:val="28"/>
        </w:rPr>
      </w:pPr>
      <w:r>
        <w:rPr>
          <w:rFonts w:hint="eastAsia" w:ascii="宋体" w:hAnsi="宋体"/>
          <w:spacing w:val="2"/>
          <w:sz w:val="28"/>
          <w:szCs w:val="28"/>
        </w:rPr>
        <w:t>截至</w:t>
      </w:r>
      <w:r>
        <w:rPr>
          <w:rFonts w:ascii="宋体" w:hAnsi="宋体"/>
          <w:spacing w:val="2"/>
          <w:sz w:val="28"/>
          <w:szCs w:val="28"/>
        </w:rPr>
        <w:t>2020</w:t>
      </w:r>
      <w:r>
        <w:rPr>
          <w:rFonts w:hint="eastAsia" w:ascii="宋体" w:hAnsi="宋体"/>
          <w:spacing w:val="2"/>
          <w:sz w:val="28"/>
          <w:szCs w:val="28"/>
        </w:rPr>
        <w:t>年度</w:t>
      </w:r>
      <w:r>
        <w:rPr>
          <w:rFonts w:ascii="宋体" w:hAnsi="宋体"/>
          <w:spacing w:val="2"/>
          <w:sz w:val="28"/>
          <w:szCs w:val="28"/>
        </w:rPr>
        <w:t>12</w:t>
      </w:r>
      <w:r>
        <w:rPr>
          <w:rFonts w:hint="eastAsia" w:ascii="宋体" w:hAnsi="宋体"/>
          <w:spacing w:val="2"/>
          <w:sz w:val="28"/>
          <w:szCs w:val="28"/>
        </w:rPr>
        <w:t>月</w:t>
      </w:r>
      <w:r>
        <w:rPr>
          <w:rFonts w:ascii="宋体" w:hAnsi="宋体"/>
          <w:spacing w:val="2"/>
          <w:sz w:val="28"/>
          <w:szCs w:val="28"/>
        </w:rPr>
        <w:t>31</w:t>
      </w:r>
      <w:r>
        <w:rPr>
          <w:rFonts w:hint="eastAsia" w:ascii="宋体" w:hAnsi="宋体"/>
          <w:spacing w:val="2"/>
          <w:sz w:val="28"/>
          <w:szCs w:val="28"/>
        </w:rPr>
        <w:t>日，本单位共有车辆</w:t>
      </w:r>
      <w:r>
        <w:rPr>
          <w:rFonts w:ascii="宋体" w:hAnsi="宋体"/>
          <w:spacing w:val="2"/>
          <w:sz w:val="28"/>
          <w:szCs w:val="28"/>
        </w:rPr>
        <w:t>1</w:t>
      </w:r>
      <w:r>
        <w:rPr>
          <w:rFonts w:hint="eastAsia" w:ascii="宋体" w:hAnsi="宋体"/>
          <w:spacing w:val="2"/>
          <w:sz w:val="28"/>
          <w:szCs w:val="28"/>
        </w:rPr>
        <w:t>辆。主要原因是车辆改革，本单位该车辆已划致机关事务处，但固定资产系统中该车辆仍未下账，为保持与固定资产系统一致，</w:t>
      </w:r>
      <w:r>
        <w:rPr>
          <w:rFonts w:ascii="宋体" w:hAnsi="宋体"/>
          <w:spacing w:val="2"/>
          <w:sz w:val="28"/>
          <w:szCs w:val="28"/>
        </w:rPr>
        <w:t>2020</w:t>
      </w:r>
      <w:r>
        <w:rPr>
          <w:rFonts w:hint="eastAsia" w:ascii="宋体" w:hAnsi="宋体"/>
          <w:spacing w:val="2"/>
          <w:sz w:val="28"/>
          <w:szCs w:val="28"/>
        </w:rPr>
        <w:t>年度部门决算系统填报车辆数为</w:t>
      </w:r>
      <w:r>
        <w:rPr>
          <w:rFonts w:ascii="宋体" w:hAnsi="宋体"/>
          <w:spacing w:val="2"/>
          <w:sz w:val="28"/>
          <w:szCs w:val="28"/>
        </w:rPr>
        <w:t>1</w:t>
      </w:r>
      <w:r>
        <w:rPr>
          <w:rFonts w:hint="eastAsia" w:ascii="宋体" w:hAnsi="宋体"/>
          <w:spacing w:val="2"/>
          <w:sz w:val="28"/>
          <w:szCs w:val="28"/>
        </w:rPr>
        <w:t>。</w:t>
      </w:r>
    </w:p>
    <w:p>
      <w:pPr>
        <w:widowControl/>
        <w:shd w:val="clear" w:color="auto" w:fill="FFFFFF"/>
        <w:ind w:firstLine="281" w:firstLineChars="100"/>
        <w:jc w:val="left"/>
        <w:rPr>
          <w:rFonts w:ascii="宋体" w:cs="宋体"/>
          <w:b/>
          <w:bCs/>
          <w:sz w:val="28"/>
          <w:szCs w:val="28"/>
        </w:rPr>
      </w:pPr>
      <w:r>
        <w:rPr>
          <w:rFonts w:hint="eastAsia" w:ascii="宋体" w:hAnsi="宋体" w:cs="宋体"/>
          <w:b/>
          <w:bCs/>
          <w:sz w:val="28"/>
          <w:szCs w:val="28"/>
        </w:rPr>
        <w:t>（六）重点绩效评价结果等预算绩效情况说明</w:t>
      </w:r>
    </w:p>
    <w:p>
      <w:pPr>
        <w:widowControl/>
        <w:ind w:firstLine="548" w:firstLineChars="196"/>
        <w:rPr>
          <w:rFonts w:hint="eastAsia" w:ascii="宋体" w:hAnsi="宋体" w:cs="宋体"/>
          <w:kern w:val="0"/>
          <w:sz w:val="28"/>
          <w:szCs w:val="28"/>
        </w:rPr>
      </w:pPr>
      <w:r>
        <w:rPr>
          <w:rFonts w:ascii="宋体" w:hAnsi="宋体" w:cs="宋体"/>
          <w:kern w:val="0"/>
          <w:sz w:val="28"/>
          <w:szCs w:val="28"/>
        </w:rPr>
        <w:t>20</w:t>
      </w:r>
      <w:r>
        <w:rPr>
          <w:rFonts w:hint="eastAsia" w:ascii="宋体" w:hAnsi="宋体" w:cs="宋体"/>
          <w:kern w:val="0"/>
          <w:sz w:val="28"/>
          <w:szCs w:val="28"/>
        </w:rPr>
        <w:t>20年，</w:t>
      </w:r>
      <w:r>
        <w:rPr>
          <w:rFonts w:ascii="宋体" w:hAnsi="宋体" w:cs="宋体"/>
          <w:kern w:val="0"/>
          <w:sz w:val="28"/>
          <w:szCs w:val="28"/>
        </w:rPr>
        <w:t xml:space="preserve"> </w:t>
      </w:r>
      <w:r>
        <w:rPr>
          <w:rFonts w:hint="eastAsia" w:ascii="宋体" w:hAnsi="宋体" w:cs="宋体"/>
          <w:kern w:val="0"/>
          <w:sz w:val="28"/>
          <w:szCs w:val="28"/>
        </w:rPr>
        <w:t>根据预算绩效管理要求，我单位组织</w:t>
      </w:r>
      <w:r>
        <w:rPr>
          <w:rFonts w:ascii="宋体" w:hAnsi="宋体" w:cs="宋体"/>
          <w:kern w:val="0"/>
          <w:sz w:val="28"/>
          <w:szCs w:val="28"/>
        </w:rPr>
        <w:t>20</w:t>
      </w:r>
      <w:r>
        <w:rPr>
          <w:rFonts w:hint="eastAsia" w:ascii="宋体" w:hAnsi="宋体" w:cs="宋体"/>
          <w:kern w:val="0"/>
          <w:sz w:val="28"/>
          <w:szCs w:val="28"/>
        </w:rPr>
        <w:t>20年度一般公共预算项目支出全面开展绩效自评，共涉及项目1个，资金28万元。</w:t>
      </w:r>
      <w:r>
        <w:rPr>
          <w:rFonts w:ascii="宋体" w:hAnsi="宋体" w:cs="宋体"/>
          <w:kern w:val="0"/>
          <w:sz w:val="28"/>
          <w:szCs w:val="28"/>
        </w:rPr>
        <w:t xml:space="preserve"> 20</w:t>
      </w:r>
      <w:r>
        <w:rPr>
          <w:rFonts w:hint="eastAsia" w:ascii="宋体" w:hAnsi="宋体" w:cs="宋体"/>
          <w:kern w:val="0"/>
          <w:sz w:val="28"/>
          <w:szCs w:val="28"/>
        </w:rPr>
        <w:t>20年项目资金投入28万元，已使用28万元，使用率达</w:t>
      </w:r>
      <w:r>
        <w:rPr>
          <w:rFonts w:ascii="宋体" w:hAnsi="宋体" w:cs="宋体"/>
          <w:kern w:val="0"/>
          <w:sz w:val="28"/>
          <w:szCs w:val="28"/>
        </w:rPr>
        <w:t>100%</w:t>
      </w:r>
      <w:r>
        <w:rPr>
          <w:rFonts w:hint="eastAsia" w:ascii="宋体" w:hAnsi="宋体" w:cs="宋体"/>
          <w:kern w:val="0"/>
          <w:sz w:val="28"/>
          <w:szCs w:val="28"/>
        </w:rPr>
        <w:t>。使用从评价结果看，项目立项程序完整、规范，预算执行及时、有效，绩效目标得到较好实现，绩效管理水平不断提高，绩效指标体系建设逐渐丰富和完善。</w:t>
      </w:r>
    </w:p>
    <w:p>
      <w:pPr>
        <w:spacing w:line="440" w:lineRule="exact"/>
        <w:ind w:firstLine="562" w:firstLineChars="200"/>
        <w:rPr>
          <w:rFonts w:hint="eastAsia" w:ascii="宋体" w:hAnsi="宋体"/>
          <w:b/>
          <w:color w:val="FF6600"/>
          <w:spacing w:val="2"/>
          <w:sz w:val="28"/>
          <w:szCs w:val="28"/>
        </w:rPr>
      </w:pPr>
      <w:r>
        <w:rPr>
          <w:rFonts w:hint="eastAsia" w:ascii="宋体" w:hAnsi="宋体" w:cs="宋体"/>
          <w:b/>
          <w:bCs/>
          <w:sz w:val="28"/>
          <w:szCs w:val="28"/>
          <w:lang w:val="en-US" w:eastAsia="zh-CN"/>
        </w:rPr>
        <w:t>（七）</w:t>
      </w:r>
      <w:r>
        <w:rPr>
          <w:rFonts w:hint="eastAsia" w:ascii="宋体" w:hAnsi="宋体"/>
          <w:b/>
          <w:spacing w:val="2"/>
          <w:sz w:val="28"/>
          <w:szCs w:val="28"/>
        </w:rPr>
        <w:t>决算收支增减变化情况</w:t>
      </w:r>
      <w:bookmarkStart w:id="0" w:name="_GoBack"/>
      <w:bookmarkEnd w:id="0"/>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1、收入增减变化情况</w:t>
      </w:r>
    </w:p>
    <w:p>
      <w:pPr>
        <w:widowControl/>
        <w:ind w:firstLine="568" w:firstLineChars="200"/>
        <w:rPr>
          <w:rFonts w:hint="eastAsia" w:ascii="宋体" w:hAnsi="宋体"/>
          <w:spacing w:val="2"/>
          <w:sz w:val="28"/>
          <w:szCs w:val="28"/>
        </w:rPr>
      </w:pPr>
      <w:r>
        <w:rPr>
          <w:rFonts w:hint="eastAsia" w:ascii="宋体" w:hAnsi="宋体"/>
          <w:spacing w:val="2"/>
          <w:sz w:val="28"/>
          <w:szCs w:val="28"/>
        </w:rPr>
        <w:t>2019年全年总收入</w:t>
      </w:r>
      <w:r>
        <w:rPr>
          <w:rFonts w:hint="eastAsia" w:ascii="宋体" w:hAnsi="宋体"/>
          <w:spacing w:val="2"/>
          <w:sz w:val="28"/>
          <w:szCs w:val="28"/>
          <w:lang w:val="en-US" w:eastAsia="zh-CN"/>
        </w:rPr>
        <w:t>310.86万</w:t>
      </w:r>
      <w:r>
        <w:rPr>
          <w:rFonts w:hint="eastAsia" w:ascii="宋体" w:hAnsi="宋体"/>
          <w:spacing w:val="2"/>
          <w:sz w:val="28"/>
          <w:szCs w:val="28"/>
        </w:rPr>
        <w:t>元,2020年全年总收入</w:t>
      </w:r>
      <w:r>
        <w:rPr>
          <w:rFonts w:hint="eastAsia" w:ascii="宋体" w:hAnsi="宋体"/>
          <w:spacing w:val="2"/>
          <w:sz w:val="28"/>
          <w:szCs w:val="28"/>
          <w:lang w:val="en-US" w:eastAsia="zh-CN"/>
        </w:rPr>
        <w:t>392.71万</w:t>
      </w:r>
      <w:r>
        <w:rPr>
          <w:rFonts w:hint="eastAsia" w:ascii="宋体" w:hAnsi="宋体"/>
          <w:spacing w:val="2"/>
          <w:sz w:val="28"/>
          <w:szCs w:val="28"/>
        </w:rPr>
        <w:t>元，同比上年增加</w:t>
      </w:r>
      <w:r>
        <w:rPr>
          <w:rFonts w:hint="eastAsia" w:ascii="宋体" w:hAnsi="宋体"/>
          <w:spacing w:val="2"/>
          <w:sz w:val="28"/>
          <w:szCs w:val="28"/>
          <w:lang w:val="en-US" w:eastAsia="zh-CN"/>
        </w:rPr>
        <w:t>81.85万</w:t>
      </w:r>
      <w:r>
        <w:rPr>
          <w:rFonts w:hint="eastAsia" w:ascii="宋体" w:hAnsi="宋体"/>
          <w:spacing w:val="2"/>
          <w:sz w:val="28"/>
          <w:szCs w:val="28"/>
        </w:rPr>
        <w:t>元，增长幅度为</w:t>
      </w:r>
      <w:r>
        <w:rPr>
          <w:rFonts w:hint="eastAsia" w:ascii="宋体" w:hAnsi="宋体"/>
          <w:spacing w:val="2"/>
          <w:sz w:val="28"/>
          <w:szCs w:val="28"/>
          <w:lang w:val="en-US" w:eastAsia="zh-CN"/>
        </w:rPr>
        <w:t>26.33</w:t>
      </w:r>
      <w:r>
        <w:rPr>
          <w:rFonts w:hint="eastAsia" w:ascii="宋体" w:hAnsi="宋体"/>
          <w:spacing w:val="2"/>
          <w:sz w:val="28"/>
          <w:szCs w:val="28"/>
        </w:rPr>
        <w:t>%，原因是业务量增加。</w:t>
      </w:r>
    </w:p>
    <w:p>
      <w:pPr>
        <w:spacing w:line="440" w:lineRule="exact"/>
        <w:ind w:firstLine="568" w:firstLineChars="200"/>
        <w:rPr>
          <w:rFonts w:hint="eastAsia" w:ascii="宋体" w:hAnsi="宋体"/>
          <w:spacing w:val="2"/>
          <w:sz w:val="28"/>
          <w:szCs w:val="28"/>
        </w:rPr>
      </w:pPr>
      <w:r>
        <w:rPr>
          <w:rFonts w:hint="eastAsia" w:ascii="宋体" w:hAnsi="宋体"/>
          <w:spacing w:val="2"/>
          <w:sz w:val="28"/>
          <w:szCs w:val="28"/>
        </w:rPr>
        <w:t>2、支出增减变化情况</w:t>
      </w:r>
    </w:p>
    <w:p>
      <w:pPr>
        <w:widowControl/>
        <w:ind w:firstLine="556" w:firstLineChars="196"/>
        <w:rPr>
          <w:rFonts w:ascii="宋体"/>
          <w:spacing w:val="2"/>
          <w:sz w:val="28"/>
          <w:szCs w:val="28"/>
        </w:rPr>
      </w:pPr>
      <w:r>
        <w:rPr>
          <w:rFonts w:hint="eastAsia" w:ascii="宋体" w:hAnsi="宋体"/>
          <w:spacing w:val="2"/>
          <w:sz w:val="28"/>
          <w:szCs w:val="28"/>
        </w:rPr>
        <w:t>2019年全年总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310.86万</w:t>
      </w:r>
      <w:r>
        <w:rPr>
          <w:rFonts w:hint="eastAsia" w:ascii="宋体" w:hAnsi="宋体"/>
          <w:spacing w:val="2"/>
          <w:sz w:val="28"/>
          <w:szCs w:val="28"/>
        </w:rPr>
        <w:t>元,2020年全年总</w:t>
      </w:r>
      <w:r>
        <w:rPr>
          <w:rFonts w:hint="eastAsia" w:ascii="宋体" w:hAnsi="宋体"/>
          <w:spacing w:val="2"/>
          <w:sz w:val="28"/>
          <w:szCs w:val="28"/>
          <w:lang w:eastAsia="zh-CN"/>
        </w:rPr>
        <w:t>支出</w:t>
      </w:r>
      <w:r>
        <w:rPr>
          <w:rFonts w:hint="eastAsia" w:ascii="宋体" w:hAnsi="宋体"/>
          <w:spacing w:val="2"/>
          <w:sz w:val="28"/>
          <w:szCs w:val="28"/>
          <w:lang w:val="en-US" w:eastAsia="zh-CN"/>
        </w:rPr>
        <w:t>392.71万</w:t>
      </w:r>
      <w:r>
        <w:rPr>
          <w:rFonts w:hint="eastAsia" w:ascii="宋体" w:hAnsi="宋体"/>
          <w:spacing w:val="2"/>
          <w:sz w:val="28"/>
          <w:szCs w:val="28"/>
        </w:rPr>
        <w:t>元，同比上年增加</w:t>
      </w:r>
      <w:r>
        <w:rPr>
          <w:rFonts w:hint="eastAsia" w:ascii="宋体" w:hAnsi="宋体"/>
          <w:spacing w:val="2"/>
          <w:sz w:val="28"/>
          <w:szCs w:val="28"/>
          <w:lang w:val="en-US" w:eastAsia="zh-CN"/>
        </w:rPr>
        <w:t>81.85万</w:t>
      </w:r>
      <w:r>
        <w:rPr>
          <w:rFonts w:hint="eastAsia" w:ascii="宋体" w:hAnsi="宋体"/>
          <w:spacing w:val="2"/>
          <w:sz w:val="28"/>
          <w:szCs w:val="28"/>
        </w:rPr>
        <w:t>元，增长幅度为</w:t>
      </w:r>
      <w:r>
        <w:rPr>
          <w:rFonts w:hint="eastAsia" w:ascii="宋体" w:hAnsi="宋体"/>
          <w:spacing w:val="2"/>
          <w:sz w:val="28"/>
          <w:szCs w:val="28"/>
          <w:lang w:val="en-US" w:eastAsia="zh-CN"/>
        </w:rPr>
        <w:t>26.33</w:t>
      </w:r>
      <w:r>
        <w:rPr>
          <w:rFonts w:hint="eastAsia" w:ascii="宋体" w:hAnsi="宋体"/>
          <w:spacing w:val="2"/>
          <w:sz w:val="28"/>
          <w:szCs w:val="28"/>
        </w:rPr>
        <w:t>%，原因是业务量增加。</w:t>
      </w:r>
    </w:p>
    <w:p>
      <w:pPr>
        <w:pStyle w:val="6"/>
        <w:widowControl/>
        <w:spacing w:before="76" w:beforeAutospacing="0" w:after="76" w:afterAutospacing="0" w:line="450" w:lineRule="atLeast"/>
        <w:ind w:firstLine="420"/>
        <w:rPr>
          <w:b/>
        </w:rPr>
      </w:pPr>
      <w:r>
        <w:rPr>
          <w:rStyle w:val="9"/>
          <w:rFonts w:hint="eastAsia" w:ascii="微软雅黑" w:hAnsi="微软雅黑" w:eastAsia="微软雅黑" w:cs="微软雅黑"/>
          <w:shd w:val="clear" w:color="auto" w:fill="FFFFFF"/>
        </w:rPr>
        <w:t>第四部分</w:t>
      </w:r>
      <w:r>
        <w:rPr>
          <w:rStyle w:val="9"/>
          <w:rFonts w:ascii="微软雅黑" w:hAnsi="微软雅黑" w:eastAsia="微软雅黑" w:cs="微软雅黑"/>
          <w:shd w:val="clear" w:color="auto" w:fill="FFFFFF"/>
        </w:rPr>
        <w:t xml:space="preserve"> </w:t>
      </w:r>
      <w:r>
        <w:rPr>
          <w:rStyle w:val="9"/>
          <w:rFonts w:hint="eastAsia" w:ascii="微软雅黑" w:hAnsi="微软雅黑" w:eastAsia="微软雅黑" w:cs="微软雅黑"/>
          <w:shd w:val="clear" w:color="auto" w:fill="FFFFFF"/>
        </w:rPr>
        <w:t>名词解释</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一、财政补助收入：指县级财政当年拨付的资金。</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二、其他收入：指除“财政拨款收入”、“上级补助收入”、“事业收入”、“经营收入”等以外的收入。主要是存款利息收入等。</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三、年初结转和结余：指以前年度尚未完成、结转到本年按有关规定继续使用的资金。</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四、一般公共服务（类）行政运行（项）：指县行政单位及参照公务员管理事业单位用于保障机构正常运行、开展日常工作的基本支出。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五、一般公共服务（类）一般行政管理事务（项）：指县行政单位及参照公务员管理事业单位用于开展立法调研、财政信息宣传、非税收入征管等未单独设置项级科目的专门性财政管理工作的项目支出。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六、一般公共服务（类）机关服务（项）：指黄石港区宣传部服务中心为机关提供办公楼日常维修、维护等后勤保障服务的支出。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七、一般公共服务（类）其他一般公共服务支出（款）其他一般公共服务支出（项）：指黄石港区宣传部用于其他一般公共服务方面的支出。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八、教育（类）普通教育（款）高等教育（项）：指黄石港区宣传部支持地方高校的重点发展和特色办学，组织专家对省属院校申报的建设规划和项目预算进行评审等相关工作的支出。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九、社会保障和就业</w:t>
      </w:r>
      <w:r>
        <w:rPr>
          <w:rFonts w:ascii="宋体" w:hAnsi="宋体"/>
          <w:spacing w:val="2"/>
          <w:kern w:val="2"/>
          <w:sz w:val="28"/>
          <w:szCs w:val="28"/>
        </w:rPr>
        <w:t>(</w:t>
      </w:r>
      <w:r>
        <w:rPr>
          <w:rFonts w:hint="eastAsia" w:ascii="宋体" w:hAnsi="宋体"/>
          <w:spacing w:val="2"/>
          <w:kern w:val="2"/>
          <w:sz w:val="28"/>
          <w:szCs w:val="28"/>
        </w:rPr>
        <w:t>类</w:t>
      </w:r>
      <w:r>
        <w:rPr>
          <w:rFonts w:ascii="宋体" w:hAnsi="宋体"/>
          <w:spacing w:val="2"/>
          <w:kern w:val="2"/>
          <w:sz w:val="28"/>
          <w:szCs w:val="28"/>
        </w:rPr>
        <w:t>)</w:t>
      </w:r>
      <w:r>
        <w:rPr>
          <w:rFonts w:hint="eastAsia" w:ascii="宋体" w:hAnsi="宋体"/>
          <w:spacing w:val="2"/>
          <w:kern w:val="2"/>
          <w:sz w:val="28"/>
          <w:szCs w:val="28"/>
        </w:rPr>
        <w:t>行政事业单位离退休（款）归口管理的行政单位离退休（项）：指黄石港区宣传部用于离退休人员的支出、退休人员支出，以及提供管理服务工作的离退休干部处的支出。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十、社会保障和就业</w:t>
      </w:r>
      <w:r>
        <w:rPr>
          <w:rFonts w:ascii="宋体" w:hAnsi="宋体"/>
          <w:spacing w:val="2"/>
          <w:kern w:val="2"/>
          <w:sz w:val="28"/>
          <w:szCs w:val="28"/>
        </w:rPr>
        <w:t>(</w:t>
      </w:r>
      <w:r>
        <w:rPr>
          <w:rFonts w:hint="eastAsia" w:ascii="宋体" w:hAnsi="宋体"/>
          <w:spacing w:val="2"/>
          <w:kern w:val="2"/>
          <w:sz w:val="28"/>
          <w:szCs w:val="28"/>
        </w:rPr>
        <w:t>类</w:t>
      </w:r>
      <w:r>
        <w:rPr>
          <w:rFonts w:ascii="宋体" w:hAnsi="宋体"/>
          <w:spacing w:val="2"/>
          <w:kern w:val="2"/>
          <w:sz w:val="28"/>
          <w:szCs w:val="28"/>
        </w:rPr>
        <w:t>)</w:t>
      </w:r>
      <w:r>
        <w:rPr>
          <w:rFonts w:hint="eastAsia" w:ascii="宋体" w:hAnsi="宋体"/>
          <w:spacing w:val="2"/>
          <w:kern w:val="2"/>
          <w:sz w:val="28"/>
          <w:szCs w:val="28"/>
        </w:rPr>
        <w:t>行政事业单位离退休（款）其他行政事业单位离退休支出（项）：指黄石港区宣传部用于离退休方面的其他支出。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十一、医疗卫生与计划生育（类）医疗保障（款）行政单位医疗（项）：指黄石港区宣传部用于机关干部职工及离退休人员医疗方面的支出。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十二、住房保障（类）住房改革支出（款）购房补贴（项）：指按照相关住房分配货币化改革的政策规定和标准，对无房和住房未达标职工发放的住房分配货币化补贴资金。</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十三、年末结转和结余：指本年度或以前年度预算安排、因客观条件发生变化无法按原计划实施，需要延迟到以后年度按有关规定继续使用的资金。</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十四、基本支出：指为保障机构正常运转、完成日常工作任务而发生的人员支出（包括基本工资、津贴补贴等）和公用支出（包括办公费、水电费、邮电费、交通费、差旅费等）。</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十五、项目支出：指在基本支出之外为完成特定行政任务和事业发展目标所发生的支出。</w:t>
      </w:r>
    </w:p>
    <w:p>
      <w:pPr>
        <w:pStyle w:val="6"/>
        <w:widowControl/>
        <w:spacing w:before="76" w:beforeAutospacing="0" w:after="76" w:afterAutospacing="0" w:line="450" w:lineRule="atLeast"/>
        <w:ind w:firstLine="420"/>
        <w:rPr>
          <w:rFonts w:ascii="宋体"/>
          <w:spacing w:val="2"/>
          <w:kern w:val="2"/>
          <w:sz w:val="28"/>
          <w:szCs w:val="28"/>
        </w:rPr>
      </w:pPr>
      <w:r>
        <w:rPr>
          <w:rFonts w:hint="eastAsia" w:ascii="宋体" w:hAnsi="宋体"/>
          <w:spacing w:val="2"/>
          <w:kern w:val="2"/>
          <w:sz w:val="28"/>
          <w:szCs w:val="28"/>
        </w:rPr>
        <w:t>十六、“三公”经费：是指用财政拨款安排的因公出国（境）费、公务用车购置及运行维护费、公务接待费。</w:t>
      </w:r>
    </w:p>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7F6B"/>
    <w:multiLevelType w:val="singleLevel"/>
    <w:tmpl w:val="3D947F6B"/>
    <w:lvl w:ilvl="0" w:tentative="0">
      <w:start w:val="2"/>
      <w:numFmt w:val="chineseCounting"/>
      <w:suff w:val="nothing"/>
      <w:lvlText w:val="（%1）"/>
      <w:lvlJc w:val="left"/>
      <w:rPr>
        <w:rFonts w:hint="eastAsia" w:cs="Times New Roman"/>
      </w:rPr>
    </w:lvl>
  </w:abstractNum>
  <w:abstractNum w:abstractNumId="1">
    <w:nsid w:val="44510F51"/>
    <w:multiLevelType w:val="multilevel"/>
    <w:tmpl w:val="44510F51"/>
    <w:lvl w:ilvl="0" w:tentative="0">
      <w:start w:val="3"/>
      <w:numFmt w:val="japaneseCounting"/>
      <w:lvlText w:val="第%1条"/>
      <w:lvlJc w:val="left"/>
      <w:pPr>
        <w:tabs>
          <w:tab w:val="left" w:pos="1050"/>
        </w:tabs>
        <w:ind w:left="1050" w:hanging="1050"/>
      </w:pPr>
      <w:rPr>
        <w:rFonts w:hint="default" w:cs="Times New Roman"/>
      </w:rPr>
    </w:lvl>
    <w:lvl w:ilvl="1" w:tentative="0">
      <w:start w:val="1"/>
      <w:numFmt w:val="japaneseCounting"/>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ECE"/>
    <w:rsid w:val="00086068"/>
    <w:rsid w:val="000B20F5"/>
    <w:rsid w:val="000F5144"/>
    <w:rsid w:val="001A2697"/>
    <w:rsid w:val="001A4DD8"/>
    <w:rsid w:val="001E6EF9"/>
    <w:rsid w:val="00284D52"/>
    <w:rsid w:val="002D490B"/>
    <w:rsid w:val="002E6320"/>
    <w:rsid w:val="0056373F"/>
    <w:rsid w:val="005D5964"/>
    <w:rsid w:val="00601ECE"/>
    <w:rsid w:val="00691D07"/>
    <w:rsid w:val="007D75E3"/>
    <w:rsid w:val="007D7B85"/>
    <w:rsid w:val="009E1725"/>
    <w:rsid w:val="009F79A7"/>
    <w:rsid w:val="00AD59F5"/>
    <w:rsid w:val="00CB0F80"/>
    <w:rsid w:val="00CC196E"/>
    <w:rsid w:val="00D26A66"/>
    <w:rsid w:val="00D947DB"/>
    <w:rsid w:val="00DB6A80"/>
    <w:rsid w:val="00E863E8"/>
    <w:rsid w:val="00F5120E"/>
    <w:rsid w:val="00F73879"/>
    <w:rsid w:val="00FD7E1B"/>
    <w:rsid w:val="04707D92"/>
    <w:rsid w:val="04CA693D"/>
    <w:rsid w:val="0664587B"/>
    <w:rsid w:val="08C015D3"/>
    <w:rsid w:val="0A115581"/>
    <w:rsid w:val="0DBD7544"/>
    <w:rsid w:val="0E836A5F"/>
    <w:rsid w:val="15FD59FE"/>
    <w:rsid w:val="1B1D265C"/>
    <w:rsid w:val="1D0E3EA8"/>
    <w:rsid w:val="1D5354A3"/>
    <w:rsid w:val="1FCF4CD2"/>
    <w:rsid w:val="228A65CA"/>
    <w:rsid w:val="22C319DB"/>
    <w:rsid w:val="25434DD7"/>
    <w:rsid w:val="255E033E"/>
    <w:rsid w:val="289C3E82"/>
    <w:rsid w:val="28EE6E7B"/>
    <w:rsid w:val="2C203A0A"/>
    <w:rsid w:val="2C2716FD"/>
    <w:rsid w:val="2D5063EA"/>
    <w:rsid w:val="2FAA08CE"/>
    <w:rsid w:val="32BD01BE"/>
    <w:rsid w:val="38203263"/>
    <w:rsid w:val="38DB08C3"/>
    <w:rsid w:val="3C2D5DD2"/>
    <w:rsid w:val="3CF427BE"/>
    <w:rsid w:val="489106AE"/>
    <w:rsid w:val="48E0189A"/>
    <w:rsid w:val="4BBC5AAB"/>
    <w:rsid w:val="514D2F0D"/>
    <w:rsid w:val="52CE51A8"/>
    <w:rsid w:val="543A1EE0"/>
    <w:rsid w:val="558F0A5E"/>
    <w:rsid w:val="559F63D4"/>
    <w:rsid w:val="563E0CA4"/>
    <w:rsid w:val="57884ED1"/>
    <w:rsid w:val="59491733"/>
    <w:rsid w:val="597B67CB"/>
    <w:rsid w:val="5FB7759E"/>
    <w:rsid w:val="60390F38"/>
    <w:rsid w:val="64A00821"/>
    <w:rsid w:val="692B2102"/>
    <w:rsid w:val="6DC7364E"/>
    <w:rsid w:val="70A32328"/>
    <w:rsid w:val="746766E2"/>
    <w:rsid w:val="768D6BB8"/>
    <w:rsid w:val="78186405"/>
    <w:rsid w:val="7B694CF2"/>
    <w:rsid w:val="7D39573A"/>
    <w:rsid w:val="7ED07DD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0"/>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1"/>
    <w:uiPriority w:val="99"/>
    <w:rPr>
      <w:rFonts w:ascii="宋体" w:hAnsi="Courier New" w:cs="Courier New"/>
      <w:szCs w:val="21"/>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0">
    <w:name w:val="标题 5 Char"/>
    <w:basedOn w:val="8"/>
    <w:link w:val="2"/>
    <w:semiHidden/>
    <w:qFormat/>
    <w:locked/>
    <w:uiPriority w:val="99"/>
    <w:rPr>
      <w:rFonts w:ascii="Calibri" w:hAnsi="Calibri" w:cs="Times New Roman"/>
      <w:b/>
      <w:bCs/>
      <w:sz w:val="28"/>
      <w:szCs w:val="28"/>
    </w:rPr>
  </w:style>
  <w:style w:type="character" w:customStyle="1" w:styleId="11">
    <w:name w:val="纯文本 Char"/>
    <w:basedOn w:val="8"/>
    <w:link w:val="3"/>
    <w:semiHidden/>
    <w:qFormat/>
    <w:locked/>
    <w:uiPriority w:val="99"/>
    <w:rPr>
      <w:rFonts w:ascii="宋体" w:hAnsi="Courier New" w:cs="Courier New"/>
      <w:sz w:val="21"/>
      <w:szCs w:val="21"/>
    </w:rPr>
  </w:style>
  <w:style w:type="paragraph" w:customStyle="1" w:styleId="12">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3">
    <w:name w:val="ca-2"/>
    <w:basedOn w:val="8"/>
    <w:qFormat/>
    <w:uiPriority w:val="99"/>
    <w:rPr>
      <w:rFonts w:cs="Times New Roman"/>
    </w:rPr>
  </w:style>
  <w:style w:type="paragraph" w:customStyle="1" w:styleId="14">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5">
    <w:name w:val="页眉 Char"/>
    <w:basedOn w:val="8"/>
    <w:link w:val="5"/>
    <w:semiHidden/>
    <w:qFormat/>
    <w:locked/>
    <w:uiPriority w:val="99"/>
    <w:rPr>
      <w:rFonts w:ascii="Calibri" w:hAnsi="Calibri" w:cs="Times New Roman"/>
      <w:sz w:val="18"/>
      <w:szCs w:val="18"/>
    </w:rPr>
  </w:style>
  <w:style w:type="character" w:customStyle="1" w:styleId="16">
    <w:name w:val="页脚 Char"/>
    <w:basedOn w:val="8"/>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474</Words>
  <Characters>2702</Characters>
  <Lines>22</Lines>
  <Paragraphs>6</Paragraphs>
  <TotalTime>0</TotalTime>
  <ScaleCrop>false</ScaleCrop>
  <LinksUpToDate>false</LinksUpToDate>
  <CharactersWithSpaces>3170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盼</cp:lastModifiedBy>
  <dcterms:modified xsi:type="dcterms:W3CDTF">2021-09-15T02:19:30Z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