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黄石港区城市文明创建中心</w:t>
      </w:r>
      <w:r>
        <w:rPr>
          <w:rFonts w:ascii="微软雅黑" w:hAnsi="微软雅黑" w:eastAsia="微软雅黑" w:cs="微软雅黑"/>
          <w:color w:val="BC1010"/>
          <w:sz w:val="40"/>
          <w:szCs w:val="40"/>
          <w:shd w:val="clear" w:color="auto" w:fill="FFFFFF"/>
        </w:rPr>
        <w:t>2021</w:t>
      </w:r>
      <w:r>
        <w:rPr>
          <w:rFonts w:hint="eastAsia"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10"/>
          <w:rFonts w:hint="eastAsia" w:ascii="微软雅黑" w:hAnsi="微软雅黑" w:eastAsia="微软雅黑" w:cs="微软雅黑"/>
          <w:color w:val="333333"/>
          <w:shd w:val="clear" w:color="auto" w:fill="FFFFFF"/>
        </w:rPr>
        <w:t>黄石港区城市文明创建中心</w:t>
      </w:r>
      <w:r>
        <w:rPr>
          <w:rStyle w:val="10"/>
          <w:rFonts w:ascii="微软雅黑" w:hAnsi="微软雅黑" w:eastAsia="微软雅黑" w:cs="微软雅黑"/>
          <w:color w:val="333333"/>
          <w:shd w:val="clear" w:color="auto" w:fill="FFFFFF"/>
        </w:rPr>
        <w:t>2021</w:t>
      </w:r>
      <w:r>
        <w:rPr>
          <w:rStyle w:val="10"/>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ascii="微软雅黑" w:hAnsi="微软雅黑" w:eastAsia="微软雅黑" w:cs="微软雅黑"/>
          <w:color w:val="333333"/>
          <w:shd w:val="clear" w:color="auto" w:fill="FFFFFF"/>
        </w:rPr>
        <w:t>2021</w:t>
      </w:r>
      <w:r>
        <w:rPr>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八、政府性基金预算财政拨款收入支出决算表（表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360" w:firstLineChars="150"/>
        <w:rPr>
          <w:color w:val="333333"/>
        </w:rPr>
      </w:pPr>
      <w:r>
        <w:rPr>
          <w:rFonts w:hint="eastAsia" w:ascii="微软雅黑" w:hAnsi="微软雅黑" w:eastAsia="微软雅黑" w:cs="微软雅黑"/>
          <w:color w:val="333333"/>
          <w:shd w:val="clear" w:color="auto" w:fill="FFFFFF"/>
        </w:rPr>
        <w:t>九、国有资本经营预算财政拨款支出决算表（表</w:t>
      </w:r>
      <w:r>
        <w:rPr>
          <w:rFonts w:ascii="微软雅黑" w:hAnsi="微软雅黑" w:eastAsia="微软雅黑" w:cs="微软雅黑"/>
          <w:color w:val="333333"/>
          <w:shd w:val="clear" w:color="auto" w:fill="FFFFFF"/>
        </w:rPr>
        <w:t>9</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240" w:firstLineChars="100"/>
        <w:rPr>
          <w:color w:val="333333"/>
        </w:rPr>
      </w:pPr>
      <w:r>
        <w:rPr>
          <w:rFonts w:hint="eastAsia" w:ascii="微软雅黑" w:hAnsi="微软雅黑" w:eastAsia="微软雅黑" w:cs="微软雅黑"/>
          <w:color w:val="333333"/>
          <w:shd w:val="clear" w:color="auto" w:fill="FFFFFF"/>
        </w:rPr>
        <w:t>第三部分：部门</w:t>
      </w:r>
      <w:r>
        <w:rPr>
          <w:rFonts w:ascii="微软雅黑" w:hAnsi="微软雅黑" w:eastAsia="微软雅黑" w:cs="微软雅黑"/>
          <w:color w:val="333333"/>
          <w:shd w:val="clear" w:color="auto" w:fill="FFFFFF"/>
        </w:rPr>
        <w:t>2021</w:t>
      </w:r>
      <w:r>
        <w:rPr>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七、决算收支增减变化情况</w:t>
      </w:r>
    </w:p>
    <w:p>
      <w:pPr>
        <w:pStyle w:val="7"/>
        <w:widowControl/>
        <w:spacing w:before="76" w:beforeAutospacing="0" w:after="76" w:afterAutospacing="0" w:line="450" w:lineRule="atLeast"/>
        <w:ind w:firstLine="240" w:firstLineChars="100"/>
        <w:rPr>
          <w:rStyle w:val="10"/>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第四部分：名词解释</w:t>
      </w:r>
      <w:r>
        <w:rPr>
          <w:rFonts w:ascii="微软雅黑" w:hAnsi="微软雅黑" w:eastAsia="微软雅黑" w:cs="微软雅黑"/>
          <w:color w:val="333333"/>
          <w:shd w:val="clear" w:color="auto" w:fill="FFFFFF"/>
        </w:rPr>
        <w:t> </w:t>
      </w:r>
    </w:p>
    <w:p>
      <w:pPr>
        <w:pStyle w:val="7"/>
        <w:widowControl/>
        <w:spacing w:before="76" w:beforeAutospacing="0" w:after="76" w:afterAutospacing="0" w:line="450" w:lineRule="atLeast"/>
        <w:ind w:firstLine="420"/>
        <w:jc w:val="center"/>
        <w:rPr>
          <w:color w:val="333333"/>
        </w:rPr>
      </w:pPr>
      <w:r>
        <w:rPr>
          <w:rStyle w:val="10"/>
          <w:rFonts w:ascii="微软雅黑" w:hAnsi="微软雅黑" w:eastAsia="微软雅黑" w:cs="微软雅黑"/>
          <w:color w:val="333333"/>
          <w:shd w:val="clear" w:color="auto" w:fill="FFFFFF"/>
        </w:rPr>
        <w:br w:type="page"/>
      </w:r>
      <w:r>
        <w:rPr>
          <w:rStyle w:val="10"/>
          <w:rFonts w:ascii="微软雅黑" w:hAnsi="微软雅黑" w:eastAsia="微软雅黑" w:cs="微软雅黑"/>
          <w:color w:val="333333"/>
          <w:shd w:val="clear" w:color="auto" w:fill="FFFFFF"/>
        </w:rPr>
        <w:t>2021</w:t>
      </w:r>
      <w:r>
        <w:rPr>
          <w:rStyle w:val="10"/>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10"/>
          <w:rFonts w:hint="eastAsia" w:ascii="微软雅黑" w:hAnsi="微软雅黑" w:eastAsia="微软雅黑" w:cs="微软雅黑"/>
          <w:color w:val="333333"/>
          <w:shd w:val="clear" w:color="auto" w:fill="FFFFFF"/>
        </w:rPr>
        <w:t>第一部分</w:t>
      </w:r>
      <w:r>
        <w:rPr>
          <w:rStyle w:val="10"/>
          <w:rFonts w:ascii="微软雅黑" w:hAnsi="微软雅黑" w:eastAsia="微软雅黑" w:cs="微软雅黑"/>
          <w:color w:val="333333"/>
          <w:shd w:val="clear" w:color="auto" w:fill="FFFFFF"/>
        </w:rPr>
        <w:t xml:space="preserve"> </w:t>
      </w:r>
      <w:r>
        <w:rPr>
          <w:rStyle w:val="10"/>
          <w:rFonts w:hint="eastAsia" w:ascii="微软雅黑" w:hAnsi="微软雅黑" w:eastAsia="微软雅黑" w:cs="微软雅黑"/>
          <w:color w:val="333333"/>
          <w:shd w:val="clear" w:color="auto" w:fill="FFFFFF"/>
        </w:rPr>
        <w:t>部门概况</w:t>
      </w:r>
    </w:p>
    <w:p>
      <w:pPr>
        <w:widowControl/>
        <w:shd w:val="clear" w:color="auto" w:fill="FFFFFF"/>
        <w:snapToGrid w:val="0"/>
        <w:spacing w:line="560" w:lineRule="atLeast"/>
        <w:ind w:firstLine="562"/>
        <w:jc w:val="left"/>
        <w:rPr>
          <w:rFonts w:ascii="仿宋_GB2312" w:eastAsia="仿宋_GB2312" w:cs="宋体"/>
          <w:bCs/>
          <w:color w:val="333333"/>
          <w:kern w:val="0"/>
          <w:sz w:val="32"/>
          <w:szCs w:val="32"/>
        </w:rPr>
      </w:pPr>
      <w:r>
        <w:rPr>
          <w:rFonts w:hint="eastAsia" w:ascii="仿宋_GB2312" w:eastAsia="仿宋_GB2312" w:cs="宋体"/>
          <w:bCs/>
          <w:color w:val="333333"/>
          <w:kern w:val="0"/>
          <w:sz w:val="32"/>
          <w:szCs w:val="32"/>
        </w:rPr>
        <w:t>（一）主要职责</w:t>
      </w:r>
    </w:p>
    <w:p>
      <w:pPr>
        <w:widowControl/>
        <w:shd w:val="clear" w:color="auto" w:fill="FFFFFF"/>
        <w:snapToGrid w:val="0"/>
        <w:spacing w:line="560" w:lineRule="atLeast"/>
        <w:ind w:firstLine="562"/>
        <w:jc w:val="left"/>
        <w:rPr>
          <w:rFonts w:ascii="仿宋_GB2312" w:eastAsia="仿宋_GB2312" w:cs="宋体"/>
          <w:bCs/>
          <w:color w:val="333333"/>
          <w:kern w:val="0"/>
          <w:sz w:val="32"/>
          <w:szCs w:val="32"/>
        </w:rPr>
      </w:pPr>
      <w:r>
        <w:rPr>
          <w:rFonts w:ascii="仿宋_GB2312" w:eastAsia="仿宋_GB2312" w:cs="宋体"/>
          <w:bCs/>
          <w:color w:val="333333"/>
          <w:kern w:val="0"/>
          <w:sz w:val="32"/>
          <w:szCs w:val="32"/>
        </w:rPr>
        <w:t>1.</w:t>
      </w:r>
      <w:r>
        <w:rPr>
          <w:rFonts w:hint="eastAsia" w:ascii="仿宋_GB2312" w:eastAsia="仿宋_GB2312" w:cs="宋体"/>
          <w:bCs/>
          <w:color w:val="333333"/>
          <w:kern w:val="0"/>
          <w:sz w:val="32"/>
          <w:szCs w:val="32"/>
        </w:rPr>
        <w:t>贯彻执行中央和省、市有关精神文明建设的方针、政策和重要决定，提出全区精神文明建设指导原则和工作目标。规划制定年度工作目标和具体工作任务，并统筹协调、组织指导全区精神文明建设工作任务的落实。</w:t>
      </w:r>
    </w:p>
    <w:p>
      <w:pPr>
        <w:widowControl/>
        <w:shd w:val="clear" w:color="auto" w:fill="FFFFFF"/>
        <w:snapToGrid w:val="0"/>
        <w:spacing w:line="560" w:lineRule="atLeast"/>
        <w:ind w:firstLine="562"/>
        <w:jc w:val="left"/>
        <w:rPr>
          <w:rFonts w:ascii="仿宋_GB2312" w:eastAsia="仿宋_GB2312" w:cs="宋体"/>
          <w:bCs/>
          <w:color w:val="333333"/>
          <w:kern w:val="0"/>
          <w:sz w:val="32"/>
          <w:szCs w:val="32"/>
        </w:rPr>
      </w:pPr>
      <w:r>
        <w:rPr>
          <w:rFonts w:ascii="仿宋_GB2312" w:eastAsia="仿宋_GB2312" w:cs="宋体"/>
          <w:bCs/>
          <w:color w:val="333333"/>
          <w:kern w:val="0"/>
          <w:sz w:val="32"/>
          <w:szCs w:val="32"/>
        </w:rPr>
        <w:t>2.</w:t>
      </w:r>
      <w:r>
        <w:rPr>
          <w:rFonts w:hint="eastAsia" w:ascii="仿宋_GB2312" w:eastAsia="仿宋_GB2312" w:cs="宋体"/>
          <w:bCs/>
          <w:color w:val="333333"/>
          <w:kern w:val="0"/>
          <w:sz w:val="32"/>
          <w:szCs w:val="32"/>
        </w:rPr>
        <w:t>以提升全区人民的思想道德水平为目标，组织开展形式多样的公民道德诚信教育和实践活动，着力加强全区未成年人思想道德建设，搭建活动平台。</w:t>
      </w:r>
    </w:p>
    <w:p>
      <w:pPr>
        <w:widowControl/>
        <w:shd w:val="clear" w:color="auto" w:fill="FFFFFF"/>
        <w:snapToGrid w:val="0"/>
        <w:spacing w:line="560" w:lineRule="atLeast"/>
        <w:ind w:firstLine="562"/>
        <w:jc w:val="left"/>
        <w:rPr>
          <w:rFonts w:ascii="仿宋_GB2312" w:eastAsia="仿宋_GB2312" w:cs="宋体"/>
          <w:bCs/>
          <w:color w:val="333333"/>
          <w:kern w:val="0"/>
          <w:sz w:val="32"/>
          <w:szCs w:val="32"/>
        </w:rPr>
      </w:pPr>
      <w:r>
        <w:rPr>
          <w:rFonts w:ascii="仿宋_GB2312" w:eastAsia="仿宋_GB2312" w:cs="宋体"/>
          <w:bCs/>
          <w:color w:val="333333"/>
          <w:kern w:val="0"/>
          <w:sz w:val="32"/>
          <w:szCs w:val="32"/>
        </w:rPr>
        <w:t>3.</w:t>
      </w:r>
      <w:r>
        <w:rPr>
          <w:rFonts w:hint="eastAsia" w:ascii="仿宋_GB2312" w:eastAsia="仿宋_GB2312" w:cs="宋体"/>
          <w:bCs/>
          <w:color w:val="333333"/>
          <w:kern w:val="0"/>
          <w:sz w:val="32"/>
          <w:szCs w:val="32"/>
        </w:rPr>
        <w:t>深入推进学雷锋志愿服务，加强志愿服务的组织建设、阵地建设、制度建设、队伍建设和网络建设，开展多种形式的志愿服务活动。</w:t>
      </w:r>
    </w:p>
    <w:p>
      <w:pPr>
        <w:widowControl/>
        <w:shd w:val="clear" w:color="auto" w:fill="FFFFFF"/>
        <w:snapToGrid w:val="0"/>
        <w:spacing w:line="560" w:lineRule="atLeast"/>
        <w:ind w:firstLine="562"/>
        <w:jc w:val="left"/>
        <w:rPr>
          <w:rFonts w:ascii="仿宋_GB2312" w:eastAsia="仿宋_GB2312" w:cs="宋体"/>
          <w:bCs/>
          <w:color w:val="333333"/>
          <w:kern w:val="0"/>
          <w:sz w:val="32"/>
          <w:szCs w:val="32"/>
        </w:rPr>
      </w:pPr>
      <w:r>
        <w:rPr>
          <w:rFonts w:ascii="仿宋_GB2312" w:eastAsia="仿宋_GB2312" w:cs="宋体"/>
          <w:bCs/>
          <w:color w:val="333333"/>
          <w:kern w:val="0"/>
          <w:sz w:val="32"/>
          <w:szCs w:val="32"/>
        </w:rPr>
        <w:t>4.</w:t>
      </w:r>
      <w:r>
        <w:rPr>
          <w:rFonts w:hint="eastAsia" w:ascii="仿宋_GB2312" w:eastAsia="仿宋_GB2312" w:cs="宋体"/>
          <w:bCs/>
          <w:color w:val="333333"/>
          <w:kern w:val="0"/>
          <w:sz w:val="32"/>
          <w:szCs w:val="32"/>
        </w:rPr>
        <w:t>组织开展文明城市、文明单位、文明街道（社区）、文明校园、文明家庭等创建活动；做好精神文明建设先进集体和个人的挖掘评选和宣传推广。</w:t>
      </w:r>
    </w:p>
    <w:p>
      <w:pPr>
        <w:widowControl/>
        <w:shd w:val="clear" w:color="auto" w:fill="FFFFFF"/>
        <w:snapToGrid w:val="0"/>
        <w:spacing w:line="560" w:lineRule="atLeast"/>
        <w:ind w:firstLine="562"/>
        <w:jc w:val="left"/>
        <w:rPr>
          <w:rFonts w:ascii="仿宋_GB2312" w:eastAsia="仿宋_GB2312" w:cs="宋体"/>
          <w:bCs/>
          <w:color w:val="333333"/>
          <w:kern w:val="0"/>
          <w:sz w:val="32"/>
          <w:szCs w:val="32"/>
        </w:rPr>
      </w:pPr>
      <w:r>
        <w:rPr>
          <w:rFonts w:ascii="仿宋_GB2312" w:eastAsia="仿宋_GB2312" w:cs="宋体"/>
          <w:bCs/>
          <w:color w:val="333333"/>
          <w:kern w:val="0"/>
          <w:sz w:val="32"/>
          <w:szCs w:val="32"/>
        </w:rPr>
        <w:t>5.</w:t>
      </w:r>
      <w:r>
        <w:rPr>
          <w:rFonts w:hint="eastAsia" w:ascii="仿宋_GB2312" w:eastAsia="仿宋_GB2312" w:cs="宋体"/>
          <w:bCs/>
          <w:color w:val="333333"/>
          <w:kern w:val="0"/>
          <w:sz w:val="32"/>
          <w:szCs w:val="32"/>
        </w:rPr>
        <w:t>总结推广全区精神文明建设的典型经验，组织开展精神文明建设理论研讨，探索新时代精神文明建设的新情况、新问题及解决方法对策。</w:t>
      </w:r>
    </w:p>
    <w:p>
      <w:pPr>
        <w:widowControl/>
        <w:shd w:val="clear" w:color="auto" w:fill="FFFFFF"/>
        <w:snapToGrid w:val="0"/>
        <w:spacing w:line="560" w:lineRule="atLeast"/>
        <w:ind w:firstLine="562"/>
        <w:jc w:val="left"/>
        <w:rPr>
          <w:rFonts w:ascii="仿宋_GB2312" w:eastAsia="仿宋_GB2312" w:cs="宋体"/>
          <w:bCs/>
          <w:color w:val="333333"/>
          <w:kern w:val="0"/>
          <w:sz w:val="32"/>
          <w:szCs w:val="32"/>
        </w:rPr>
      </w:pPr>
      <w:r>
        <w:rPr>
          <w:rFonts w:ascii="仿宋_GB2312" w:eastAsia="仿宋_GB2312" w:cs="宋体"/>
          <w:bCs/>
          <w:color w:val="333333"/>
          <w:kern w:val="0"/>
          <w:sz w:val="32"/>
          <w:szCs w:val="32"/>
        </w:rPr>
        <w:t>6.</w:t>
      </w:r>
      <w:r>
        <w:rPr>
          <w:rFonts w:hint="eastAsia" w:ascii="仿宋_GB2312" w:eastAsia="仿宋_GB2312" w:cs="宋体"/>
          <w:bCs/>
          <w:color w:val="333333"/>
          <w:kern w:val="0"/>
          <w:sz w:val="32"/>
          <w:szCs w:val="32"/>
        </w:rPr>
        <w:t>上报全区精神文明建设特色活动信息和优秀成果，建好用好全区学雷锋志愿服务网络等宣传阵地，加大对精神文明建设工作新经验、新做法、新成效的宣传力度。</w:t>
      </w:r>
    </w:p>
    <w:p>
      <w:pPr>
        <w:widowControl/>
        <w:shd w:val="clear" w:color="auto" w:fill="FFFFFF"/>
        <w:snapToGrid w:val="0"/>
        <w:spacing w:line="560" w:lineRule="atLeast"/>
        <w:ind w:firstLine="562"/>
        <w:jc w:val="left"/>
        <w:rPr>
          <w:rFonts w:ascii="仿宋_GB2312" w:eastAsia="仿宋_GB2312" w:cs="宋体"/>
          <w:bCs/>
          <w:color w:val="333333"/>
          <w:kern w:val="0"/>
          <w:sz w:val="32"/>
          <w:szCs w:val="32"/>
        </w:rPr>
      </w:pPr>
      <w:r>
        <w:rPr>
          <w:rFonts w:ascii="仿宋_GB2312" w:eastAsia="仿宋_GB2312" w:cs="宋体"/>
          <w:bCs/>
          <w:color w:val="333333"/>
          <w:kern w:val="0"/>
          <w:sz w:val="32"/>
          <w:szCs w:val="32"/>
        </w:rPr>
        <w:t>7.</w:t>
      </w:r>
      <w:r>
        <w:rPr>
          <w:rFonts w:hint="eastAsia" w:ascii="仿宋_GB2312" w:eastAsia="仿宋_GB2312" w:cs="宋体"/>
          <w:bCs/>
          <w:color w:val="333333"/>
          <w:kern w:val="0"/>
          <w:sz w:val="32"/>
          <w:szCs w:val="32"/>
        </w:rPr>
        <w:t>完成上级交办的其他任务。</w:t>
      </w:r>
    </w:p>
    <w:p>
      <w:pPr>
        <w:numPr>
          <w:ilvl w:val="0"/>
          <w:numId w:val="1"/>
        </w:numPr>
        <w:spacing w:line="620" w:lineRule="exact"/>
        <w:rPr>
          <w:rFonts w:ascii="宋体"/>
          <w:sz w:val="28"/>
          <w:szCs w:val="28"/>
        </w:rPr>
      </w:pPr>
      <w:r>
        <w:rPr>
          <w:rFonts w:hint="eastAsia" w:ascii="宋体" w:hAnsi="宋体"/>
          <w:sz w:val="28"/>
          <w:szCs w:val="28"/>
        </w:rPr>
        <w:t>机构设置：</w:t>
      </w:r>
    </w:p>
    <w:p>
      <w:pPr>
        <w:shd w:val="clear" w:color="auto" w:fill="FFFFFF"/>
        <w:snapToGrid w:val="0"/>
        <w:spacing w:line="560" w:lineRule="atLeast"/>
        <w:ind w:firstLine="560" w:firstLineChars="200"/>
        <w:rPr>
          <w:rFonts w:ascii="仿宋_GB2312" w:hAnsi="宋体" w:eastAsia="仿宋_GB2312" w:cs="宋体"/>
          <w:sz w:val="32"/>
          <w:szCs w:val="32"/>
        </w:rPr>
      </w:pPr>
      <w:r>
        <w:rPr>
          <w:rFonts w:hint="eastAsia" w:ascii="宋体" w:hAnsi="宋体" w:cs="Tahoma"/>
          <w:color w:val="333333"/>
          <w:kern w:val="0"/>
          <w:sz w:val="28"/>
          <w:szCs w:val="28"/>
        </w:rPr>
        <w:t>下设</w:t>
      </w:r>
      <w:r>
        <w:rPr>
          <w:rFonts w:hint="eastAsia" w:ascii="仿宋_GB2312" w:hAnsi="宋体" w:eastAsia="仿宋_GB2312" w:cs="Tahoma"/>
          <w:color w:val="333333"/>
          <w:sz w:val="32"/>
          <w:szCs w:val="32"/>
        </w:rPr>
        <w:t>综合办公室</w:t>
      </w:r>
    </w:p>
    <w:p>
      <w:pPr>
        <w:pStyle w:val="7"/>
        <w:widowControl/>
        <w:spacing w:before="76" w:beforeAutospacing="0" w:after="76" w:afterAutospacing="0" w:line="450" w:lineRule="atLeast"/>
        <w:rPr>
          <w:rStyle w:val="10"/>
          <w:rFonts w:ascii="微软雅黑" w:hAnsi="微软雅黑" w:eastAsia="微软雅黑" w:cs="微软雅黑"/>
          <w:color w:val="333333"/>
          <w:shd w:val="clear" w:color="auto" w:fill="FFFFFF"/>
        </w:rPr>
      </w:pPr>
      <w:r>
        <w:rPr>
          <w:rStyle w:val="10"/>
          <w:rFonts w:ascii="微软雅黑" w:hAnsi="微软雅黑" w:eastAsia="微软雅黑" w:cs="微软雅黑"/>
          <w:color w:val="333333"/>
          <w:shd w:val="clear" w:color="auto" w:fill="FFFFFF"/>
        </w:rPr>
        <w:br w:type="page"/>
      </w:r>
      <w:r>
        <w:rPr>
          <w:rStyle w:val="10"/>
          <w:rFonts w:hint="eastAsia" w:ascii="微软雅黑" w:hAnsi="微软雅黑" w:eastAsia="微软雅黑" w:cs="微软雅黑"/>
          <w:color w:val="333333"/>
          <w:shd w:val="clear" w:color="auto" w:fill="FFFFFF"/>
        </w:rPr>
        <w:t>第二部分</w:t>
      </w:r>
      <w:r>
        <w:rPr>
          <w:rStyle w:val="10"/>
          <w:rFonts w:ascii="微软雅黑" w:hAnsi="微软雅黑" w:eastAsia="微软雅黑" w:cs="微软雅黑"/>
          <w:color w:val="333333"/>
          <w:shd w:val="clear" w:color="auto" w:fill="FFFFFF"/>
        </w:rPr>
        <w:t xml:space="preserve"> </w:t>
      </w:r>
      <w:r>
        <w:rPr>
          <w:rStyle w:val="10"/>
          <w:rFonts w:hint="eastAsia" w:ascii="微软雅黑" w:hAnsi="微软雅黑" w:eastAsia="微软雅黑" w:cs="微软雅黑"/>
          <w:color w:val="333333"/>
          <w:shd w:val="clear" w:color="auto" w:fill="FFFFFF"/>
        </w:rPr>
        <w:t>部门</w:t>
      </w:r>
      <w:r>
        <w:rPr>
          <w:rStyle w:val="10"/>
          <w:rFonts w:ascii="微软雅黑" w:hAnsi="微软雅黑" w:eastAsia="微软雅黑" w:cs="微软雅黑"/>
          <w:color w:val="333333"/>
          <w:shd w:val="clear" w:color="auto" w:fill="FFFFFF"/>
        </w:rPr>
        <w:t>2021</w:t>
      </w:r>
      <w:r>
        <w:rPr>
          <w:rStyle w:val="10"/>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rPr>
          <w:rStyle w:val="10"/>
          <w:rFonts w:ascii="微软雅黑" w:hAnsi="微软雅黑" w:eastAsia="微软雅黑" w:cs="微软雅黑"/>
          <w:color w:val="333333"/>
          <w:shd w:val="clear" w:color="auto" w:fill="FFFFFF"/>
        </w:rPr>
      </w:pPr>
      <w:r>
        <w:rPr>
          <w:rStyle w:val="10"/>
          <w:rFonts w:ascii="微软雅黑" w:hAnsi="微软雅黑" w:eastAsia="微软雅黑" w:cs="微软雅黑"/>
          <w:b w:val="0"/>
          <w:color w:val="333333"/>
          <w:shd w:val="clear" w:color="auto" w:fill="FFFFFF"/>
        </w:rPr>
        <w:pict>
          <v:shape id="_x0000_i1025" o:spt="75" type="#_x0000_t75" style="height:363.75pt;width:678pt;" filled="f" o:preferrelative="t" stroked="f" coordsize="21600,21600">
            <v:path/>
            <v:fill on="f" focussize="0,0"/>
            <v:stroke on="f" joinstyle="miter"/>
            <v:imagedata r:id="rId10" o:title=""/>
            <o:lock v:ext="edit" aspectratio="t"/>
            <w10:wrap type="none"/>
            <w10:anchorlock/>
          </v:shape>
        </w:pict>
      </w:r>
    </w:p>
    <w:p>
      <w:pPr>
        <w:pStyle w:val="7"/>
        <w:widowControl/>
        <w:spacing w:before="76" w:beforeAutospacing="0" w:after="76" w:afterAutospacing="0" w:line="450" w:lineRule="atLeast"/>
        <w:rPr>
          <w:rStyle w:val="10"/>
          <w:rFonts w:ascii="微软雅黑" w:hAnsi="微软雅黑" w:eastAsia="微软雅黑" w:cs="微软雅黑"/>
          <w:color w:val="333333"/>
          <w:shd w:val="clear" w:color="auto" w:fill="FFFFFF"/>
        </w:rPr>
      </w:pPr>
      <w:r>
        <w:rPr>
          <w:rStyle w:val="10"/>
          <w:rFonts w:ascii="微软雅黑" w:hAnsi="微软雅黑" w:eastAsia="微软雅黑" w:cs="微软雅黑"/>
          <w:b w:val="0"/>
          <w:color w:val="333333"/>
          <w:shd w:val="clear" w:color="auto" w:fill="FFFFFF"/>
        </w:rPr>
        <w:pict>
          <v:shape id="_x0000_i1026" o:spt="75" type="#_x0000_t75" style="height:179.25pt;width:693pt;" filled="f" o:preferrelative="t" stroked="f" coordsize="21600,21600">
            <v:path/>
            <v:fill on="f" focussize="0,0"/>
            <v:stroke on="f" joinstyle="miter"/>
            <v:imagedata r:id="rId11" o:title=""/>
            <o:lock v:ext="edit" aspectratio="t"/>
            <w10:wrap type="none"/>
            <w10:anchorlock/>
          </v:shape>
        </w:pict>
      </w:r>
    </w:p>
    <w:p>
      <w:pPr>
        <w:pStyle w:val="7"/>
        <w:widowControl/>
        <w:spacing w:before="76" w:beforeAutospacing="0" w:after="76" w:afterAutospacing="0" w:line="450" w:lineRule="atLeast"/>
        <w:rPr>
          <w:rStyle w:val="10"/>
          <w:rFonts w:ascii="微软雅黑" w:hAnsi="微软雅黑" w:eastAsia="微软雅黑" w:cs="微软雅黑"/>
          <w:color w:val="333333"/>
          <w:shd w:val="clear" w:color="auto" w:fill="FFFFFF"/>
        </w:rPr>
      </w:pPr>
      <w:r>
        <w:rPr>
          <w:rStyle w:val="10"/>
          <w:rFonts w:ascii="微软雅黑" w:hAnsi="微软雅黑" w:eastAsia="微软雅黑" w:cs="微软雅黑"/>
          <w:color w:val="333333"/>
          <w:shd w:val="clear" w:color="auto" w:fill="FFFFFF"/>
        </w:rPr>
        <w:pict>
          <v:shape id="_x0000_i1027" o:spt="75" type="#_x0000_t75" style="height:201pt;width:693pt;" filled="f" o:preferrelative="t" stroked="f" coordsize="21600,21600">
            <v:path/>
            <v:fill on="f" focussize="0,0"/>
            <v:stroke on="f" joinstyle="miter"/>
            <v:imagedata r:id="rId12" o:title=""/>
            <o:lock v:ext="edit" aspectratio="t"/>
            <w10:wrap type="none"/>
            <w10:anchorlock/>
          </v:shape>
        </w:pict>
      </w:r>
    </w:p>
    <w:p>
      <w:pPr>
        <w:pStyle w:val="7"/>
        <w:widowControl/>
        <w:spacing w:before="76" w:beforeAutospacing="0" w:after="76" w:afterAutospacing="0" w:line="450" w:lineRule="atLeast"/>
        <w:rPr>
          <w:rStyle w:val="10"/>
          <w:rFonts w:ascii="微软雅黑" w:hAnsi="微软雅黑" w:eastAsia="微软雅黑" w:cs="微软雅黑"/>
          <w:color w:val="333333"/>
          <w:shd w:val="clear" w:color="auto" w:fill="FFFFFF"/>
        </w:rPr>
      </w:pPr>
      <w:r>
        <w:rPr>
          <w:rStyle w:val="10"/>
          <w:rFonts w:ascii="微软雅黑" w:hAnsi="微软雅黑" w:eastAsia="微软雅黑" w:cs="微软雅黑"/>
          <w:color w:val="333333"/>
          <w:shd w:val="clear" w:color="auto" w:fill="FFFFFF"/>
        </w:rPr>
        <w:pict>
          <v:shape id="_x0000_i1028" o:spt="75" type="#_x0000_t75" style="height:411.75pt;width:606.75pt;" filled="f" o:preferrelative="t" stroked="f" coordsize="21600,21600">
            <v:path/>
            <v:fill on="f" focussize="0,0"/>
            <v:stroke on="f" joinstyle="miter"/>
            <v:imagedata r:id="rId13" o:title=""/>
            <o:lock v:ext="edit" aspectratio="t"/>
            <w10:wrap type="none"/>
            <w10:anchorlock/>
          </v:shape>
        </w:pict>
      </w:r>
    </w:p>
    <w:p>
      <w:pPr>
        <w:pStyle w:val="7"/>
        <w:widowControl/>
        <w:spacing w:before="76" w:beforeAutospacing="0" w:after="76" w:afterAutospacing="0" w:line="450" w:lineRule="atLeast"/>
        <w:rPr>
          <w:rStyle w:val="10"/>
          <w:rFonts w:ascii="微软雅黑" w:hAnsi="微软雅黑" w:eastAsia="微软雅黑" w:cs="微软雅黑"/>
          <w:color w:val="333333"/>
          <w:shd w:val="clear" w:color="auto" w:fill="FFFFFF"/>
        </w:rPr>
      </w:pPr>
      <w:r>
        <w:rPr>
          <w:rStyle w:val="10"/>
          <w:rFonts w:ascii="微软雅黑" w:hAnsi="微软雅黑" w:eastAsia="微软雅黑" w:cs="微软雅黑"/>
          <w:color w:val="333333"/>
          <w:shd w:val="clear" w:color="auto" w:fill="FFFFFF"/>
        </w:rPr>
        <w:pict>
          <v:shape id="_x0000_i1029" o:spt="75" type="#_x0000_t75" style="height:212.25pt;width:691.5pt;" filled="f" o:preferrelative="t" stroked="f" coordsize="21600,21600">
            <v:path/>
            <v:fill on="f" focussize="0,0"/>
            <v:stroke on="f" joinstyle="miter"/>
            <v:imagedata r:id="rId14" o:title=""/>
            <o:lock v:ext="edit" aspectratio="t"/>
            <w10:wrap type="none"/>
            <w10:anchorlock/>
          </v:shape>
        </w:pict>
      </w:r>
    </w:p>
    <w:p>
      <w:pPr>
        <w:pStyle w:val="7"/>
        <w:widowControl/>
        <w:spacing w:before="76" w:beforeAutospacing="0" w:after="76" w:afterAutospacing="0" w:line="450" w:lineRule="atLeast"/>
      </w:pPr>
      <w:r>
        <w:pict>
          <v:shape id="_x0000_i1030" o:spt="75" type="#_x0000_t75" style="height:403.5pt;width:695.25pt;" filled="f" o:preferrelative="t" stroked="f" coordsize="21600,21600">
            <v:path/>
            <v:fill on="f" focussize="0,0"/>
            <v:stroke on="f" joinstyle="miter"/>
            <v:imagedata r:id="rId15" o:title=""/>
            <o:lock v:ext="edit" aspectratio="t"/>
            <w10:wrap type="none"/>
            <w10:anchorlock/>
          </v:shape>
        </w:pict>
      </w:r>
    </w:p>
    <w:p>
      <w:pPr>
        <w:pStyle w:val="7"/>
        <w:widowControl/>
        <w:spacing w:before="76" w:beforeAutospacing="0" w:after="76" w:afterAutospacing="0" w:line="450" w:lineRule="atLeast"/>
      </w:pPr>
    </w:p>
    <w:tbl>
      <w:tblPr>
        <w:tblStyle w:val="8"/>
        <w:tblW w:w="1408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654"/>
        <w:gridCol w:w="816"/>
        <w:gridCol w:w="707"/>
        <w:gridCol w:w="707"/>
        <w:gridCol w:w="707"/>
        <w:gridCol w:w="2090"/>
        <w:gridCol w:w="707"/>
        <w:gridCol w:w="816"/>
        <w:gridCol w:w="707"/>
        <w:gridCol w:w="707"/>
        <w:gridCol w:w="707"/>
        <w:gridCol w:w="17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14081" w:type="dxa"/>
            <w:gridSpan w:val="12"/>
            <w:tcBorders>
              <w:top w:val="nil"/>
              <w:left w:val="nil"/>
              <w:bottom w:val="nil"/>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一般公共预算财政拨款“三公”经费支出决算表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预算代码：{FMDM[YSDM]}</w:t>
            </w: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公开07表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4461" w:type="dxa"/>
            <w:gridSpan w:val="2"/>
            <w:tcBorders>
              <w:top w:val="nil"/>
              <w:left w:val="nil"/>
              <w:bottom w:val="single" w:color="000000" w:sz="4" w:space="0"/>
              <w:right w:val="nil"/>
            </w:tcBorders>
            <w:shd w:val="clear" w:color="auto" w:fill="FFFFFF"/>
            <w:noWrap/>
            <w:vAlign w:val="center"/>
          </w:tcPr>
          <w:p>
            <w:pPr>
              <w:jc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22"/>
                <w:szCs w:val="22"/>
                <w:u w:val="none"/>
                <w:lang w:val="en-US" w:eastAsia="zh-CN" w:bidi="ar"/>
              </w:rPr>
              <w:t>部门：黄石市黄石港区城市文明创建中心</w:t>
            </w:r>
            <w:bookmarkStart w:id="0" w:name="_GoBack"/>
            <w:bookmarkEnd w:id="0"/>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2021年度</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713" w:type="dxa"/>
            <w:gridSpan w:val="6"/>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预算数</w:t>
            </w:r>
          </w:p>
        </w:tc>
        <w:tc>
          <w:tcPr>
            <w:tcW w:w="5368" w:type="dxa"/>
            <w:gridSpan w:val="6"/>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3654" w:type="dxa"/>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807"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因公出国（境）费</w:t>
            </w:r>
          </w:p>
        </w:tc>
        <w:tc>
          <w:tcPr>
            <w:tcW w:w="2121"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公务用车购置及运行费</w:t>
            </w:r>
          </w:p>
        </w:tc>
        <w:tc>
          <w:tcPr>
            <w:tcW w:w="2131"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公务接待费</w:t>
            </w:r>
          </w:p>
        </w:tc>
        <w:tc>
          <w:tcPr>
            <w:tcW w:w="707"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807"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因公出国（境）费</w:t>
            </w:r>
          </w:p>
        </w:tc>
        <w:tc>
          <w:tcPr>
            <w:tcW w:w="2121"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公务用车购置及运行费</w:t>
            </w:r>
          </w:p>
        </w:tc>
        <w:tc>
          <w:tcPr>
            <w:tcW w:w="1733"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3654" w:type="dxa"/>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807"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7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7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公务用车购置费</w:t>
            </w:r>
          </w:p>
        </w:tc>
        <w:tc>
          <w:tcPr>
            <w:tcW w:w="7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公务用车运行费</w:t>
            </w:r>
          </w:p>
        </w:tc>
        <w:tc>
          <w:tcPr>
            <w:tcW w:w="213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707"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807"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7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7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公务用车购置费</w:t>
            </w:r>
          </w:p>
        </w:tc>
        <w:tc>
          <w:tcPr>
            <w:tcW w:w="7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公务用车运行费</w:t>
            </w:r>
          </w:p>
        </w:tc>
        <w:tc>
          <w:tcPr>
            <w:tcW w:w="1733"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2" w:hRule="atLeast"/>
        </w:trPr>
        <w:tc>
          <w:tcPr>
            <w:tcW w:w="3654" w:type="dxa"/>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8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7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7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2131"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7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8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7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7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70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733"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nil"/>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4081" w:type="dxa"/>
            <w:gridSpan w:val="12"/>
            <w:tcBorders>
              <w:top w:val="nil"/>
              <w:left w:val="nil"/>
              <w:bottom w:val="nil"/>
              <w:right w:val="nil"/>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三公”经费支出预决算情况。其中，预算数为“三公”经费全年预算数，反映按规定程序调整后的预算数；决算数是包括当年一般公共预算财政拨款和以前年度结转资金安排的实际支出。</w:t>
            </w:r>
          </w:p>
        </w:tc>
      </w:tr>
    </w:tbl>
    <w:p>
      <w:pPr>
        <w:rPr>
          <w:rFonts w:hint="eastAsia" w:eastAsia="宋体"/>
          <w:lang w:eastAsia="zh-CN"/>
        </w:rPr>
      </w:pPr>
      <w:r>
        <w:rPr>
          <w:rFonts w:hint="eastAsia" w:ascii="宋体" w:hAnsi="宋体" w:cs="仿宋"/>
          <w:sz w:val="20"/>
          <w:szCs w:val="20"/>
        </w:rPr>
        <w:t>我部门无此项内容，本表无数据</w:t>
      </w:r>
      <w:r>
        <w:rPr>
          <w:rFonts w:hint="eastAsia" w:ascii="宋体" w:hAnsi="宋体" w:cs="仿宋"/>
          <w:sz w:val="20"/>
          <w:szCs w:val="20"/>
          <w:lang w:eastAsia="zh-CN"/>
        </w:rPr>
        <w:t>。</w:t>
      </w:r>
    </w:p>
    <w:p/>
    <w:p/>
    <w:tbl>
      <w:tblPr>
        <w:tblStyle w:val="8"/>
        <w:tblpPr w:leftFromText="180" w:rightFromText="180" w:vertAnchor="text" w:horzAnchor="page" w:tblpX="1628" w:tblpY="144"/>
        <w:tblOverlap w:val="never"/>
        <w:tblW w:w="14320" w:type="dxa"/>
        <w:tblInd w:w="0" w:type="dxa"/>
        <w:tblLayout w:type="autofit"/>
        <w:tblCellMar>
          <w:top w:w="0" w:type="dxa"/>
          <w:left w:w="108" w:type="dxa"/>
          <w:bottom w:w="0" w:type="dxa"/>
          <w:right w:w="108" w:type="dxa"/>
        </w:tblCellMar>
      </w:tblPr>
      <w:tblGrid>
        <w:gridCol w:w="4719"/>
        <w:gridCol w:w="251"/>
        <w:gridCol w:w="251"/>
        <w:gridCol w:w="1148"/>
        <w:gridCol w:w="1826"/>
        <w:gridCol w:w="1148"/>
        <w:gridCol w:w="696"/>
        <w:gridCol w:w="1148"/>
        <w:gridCol w:w="1148"/>
        <w:gridCol w:w="1985"/>
      </w:tblGrid>
      <w:tr>
        <w:tblPrEx>
          <w:tblCellMar>
            <w:top w:w="0" w:type="dxa"/>
            <w:left w:w="108" w:type="dxa"/>
            <w:bottom w:w="0" w:type="dxa"/>
            <w:right w:w="108" w:type="dxa"/>
          </w:tblCellMar>
        </w:tblPrEx>
        <w:trPr>
          <w:trHeight w:val="588" w:hRule="atLeast"/>
        </w:trPr>
        <w:tc>
          <w:tcPr>
            <w:tcW w:w="0" w:type="auto"/>
            <w:gridSpan w:val="10"/>
            <w:tcBorders>
              <w:top w:val="nil"/>
              <w:left w:val="nil"/>
              <w:bottom w:val="nil"/>
              <w:right w:val="nil"/>
            </w:tcBorders>
            <w:shd w:val="clear" w:color="auto" w:fill="FFFFFF"/>
            <w:noWrap/>
            <w:vAlign w:val="center"/>
          </w:tcPr>
          <w:p>
            <w:pPr>
              <w:jc w:val="center"/>
              <w:rPr>
                <w:rFonts w:ascii="宋体" w:cs="宋体"/>
                <w:color w:val="000000"/>
                <w:sz w:val="18"/>
                <w:szCs w:val="18"/>
              </w:rPr>
            </w:pPr>
            <w:r>
              <w:rPr>
                <w:rFonts w:hint="eastAsia" w:ascii="黑体" w:hAnsi="宋体" w:eastAsia="黑体" w:cs="黑体"/>
                <w:color w:val="000000"/>
                <w:kern w:val="0"/>
                <w:sz w:val="30"/>
                <w:szCs w:val="30"/>
              </w:rPr>
              <w:t>政府性基金预算财政拨款收入支出决算表</w:t>
            </w:r>
          </w:p>
        </w:tc>
      </w:tr>
      <w:tr>
        <w:tblPrEx>
          <w:tblCellMar>
            <w:top w:w="0" w:type="dxa"/>
            <w:left w:w="108" w:type="dxa"/>
            <w:bottom w:w="0" w:type="dxa"/>
            <w:right w:w="108" w:type="dxa"/>
          </w:tblCellMar>
        </w:tblPrEx>
        <w:trPr>
          <w:trHeight w:val="294" w:hRule="atLeast"/>
        </w:trPr>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widowControl/>
              <w:jc w:val="right"/>
              <w:textAlignment w:val="center"/>
              <w:rPr>
                <w:rFonts w:ascii="宋体" w:cs="宋体"/>
                <w:color w:val="000000"/>
                <w:sz w:val="22"/>
                <w:szCs w:val="22"/>
              </w:rPr>
            </w:pPr>
            <w:r>
              <w:rPr>
                <w:rFonts w:hint="eastAsia" w:ascii="宋体" w:hAnsi="宋体" w:cs="宋体"/>
                <w:color w:val="000000"/>
                <w:kern w:val="0"/>
                <w:sz w:val="22"/>
                <w:szCs w:val="22"/>
              </w:rPr>
              <w:t>公开</w:t>
            </w:r>
            <w:r>
              <w:rPr>
                <w:rFonts w:ascii="宋体" w:hAnsi="宋体" w:cs="宋体"/>
                <w:color w:val="000000"/>
                <w:kern w:val="0"/>
                <w:sz w:val="22"/>
                <w:szCs w:val="22"/>
              </w:rPr>
              <w:t>08</w:t>
            </w:r>
            <w:r>
              <w:rPr>
                <w:rFonts w:hint="eastAsia" w:ascii="宋体" w:hAnsi="宋体" w:cs="宋体"/>
                <w:color w:val="000000"/>
                <w:kern w:val="0"/>
                <w:sz w:val="22"/>
                <w:szCs w:val="22"/>
              </w:rPr>
              <w:t>表</w:t>
            </w:r>
          </w:p>
        </w:tc>
      </w:tr>
      <w:tr>
        <w:tblPrEx>
          <w:tblCellMar>
            <w:top w:w="0" w:type="dxa"/>
            <w:left w:w="108" w:type="dxa"/>
            <w:bottom w:w="0" w:type="dxa"/>
            <w:right w:w="108" w:type="dxa"/>
          </w:tblCellMar>
        </w:tblPrEx>
        <w:trPr>
          <w:trHeight w:val="294" w:hRule="atLeast"/>
        </w:trPr>
        <w:tc>
          <w:tcPr>
            <w:tcW w:w="0" w:type="auto"/>
            <w:tcBorders>
              <w:top w:val="nil"/>
              <w:left w:val="nil"/>
              <w:bottom w:val="single" w:color="000000" w:sz="4" w:space="0"/>
              <w:right w:val="nil"/>
            </w:tcBorders>
            <w:shd w:val="clear" w:color="auto" w:fill="FFFFFF"/>
            <w:noWrap/>
            <w:vAlign w:val="center"/>
          </w:tcPr>
          <w:p>
            <w:pPr>
              <w:widowControl/>
              <w:jc w:val="left"/>
              <w:textAlignment w:val="center"/>
              <w:rPr>
                <w:rFonts w:ascii="宋体" w:cs="宋体"/>
                <w:color w:val="000000"/>
                <w:sz w:val="22"/>
                <w:szCs w:val="22"/>
              </w:rPr>
            </w:pPr>
            <w:r>
              <w:rPr>
                <w:rFonts w:hint="eastAsia" w:ascii="宋体" w:hAnsi="宋体" w:cs="宋体"/>
                <w:color w:val="000000"/>
                <w:kern w:val="0"/>
                <w:sz w:val="22"/>
                <w:szCs w:val="22"/>
              </w:rPr>
              <w:t>部门：黄石市黄石港区城市文明创建中心</w:t>
            </w: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center"/>
              <w:textAlignment w:val="center"/>
              <w:rPr>
                <w:rFonts w:ascii="宋体" w:cs="宋体"/>
                <w:color w:val="000000"/>
                <w:sz w:val="22"/>
                <w:szCs w:val="22"/>
              </w:rPr>
            </w:pPr>
            <w:r>
              <w:rPr>
                <w:rFonts w:ascii="宋体" w:hAnsi="宋体" w:cs="宋体"/>
                <w:color w:val="000000"/>
                <w:kern w:val="0"/>
                <w:sz w:val="22"/>
                <w:szCs w:val="22"/>
              </w:rPr>
              <w:t>2021</w:t>
            </w:r>
            <w:r>
              <w:rPr>
                <w:rFonts w:hint="eastAsia" w:ascii="宋体" w:hAnsi="宋体" w:cs="宋体"/>
                <w:color w:val="000000"/>
                <w:kern w:val="0"/>
                <w:sz w:val="22"/>
                <w:szCs w:val="22"/>
              </w:rPr>
              <w:t>年度</w:t>
            </w: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right"/>
              <w:textAlignment w:val="center"/>
              <w:rPr>
                <w:rFonts w:ascii="宋体" w:cs="宋体"/>
                <w:color w:val="000000"/>
                <w:sz w:val="22"/>
                <w:szCs w:val="22"/>
              </w:rPr>
            </w:pPr>
            <w:r>
              <w:rPr>
                <w:rFonts w:hint="eastAsia" w:ascii="宋体" w:hAnsi="宋体" w:cs="宋体"/>
                <w:color w:val="000000"/>
                <w:kern w:val="0"/>
                <w:sz w:val="22"/>
                <w:szCs w:val="22"/>
              </w:rPr>
              <w:t>金额单位：万元</w:t>
            </w:r>
          </w:p>
        </w:tc>
      </w:tr>
      <w:tr>
        <w:tblPrEx>
          <w:tblCellMar>
            <w:top w:w="0" w:type="dxa"/>
            <w:left w:w="108" w:type="dxa"/>
            <w:bottom w:w="0" w:type="dxa"/>
            <w:right w:w="108" w:type="dxa"/>
          </w:tblCellMar>
        </w:tblPrEx>
        <w:trPr>
          <w:trHeight w:val="304"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项目</w:t>
            </w:r>
          </w:p>
        </w:tc>
        <w:tc>
          <w:tcPr>
            <w:tcW w:w="0" w:type="auto"/>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年初结转和结余</w:t>
            </w:r>
          </w:p>
        </w:tc>
        <w:tc>
          <w:tcPr>
            <w:tcW w:w="0" w:type="auto"/>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本年收入</w:t>
            </w:r>
          </w:p>
        </w:tc>
        <w:tc>
          <w:tcPr>
            <w:tcW w:w="0" w:type="auto"/>
            <w:gridSpan w:val="3"/>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本年支出</w:t>
            </w:r>
          </w:p>
        </w:tc>
        <w:tc>
          <w:tcPr>
            <w:tcW w:w="0" w:type="auto"/>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年末结转和结余</w:t>
            </w:r>
          </w:p>
        </w:tc>
      </w:tr>
      <w:tr>
        <w:tblPrEx>
          <w:tblCellMar>
            <w:top w:w="0" w:type="dxa"/>
            <w:left w:w="108" w:type="dxa"/>
            <w:bottom w:w="0" w:type="dxa"/>
            <w:right w:w="108" w:type="dxa"/>
          </w:tblCellMar>
        </w:tblPrEx>
        <w:trPr>
          <w:trHeight w:val="312" w:hRule="atLeast"/>
        </w:trPr>
        <w:tc>
          <w:tcPr>
            <w:tcW w:w="0" w:type="auto"/>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科目名称</w:t>
            </w: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小计</w:t>
            </w:r>
          </w:p>
        </w:tc>
        <w:tc>
          <w:tcPr>
            <w:tcW w:w="0" w:type="auto"/>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基本支出</w:t>
            </w:r>
          </w:p>
        </w:tc>
        <w:tc>
          <w:tcPr>
            <w:tcW w:w="0" w:type="auto"/>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项目支出</w:t>
            </w: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12" w:hRule="atLeast"/>
        </w:trPr>
        <w:tc>
          <w:tcPr>
            <w:tcW w:w="0" w:type="auto"/>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12" w:hRule="atLeast"/>
        </w:trPr>
        <w:tc>
          <w:tcPr>
            <w:tcW w:w="0" w:type="auto"/>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04"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栏次</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1</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2</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3</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4</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5</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6</w:t>
            </w:r>
          </w:p>
        </w:tc>
      </w:tr>
      <w:tr>
        <w:tblPrEx>
          <w:tblCellMar>
            <w:top w:w="0" w:type="dxa"/>
            <w:left w:w="108" w:type="dxa"/>
            <w:bottom w:w="0" w:type="dxa"/>
            <w:right w:w="108" w:type="dxa"/>
          </w:tblCellMar>
        </w:tblPrEx>
        <w:trPr>
          <w:trHeight w:val="304"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r>
      <w:tr>
        <w:tblPrEx>
          <w:tblCellMar>
            <w:top w:w="0" w:type="dxa"/>
            <w:left w:w="108" w:type="dxa"/>
            <w:bottom w:w="0" w:type="dxa"/>
            <w:right w:w="108" w:type="dxa"/>
          </w:tblCellMar>
        </w:tblPrEx>
        <w:trPr>
          <w:trHeight w:val="304" w:hRule="atLeast"/>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r>
      <w:tr>
        <w:tblPrEx>
          <w:tblCellMar>
            <w:top w:w="0" w:type="dxa"/>
            <w:left w:w="108" w:type="dxa"/>
            <w:bottom w:w="0" w:type="dxa"/>
            <w:right w:w="108" w:type="dxa"/>
          </w:tblCellMar>
        </w:tblPrEx>
        <w:trPr>
          <w:trHeight w:val="304" w:hRule="atLeast"/>
        </w:trPr>
        <w:tc>
          <w:tcPr>
            <w:tcW w:w="0" w:type="auto"/>
            <w:gridSpan w:val="10"/>
            <w:tcBorders>
              <w:top w:val="nil"/>
              <w:left w:val="nil"/>
              <w:bottom w:val="nil"/>
              <w:right w:val="nil"/>
            </w:tcBorders>
            <w:shd w:val="clear" w:color="auto" w:fill="FFFFFF"/>
            <w:noWrap/>
            <w:vAlign w:val="center"/>
          </w:tcPr>
          <w:p>
            <w:pPr>
              <w:widowControl/>
              <w:jc w:val="left"/>
              <w:textAlignment w:val="center"/>
              <w:rPr>
                <w:rFonts w:ascii="宋体" w:cs="宋体"/>
                <w:color w:val="000000"/>
                <w:sz w:val="20"/>
                <w:szCs w:val="20"/>
              </w:rPr>
            </w:pPr>
            <w:r>
              <w:rPr>
                <w:rFonts w:hint="eastAsia" w:ascii="宋体" w:hAnsi="宋体" w:cs="宋体"/>
                <w:color w:val="000000"/>
                <w:kern w:val="0"/>
                <w:sz w:val="20"/>
                <w:szCs w:val="20"/>
              </w:rPr>
              <w:t>注：本表反映部门本年度政府性基金预算财政拨款收入、支出及结转和结余情况。</w:t>
            </w:r>
            <w:r>
              <w:rPr>
                <w:rFonts w:hint="eastAsia" w:ascii="宋体" w:hAnsi="宋体" w:cs="仿宋"/>
                <w:sz w:val="20"/>
                <w:szCs w:val="20"/>
              </w:rPr>
              <w:t>我部门无此项内容，本表无数据。</w:t>
            </w:r>
          </w:p>
        </w:tc>
      </w:tr>
    </w:tbl>
    <w:p/>
    <w:tbl>
      <w:tblPr>
        <w:tblStyle w:val="8"/>
        <w:tblpPr w:leftFromText="180" w:rightFromText="180" w:vertAnchor="text" w:horzAnchor="page" w:tblpX="1718" w:tblpY="384"/>
        <w:tblOverlap w:val="never"/>
        <w:tblW w:w="14260" w:type="dxa"/>
        <w:tblInd w:w="0" w:type="dxa"/>
        <w:tblLayout w:type="autofit"/>
        <w:tblCellMar>
          <w:top w:w="0" w:type="dxa"/>
          <w:left w:w="108" w:type="dxa"/>
          <w:bottom w:w="0" w:type="dxa"/>
          <w:right w:w="108" w:type="dxa"/>
        </w:tblCellMar>
      </w:tblPr>
      <w:tblGrid>
        <w:gridCol w:w="5575"/>
        <w:gridCol w:w="331"/>
        <w:gridCol w:w="331"/>
        <w:gridCol w:w="1718"/>
        <w:gridCol w:w="1712"/>
        <w:gridCol w:w="1427"/>
        <w:gridCol w:w="3166"/>
      </w:tblGrid>
      <w:tr>
        <w:tblPrEx>
          <w:tblCellMar>
            <w:top w:w="0" w:type="dxa"/>
            <w:left w:w="108" w:type="dxa"/>
            <w:bottom w:w="0" w:type="dxa"/>
            <w:right w:w="108" w:type="dxa"/>
          </w:tblCellMar>
        </w:tblPrEx>
        <w:trPr>
          <w:trHeight w:val="588" w:hRule="atLeast"/>
        </w:trPr>
        <w:tc>
          <w:tcPr>
            <w:tcW w:w="14260" w:type="dxa"/>
            <w:gridSpan w:val="7"/>
            <w:tcBorders>
              <w:top w:val="nil"/>
              <w:left w:val="nil"/>
              <w:bottom w:val="nil"/>
              <w:right w:val="nil"/>
            </w:tcBorders>
            <w:shd w:val="clear" w:color="auto" w:fill="FFFFFF"/>
            <w:noWrap/>
            <w:vAlign w:val="center"/>
          </w:tcPr>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国有资本经营预算财政拨款支出决算表</w:t>
            </w:r>
          </w:p>
        </w:tc>
      </w:tr>
      <w:tr>
        <w:tblPrEx>
          <w:tblCellMar>
            <w:top w:w="0" w:type="dxa"/>
            <w:left w:w="108" w:type="dxa"/>
            <w:bottom w:w="0" w:type="dxa"/>
            <w:right w:w="108" w:type="dxa"/>
          </w:tblCellMar>
        </w:tblPrEx>
        <w:trPr>
          <w:trHeight w:val="90" w:hRule="atLeast"/>
        </w:trPr>
        <w:tc>
          <w:tcPr>
            <w:tcW w:w="5575" w:type="dxa"/>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331" w:type="dxa"/>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331" w:type="dxa"/>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1718" w:type="dxa"/>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1712" w:type="dxa"/>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1427" w:type="dxa"/>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3166" w:type="dxa"/>
            <w:tcBorders>
              <w:top w:val="nil"/>
              <w:left w:val="nil"/>
              <w:bottom w:val="nil"/>
              <w:right w:val="nil"/>
            </w:tcBorders>
            <w:shd w:val="clear" w:color="auto" w:fill="FFFFFF"/>
            <w:noWrap/>
            <w:vAlign w:val="center"/>
          </w:tcPr>
          <w:p>
            <w:pPr>
              <w:widowControl/>
              <w:jc w:val="right"/>
              <w:textAlignment w:val="center"/>
              <w:rPr>
                <w:rFonts w:ascii="宋体" w:cs="宋体"/>
                <w:color w:val="000000"/>
                <w:sz w:val="22"/>
                <w:szCs w:val="22"/>
              </w:rPr>
            </w:pPr>
            <w:r>
              <w:rPr>
                <w:rFonts w:hint="eastAsia" w:ascii="宋体" w:hAnsi="宋体" w:cs="宋体"/>
                <w:color w:val="000000"/>
                <w:kern w:val="0"/>
                <w:sz w:val="22"/>
                <w:szCs w:val="22"/>
              </w:rPr>
              <w:t>公开</w:t>
            </w:r>
            <w:r>
              <w:rPr>
                <w:rFonts w:ascii="宋体" w:hAnsi="宋体" w:cs="宋体"/>
                <w:color w:val="000000"/>
                <w:kern w:val="0"/>
                <w:sz w:val="22"/>
                <w:szCs w:val="22"/>
              </w:rPr>
              <w:t>09</w:t>
            </w:r>
            <w:r>
              <w:rPr>
                <w:rFonts w:hint="eastAsia" w:ascii="宋体" w:hAnsi="宋体" w:cs="宋体"/>
                <w:color w:val="000000"/>
                <w:kern w:val="0"/>
                <w:sz w:val="22"/>
                <w:szCs w:val="22"/>
              </w:rPr>
              <w:t>表</w:t>
            </w:r>
          </w:p>
        </w:tc>
      </w:tr>
      <w:tr>
        <w:tblPrEx>
          <w:tblCellMar>
            <w:top w:w="0" w:type="dxa"/>
            <w:left w:w="108" w:type="dxa"/>
            <w:bottom w:w="0" w:type="dxa"/>
            <w:right w:w="108" w:type="dxa"/>
          </w:tblCellMar>
        </w:tblPrEx>
        <w:trPr>
          <w:trHeight w:val="294" w:hRule="atLeast"/>
        </w:trPr>
        <w:tc>
          <w:tcPr>
            <w:tcW w:w="5575" w:type="dxa"/>
            <w:tcBorders>
              <w:top w:val="nil"/>
              <w:left w:val="nil"/>
              <w:bottom w:val="single" w:color="000000" w:sz="4" w:space="0"/>
              <w:right w:val="nil"/>
            </w:tcBorders>
            <w:shd w:val="clear" w:color="auto" w:fill="FFFFFF"/>
            <w:noWrap/>
            <w:vAlign w:val="center"/>
          </w:tcPr>
          <w:p>
            <w:pPr>
              <w:widowControl/>
              <w:jc w:val="left"/>
              <w:textAlignment w:val="center"/>
              <w:rPr>
                <w:rFonts w:ascii="宋体" w:cs="宋体"/>
                <w:color w:val="000000"/>
                <w:sz w:val="22"/>
                <w:szCs w:val="22"/>
              </w:rPr>
            </w:pPr>
            <w:r>
              <w:rPr>
                <w:rFonts w:hint="eastAsia" w:ascii="宋体" w:hAnsi="宋体" w:cs="宋体"/>
                <w:color w:val="000000"/>
                <w:kern w:val="0"/>
                <w:sz w:val="22"/>
                <w:szCs w:val="22"/>
              </w:rPr>
              <w:t>部门：黄石市黄石港区城市文明创建中心</w:t>
            </w:r>
          </w:p>
        </w:tc>
        <w:tc>
          <w:tcPr>
            <w:tcW w:w="331" w:type="dxa"/>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331" w:type="dxa"/>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1718" w:type="dxa"/>
            <w:tcBorders>
              <w:top w:val="nil"/>
              <w:left w:val="nil"/>
              <w:bottom w:val="single" w:color="000000" w:sz="4" w:space="0"/>
              <w:right w:val="nil"/>
            </w:tcBorders>
            <w:shd w:val="clear" w:color="auto" w:fill="FFFFFF"/>
            <w:noWrap/>
            <w:vAlign w:val="center"/>
          </w:tcPr>
          <w:p>
            <w:pPr>
              <w:widowControl/>
              <w:jc w:val="center"/>
              <w:textAlignment w:val="center"/>
              <w:rPr>
                <w:rFonts w:ascii="宋体" w:cs="宋体"/>
                <w:color w:val="000000"/>
                <w:sz w:val="22"/>
                <w:szCs w:val="22"/>
              </w:rPr>
            </w:pPr>
            <w:r>
              <w:rPr>
                <w:rFonts w:ascii="宋体" w:hAnsi="宋体" w:cs="宋体"/>
                <w:color w:val="000000"/>
                <w:kern w:val="0"/>
                <w:sz w:val="22"/>
                <w:szCs w:val="22"/>
              </w:rPr>
              <w:t>2021</w:t>
            </w:r>
            <w:r>
              <w:rPr>
                <w:rFonts w:hint="eastAsia" w:ascii="宋体" w:hAnsi="宋体" w:cs="宋体"/>
                <w:color w:val="000000"/>
                <w:kern w:val="0"/>
                <w:sz w:val="22"/>
                <w:szCs w:val="22"/>
              </w:rPr>
              <w:t>年度</w:t>
            </w:r>
          </w:p>
        </w:tc>
        <w:tc>
          <w:tcPr>
            <w:tcW w:w="1712" w:type="dxa"/>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1427" w:type="dxa"/>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3166" w:type="dxa"/>
            <w:tcBorders>
              <w:top w:val="nil"/>
              <w:left w:val="nil"/>
              <w:bottom w:val="single" w:color="000000" w:sz="4" w:space="0"/>
              <w:right w:val="nil"/>
            </w:tcBorders>
            <w:shd w:val="clear" w:color="auto" w:fill="FFFFFF"/>
            <w:noWrap/>
            <w:vAlign w:val="center"/>
          </w:tcPr>
          <w:p>
            <w:pPr>
              <w:widowControl/>
              <w:jc w:val="right"/>
              <w:textAlignment w:val="center"/>
              <w:rPr>
                <w:rFonts w:ascii="宋体" w:cs="宋体"/>
                <w:color w:val="000000"/>
                <w:sz w:val="22"/>
                <w:szCs w:val="22"/>
              </w:rPr>
            </w:pPr>
            <w:r>
              <w:rPr>
                <w:rFonts w:hint="eastAsia" w:ascii="宋体" w:hAnsi="宋体" w:cs="宋体"/>
                <w:color w:val="000000"/>
                <w:kern w:val="0"/>
                <w:sz w:val="22"/>
                <w:szCs w:val="22"/>
              </w:rPr>
              <w:t>金额单位：万元</w:t>
            </w:r>
          </w:p>
        </w:tc>
      </w:tr>
      <w:tr>
        <w:tblPrEx>
          <w:tblCellMar>
            <w:top w:w="0" w:type="dxa"/>
            <w:left w:w="108" w:type="dxa"/>
            <w:bottom w:w="0" w:type="dxa"/>
            <w:right w:w="108" w:type="dxa"/>
          </w:tblCellMar>
        </w:tblPrEx>
        <w:trPr>
          <w:trHeight w:val="310" w:hRule="atLeast"/>
        </w:trPr>
        <w:tc>
          <w:tcPr>
            <w:tcW w:w="7955"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项目</w:t>
            </w:r>
          </w:p>
        </w:tc>
        <w:tc>
          <w:tcPr>
            <w:tcW w:w="6305" w:type="dxa"/>
            <w:gridSpan w:val="3"/>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本年支出</w:t>
            </w:r>
          </w:p>
        </w:tc>
      </w:tr>
      <w:tr>
        <w:tblPrEx>
          <w:tblCellMar>
            <w:top w:w="0" w:type="dxa"/>
            <w:left w:w="108" w:type="dxa"/>
            <w:bottom w:w="0" w:type="dxa"/>
            <w:right w:w="108" w:type="dxa"/>
          </w:tblCellMar>
        </w:tblPrEx>
        <w:trPr>
          <w:trHeight w:val="312" w:hRule="atLeast"/>
        </w:trPr>
        <w:tc>
          <w:tcPr>
            <w:tcW w:w="6237"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功能分类科目编码</w:t>
            </w:r>
          </w:p>
        </w:tc>
        <w:tc>
          <w:tcPr>
            <w:tcW w:w="1718" w:type="dxa"/>
            <w:vMerge w:val="restart"/>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科目名称</w:t>
            </w:r>
          </w:p>
        </w:tc>
        <w:tc>
          <w:tcPr>
            <w:tcW w:w="1712"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合计</w:t>
            </w:r>
          </w:p>
        </w:tc>
        <w:tc>
          <w:tcPr>
            <w:tcW w:w="1427"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基本支出</w:t>
            </w:r>
          </w:p>
        </w:tc>
        <w:tc>
          <w:tcPr>
            <w:tcW w:w="3166"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项目支出</w:t>
            </w:r>
          </w:p>
        </w:tc>
      </w:tr>
      <w:tr>
        <w:tblPrEx>
          <w:tblCellMar>
            <w:top w:w="0" w:type="dxa"/>
            <w:left w:w="108" w:type="dxa"/>
            <w:bottom w:w="0" w:type="dxa"/>
            <w:right w:w="108" w:type="dxa"/>
          </w:tblCellMar>
        </w:tblPrEx>
        <w:trPr>
          <w:trHeight w:val="312" w:hRule="atLeast"/>
        </w:trPr>
        <w:tc>
          <w:tcPr>
            <w:tcW w:w="6237"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1718" w:type="dxa"/>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1712"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1427"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3166"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12" w:hRule="atLeast"/>
        </w:trPr>
        <w:tc>
          <w:tcPr>
            <w:tcW w:w="6237"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1718" w:type="dxa"/>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1712"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1427"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3166"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10" w:hRule="atLeast"/>
        </w:trPr>
        <w:tc>
          <w:tcPr>
            <w:tcW w:w="7955"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栏次</w:t>
            </w:r>
          </w:p>
        </w:tc>
        <w:tc>
          <w:tcPr>
            <w:tcW w:w="1712"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1</w:t>
            </w:r>
          </w:p>
        </w:tc>
        <w:tc>
          <w:tcPr>
            <w:tcW w:w="1427"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2</w:t>
            </w:r>
          </w:p>
        </w:tc>
        <w:tc>
          <w:tcPr>
            <w:tcW w:w="316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3</w:t>
            </w:r>
          </w:p>
        </w:tc>
      </w:tr>
      <w:tr>
        <w:tblPrEx>
          <w:tblCellMar>
            <w:top w:w="0" w:type="dxa"/>
            <w:left w:w="108" w:type="dxa"/>
            <w:bottom w:w="0" w:type="dxa"/>
            <w:right w:w="108" w:type="dxa"/>
          </w:tblCellMar>
        </w:tblPrEx>
        <w:trPr>
          <w:trHeight w:val="310" w:hRule="atLeast"/>
        </w:trPr>
        <w:tc>
          <w:tcPr>
            <w:tcW w:w="7955"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合计</w:t>
            </w:r>
          </w:p>
        </w:tc>
        <w:tc>
          <w:tcPr>
            <w:tcW w:w="1712" w:type="dxa"/>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1427" w:type="dxa"/>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3166" w:type="dxa"/>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r>
      <w:tr>
        <w:tblPrEx>
          <w:tblCellMar>
            <w:top w:w="0" w:type="dxa"/>
            <w:left w:w="108" w:type="dxa"/>
            <w:bottom w:w="0" w:type="dxa"/>
            <w:right w:w="108" w:type="dxa"/>
          </w:tblCellMar>
        </w:tblPrEx>
        <w:trPr>
          <w:trHeight w:val="310" w:hRule="atLeast"/>
        </w:trPr>
        <w:tc>
          <w:tcPr>
            <w:tcW w:w="6237" w:type="dxa"/>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ascii="宋体" w:cs="宋体"/>
                <w:color w:val="000000"/>
                <w:sz w:val="20"/>
                <w:szCs w:val="20"/>
              </w:rPr>
            </w:pPr>
          </w:p>
        </w:tc>
        <w:tc>
          <w:tcPr>
            <w:tcW w:w="1718" w:type="dxa"/>
            <w:tcBorders>
              <w:top w:val="nil"/>
              <w:left w:val="nil"/>
              <w:bottom w:val="single" w:color="000000" w:sz="4" w:space="0"/>
              <w:right w:val="single" w:color="000000" w:sz="4" w:space="0"/>
            </w:tcBorders>
            <w:shd w:val="clear" w:color="auto" w:fill="CCFFFF"/>
            <w:noWrap/>
            <w:vAlign w:val="center"/>
          </w:tcPr>
          <w:p>
            <w:pPr>
              <w:jc w:val="left"/>
              <w:rPr>
                <w:rFonts w:ascii="宋体" w:cs="宋体"/>
                <w:color w:val="000000"/>
                <w:sz w:val="20"/>
                <w:szCs w:val="20"/>
              </w:rPr>
            </w:pPr>
          </w:p>
        </w:tc>
        <w:tc>
          <w:tcPr>
            <w:tcW w:w="1712" w:type="dxa"/>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1427" w:type="dxa"/>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3166" w:type="dxa"/>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r>
      <w:tr>
        <w:tblPrEx>
          <w:tblCellMar>
            <w:top w:w="0" w:type="dxa"/>
            <w:left w:w="108" w:type="dxa"/>
            <w:bottom w:w="0" w:type="dxa"/>
            <w:right w:w="108" w:type="dxa"/>
          </w:tblCellMar>
        </w:tblPrEx>
        <w:trPr>
          <w:trHeight w:val="310" w:hRule="atLeast"/>
        </w:trPr>
        <w:tc>
          <w:tcPr>
            <w:tcW w:w="14260" w:type="dxa"/>
            <w:gridSpan w:val="7"/>
            <w:tcBorders>
              <w:top w:val="nil"/>
              <w:left w:val="nil"/>
              <w:bottom w:val="nil"/>
              <w:right w:val="nil"/>
            </w:tcBorders>
            <w:shd w:val="clear" w:color="auto" w:fill="FFFFFF"/>
            <w:noWrap/>
            <w:vAlign w:val="center"/>
          </w:tcPr>
          <w:p>
            <w:pPr>
              <w:widowControl/>
              <w:jc w:val="left"/>
              <w:textAlignment w:val="center"/>
              <w:rPr>
                <w:rFonts w:ascii="宋体" w:cs="宋体"/>
                <w:color w:val="000000"/>
                <w:sz w:val="20"/>
                <w:szCs w:val="20"/>
              </w:rPr>
            </w:pPr>
            <w:r>
              <w:rPr>
                <w:rFonts w:hint="eastAsia" w:ascii="宋体" w:hAnsi="宋体" w:cs="宋体"/>
                <w:color w:val="000000"/>
                <w:kern w:val="0"/>
                <w:sz w:val="20"/>
                <w:szCs w:val="20"/>
              </w:rPr>
              <w:t>注：本表反映部门本年度国有资本经营预算财政拨款支出情况。</w:t>
            </w:r>
            <w:r>
              <w:rPr>
                <w:rFonts w:hint="eastAsia" w:ascii="宋体" w:hAnsi="宋体" w:cs="仿宋"/>
                <w:sz w:val="20"/>
                <w:szCs w:val="20"/>
              </w:rPr>
              <w:t>我部门无此项内容，本表无数据。</w:t>
            </w:r>
          </w:p>
        </w:tc>
      </w:tr>
    </w:tbl>
    <w:p>
      <w:pPr>
        <w:pStyle w:val="22"/>
        <w:spacing w:before="76" w:beforeAutospacing="0" w:after="76" w:afterAutospacing="0" w:line="450" w:lineRule="atLeast"/>
        <w:jc w:val="both"/>
      </w:pPr>
    </w:p>
    <w:p/>
    <w:p/>
    <w:p/>
    <w:p/>
    <w:p/>
    <w:p/>
    <w:p/>
    <w:p/>
    <w:p/>
    <w:p>
      <w:pPr>
        <w:sectPr>
          <w:headerReference r:id="rId5" w:type="first"/>
          <w:footerReference r:id="rId8" w:type="first"/>
          <w:headerReference r:id="rId3" w:type="default"/>
          <w:footerReference r:id="rId6" w:type="default"/>
          <w:headerReference r:id="rId4" w:type="even"/>
          <w:footerReference r:id="rId7" w:type="even"/>
          <w:pgSz w:w="16838" w:h="11906" w:orient="landscape"/>
          <w:pgMar w:top="1800" w:right="1440" w:bottom="1800" w:left="1440" w:header="851" w:footer="992" w:gutter="0"/>
          <w:cols w:space="425" w:num="1"/>
          <w:docGrid w:type="lines" w:linePitch="312" w:charSpace="0"/>
        </w:sectPr>
      </w:pPr>
    </w:p>
    <w:p>
      <w:pPr>
        <w:pStyle w:val="7"/>
        <w:widowControl/>
        <w:spacing w:before="76" w:beforeAutospacing="0" w:after="76" w:afterAutospacing="0" w:line="450" w:lineRule="atLeast"/>
        <w:rPr>
          <w:rStyle w:val="10"/>
          <w:rFonts w:ascii="微软雅黑" w:hAnsi="微软雅黑" w:eastAsia="微软雅黑" w:cs="微软雅黑"/>
          <w:color w:val="333333"/>
          <w:shd w:val="clear" w:color="auto" w:fill="FFFFFF"/>
        </w:rPr>
      </w:pPr>
      <w:r>
        <w:rPr>
          <w:rStyle w:val="10"/>
          <w:rFonts w:hint="eastAsia" w:ascii="微软雅黑" w:hAnsi="微软雅黑" w:eastAsia="微软雅黑" w:cs="微软雅黑"/>
          <w:color w:val="333333"/>
          <w:shd w:val="clear" w:color="auto" w:fill="FFFFFF"/>
        </w:rPr>
        <w:t>第三部分</w:t>
      </w:r>
      <w:r>
        <w:rPr>
          <w:rStyle w:val="10"/>
          <w:rFonts w:ascii="微软雅黑" w:hAnsi="微软雅黑" w:eastAsia="微软雅黑" w:cs="微软雅黑"/>
          <w:color w:val="333333"/>
          <w:shd w:val="clear" w:color="auto" w:fill="FFFFFF"/>
        </w:rPr>
        <w:t xml:space="preserve"> 2021</w:t>
      </w:r>
      <w:r>
        <w:rPr>
          <w:rStyle w:val="10"/>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b/>
          <w:sz w:val="28"/>
          <w:szCs w:val="28"/>
          <w:shd w:val="clear" w:color="auto" w:fill="FFFFFF"/>
        </w:rPr>
      </w:pPr>
      <w:r>
        <w:rPr>
          <w:rFonts w:hint="eastAsia"/>
          <w:b/>
          <w:sz w:val="28"/>
          <w:szCs w:val="28"/>
          <w:shd w:val="clear" w:color="auto" w:fill="FFFFFF"/>
        </w:rPr>
        <w:t>（一）预算执行情况分析</w:t>
      </w:r>
    </w:p>
    <w:p>
      <w:pPr>
        <w:pStyle w:val="7"/>
        <w:widowControl/>
        <w:spacing w:before="76" w:beforeAutospacing="0" w:after="76" w:afterAutospacing="0" w:line="450" w:lineRule="atLeast"/>
        <w:ind w:firstLine="560"/>
        <w:rPr>
          <w:rFonts w:hint="eastAsia" w:ascii="宋体" w:hAnsi="宋体" w:eastAsia="宋体"/>
          <w:sz w:val="28"/>
          <w:szCs w:val="28"/>
          <w:lang w:eastAsia="zh-CN"/>
        </w:rPr>
      </w:pPr>
      <w:r>
        <w:rPr>
          <w:rFonts w:ascii="宋体" w:hAnsi="宋体"/>
          <w:sz w:val="28"/>
          <w:szCs w:val="28"/>
        </w:rPr>
        <w:t>2021</w:t>
      </w:r>
      <w:r>
        <w:rPr>
          <w:rFonts w:hint="eastAsia" w:ascii="宋体" w:hAnsi="宋体"/>
          <w:sz w:val="28"/>
          <w:szCs w:val="28"/>
        </w:rPr>
        <w:t>年度财政收入预算数</w:t>
      </w:r>
      <w:r>
        <w:rPr>
          <w:rFonts w:ascii="宋体" w:hAnsi="宋体"/>
          <w:sz w:val="28"/>
          <w:szCs w:val="28"/>
        </w:rPr>
        <w:t>115.95</w:t>
      </w:r>
      <w:r>
        <w:rPr>
          <w:rFonts w:hint="eastAsia" w:ascii="宋体" w:hAnsi="宋体"/>
          <w:sz w:val="28"/>
          <w:szCs w:val="28"/>
        </w:rPr>
        <w:t>万元，其中公用经费</w:t>
      </w:r>
      <w:r>
        <w:rPr>
          <w:rFonts w:ascii="宋体" w:hAnsi="宋体"/>
          <w:sz w:val="28"/>
          <w:szCs w:val="28"/>
        </w:rPr>
        <w:t>115.95</w:t>
      </w:r>
      <w:r>
        <w:rPr>
          <w:rFonts w:hint="eastAsia" w:ascii="宋体" w:hAnsi="宋体"/>
          <w:sz w:val="28"/>
          <w:szCs w:val="28"/>
        </w:rPr>
        <w:t>万元；</w:t>
      </w:r>
      <w:r>
        <w:rPr>
          <w:rFonts w:ascii="宋体" w:hAnsi="宋体"/>
          <w:sz w:val="28"/>
          <w:szCs w:val="28"/>
        </w:rPr>
        <w:t>2021</w:t>
      </w:r>
      <w:r>
        <w:rPr>
          <w:rFonts w:hint="eastAsia" w:ascii="宋体" w:hAnsi="宋体"/>
          <w:sz w:val="28"/>
          <w:szCs w:val="28"/>
        </w:rPr>
        <w:t>年度财政支出预算数</w:t>
      </w:r>
      <w:r>
        <w:rPr>
          <w:rFonts w:ascii="宋体" w:hAnsi="宋体"/>
          <w:sz w:val="28"/>
          <w:szCs w:val="28"/>
        </w:rPr>
        <w:t>115.95</w:t>
      </w:r>
      <w:r>
        <w:rPr>
          <w:rFonts w:hint="eastAsia" w:ascii="宋体" w:hAnsi="宋体"/>
          <w:sz w:val="28"/>
          <w:szCs w:val="28"/>
        </w:rPr>
        <w:t>万元，其中公用经费</w:t>
      </w:r>
      <w:r>
        <w:rPr>
          <w:rFonts w:ascii="宋体" w:hAnsi="宋体"/>
          <w:sz w:val="28"/>
          <w:szCs w:val="28"/>
        </w:rPr>
        <w:t>115.95</w:t>
      </w:r>
      <w:r>
        <w:rPr>
          <w:rFonts w:hint="eastAsia" w:ascii="宋体" w:hAnsi="宋体"/>
          <w:sz w:val="28"/>
          <w:szCs w:val="28"/>
        </w:rPr>
        <w:t>万元。</w:t>
      </w:r>
      <w:r>
        <w:rPr>
          <w:rFonts w:ascii="宋体" w:hAnsi="宋体"/>
          <w:sz w:val="28"/>
          <w:szCs w:val="28"/>
        </w:rPr>
        <w:t>2020</w:t>
      </w:r>
      <w:r>
        <w:rPr>
          <w:rFonts w:hint="eastAsia" w:ascii="宋体" w:hAnsi="宋体"/>
          <w:sz w:val="28"/>
          <w:szCs w:val="28"/>
        </w:rPr>
        <w:t>年度财政收入预算数</w:t>
      </w:r>
      <w:r>
        <w:rPr>
          <w:rFonts w:ascii="宋体" w:hAnsi="宋体"/>
          <w:sz w:val="28"/>
          <w:szCs w:val="28"/>
        </w:rPr>
        <w:t>13.03</w:t>
      </w:r>
      <w:r>
        <w:rPr>
          <w:rFonts w:hint="eastAsia" w:ascii="宋体" w:hAnsi="宋体"/>
          <w:sz w:val="28"/>
          <w:szCs w:val="28"/>
        </w:rPr>
        <w:t>万元，其中公用经费</w:t>
      </w:r>
      <w:r>
        <w:rPr>
          <w:rFonts w:ascii="宋体" w:hAnsi="宋体"/>
          <w:sz w:val="28"/>
          <w:szCs w:val="28"/>
        </w:rPr>
        <w:t>13.03</w:t>
      </w:r>
      <w:r>
        <w:rPr>
          <w:rFonts w:hint="eastAsia" w:ascii="宋体" w:hAnsi="宋体"/>
          <w:sz w:val="28"/>
          <w:szCs w:val="28"/>
        </w:rPr>
        <w:t>万元；</w:t>
      </w:r>
      <w:r>
        <w:rPr>
          <w:rFonts w:ascii="宋体" w:hAnsi="宋体"/>
          <w:sz w:val="28"/>
          <w:szCs w:val="28"/>
        </w:rPr>
        <w:t>2020</w:t>
      </w:r>
      <w:r>
        <w:rPr>
          <w:rFonts w:hint="eastAsia" w:ascii="宋体" w:hAnsi="宋体"/>
          <w:sz w:val="28"/>
          <w:szCs w:val="28"/>
        </w:rPr>
        <w:t>年度财政支出预算数</w:t>
      </w:r>
      <w:r>
        <w:rPr>
          <w:rFonts w:ascii="宋体" w:hAnsi="宋体"/>
          <w:sz w:val="28"/>
          <w:szCs w:val="28"/>
        </w:rPr>
        <w:t>13.03</w:t>
      </w:r>
      <w:r>
        <w:rPr>
          <w:rFonts w:hint="eastAsia" w:ascii="宋体" w:hAnsi="宋体"/>
          <w:sz w:val="28"/>
          <w:szCs w:val="28"/>
        </w:rPr>
        <w:t>万元，其中公用经费</w:t>
      </w:r>
      <w:r>
        <w:rPr>
          <w:rFonts w:ascii="宋体" w:hAnsi="宋体"/>
          <w:sz w:val="28"/>
          <w:szCs w:val="28"/>
        </w:rPr>
        <w:t>13.03</w:t>
      </w:r>
      <w:r>
        <w:rPr>
          <w:rFonts w:hint="eastAsia" w:ascii="宋体" w:hAnsi="宋体"/>
          <w:sz w:val="28"/>
          <w:szCs w:val="28"/>
        </w:rPr>
        <w:t>万元。</w:t>
      </w:r>
      <w:r>
        <w:rPr>
          <w:rFonts w:ascii="宋体" w:hAnsi="宋体"/>
          <w:sz w:val="28"/>
          <w:szCs w:val="28"/>
        </w:rPr>
        <w:t>2021</w:t>
      </w:r>
      <w:r>
        <w:rPr>
          <w:rFonts w:hint="eastAsia" w:ascii="宋体" w:hAnsi="宋体"/>
          <w:sz w:val="28"/>
          <w:szCs w:val="28"/>
        </w:rPr>
        <w:t>年收入预算数比上年增加</w:t>
      </w:r>
      <w:r>
        <w:rPr>
          <w:rFonts w:ascii="宋体" w:hAnsi="宋体"/>
          <w:sz w:val="28"/>
          <w:szCs w:val="28"/>
        </w:rPr>
        <w:t>102.92</w:t>
      </w:r>
      <w:r>
        <w:rPr>
          <w:rFonts w:hint="eastAsia" w:ascii="宋体" w:hAnsi="宋体"/>
          <w:sz w:val="28"/>
          <w:szCs w:val="28"/>
        </w:rPr>
        <w:t>万元，</w:t>
      </w:r>
      <w:r>
        <w:rPr>
          <w:rFonts w:ascii="宋体" w:hAnsi="宋体"/>
          <w:sz w:val="28"/>
          <w:szCs w:val="28"/>
        </w:rPr>
        <w:t>2021</w:t>
      </w:r>
      <w:r>
        <w:rPr>
          <w:rFonts w:hint="eastAsia" w:ascii="宋体" w:hAnsi="宋体"/>
          <w:sz w:val="28"/>
          <w:szCs w:val="28"/>
        </w:rPr>
        <w:t>支出预算数比上年增加</w:t>
      </w:r>
      <w:r>
        <w:rPr>
          <w:rFonts w:ascii="宋体" w:hAnsi="宋体"/>
          <w:sz w:val="28"/>
          <w:szCs w:val="28"/>
        </w:rPr>
        <w:t>102.92</w:t>
      </w:r>
      <w:r>
        <w:rPr>
          <w:rFonts w:hint="eastAsia" w:ascii="宋体" w:hAnsi="宋体"/>
          <w:sz w:val="28"/>
          <w:szCs w:val="28"/>
        </w:rPr>
        <w:t>万元。</w:t>
      </w:r>
    </w:p>
    <w:p>
      <w:pPr>
        <w:pStyle w:val="7"/>
        <w:widowControl/>
        <w:spacing w:before="76" w:beforeAutospacing="0" w:after="76" w:afterAutospacing="0" w:line="450" w:lineRule="atLeast"/>
        <w:ind w:firstLine="560"/>
        <w:rPr>
          <w:rFonts w:hint="eastAsia" w:ascii="宋体" w:hAnsi="宋体" w:eastAsia="宋体"/>
          <w:sz w:val="28"/>
          <w:szCs w:val="28"/>
          <w:lang w:eastAsia="zh-CN"/>
        </w:rPr>
      </w:pPr>
      <w:r>
        <w:rPr>
          <w:rFonts w:ascii="宋体" w:hAnsi="宋体"/>
          <w:sz w:val="28"/>
          <w:szCs w:val="28"/>
        </w:rPr>
        <w:t>1</w:t>
      </w:r>
      <w:r>
        <w:rPr>
          <w:rFonts w:hint="eastAsia" w:ascii="宋体" w:hAnsi="宋体"/>
          <w:sz w:val="28"/>
          <w:szCs w:val="28"/>
        </w:rPr>
        <w:t>、收入与预算对比分析</w:t>
      </w:r>
    </w:p>
    <w:p>
      <w:pPr>
        <w:pStyle w:val="7"/>
        <w:widowControl/>
        <w:spacing w:before="76" w:beforeAutospacing="0" w:after="76" w:afterAutospacing="0" w:line="450" w:lineRule="atLeast"/>
        <w:ind w:firstLine="560"/>
        <w:rPr>
          <w:rFonts w:hint="eastAsia" w:ascii="宋体" w:hAnsi="宋体" w:eastAsia="宋体"/>
          <w:sz w:val="28"/>
          <w:szCs w:val="28"/>
          <w:lang w:eastAsia="zh-CN"/>
        </w:rPr>
      </w:pPr>
      <w:r>
        <w:rPr>
          <w:rFonts w:ascii="宋体" w:hAnsi="宋体"/>
          <w:sz w:val="28"/>
          <w:szCs w:val="28"/>
        </w:rPr>
        <w:t>2021</w:t>
      </w:r>
      <w:r>
        <w:rPr>
          <w:rFonts w:hint="eastAsia" w:ascii="宋体" w:hAnsi="宋体"/>
          <w:sz w:val="28"/>
          <w:szCs w:val="28"/>
        </w:rPr>
        <w:t>年全年总收入</w:t>
      </w:r>
      <w:r>
        <w:rPr>
          <w:rFonts w:ascii="宋体" w:hAnsi="宋体"/>
          <w:sz w:val="28"/>
          <w:szCs w:val="28"/>
        </w:rPr>
        <w:t>289.97</w:t>
      </w:r>
      <w:r>
        <w:rPr>
          <w:rFonts w:hint="eastAsia" w:ascii="宋体" w:hAnsi="宋体"/>
          <w:sz w:val="28"/>
          <w:szCs w:val="28"/>
        </w:rPr>
        <w:t>万元。其中财政决算收入</w:t>
      </w:r>
      <w:r>
        <w:rPr>
          <w:rFonts w:ascii="宋体" w:hAnsi="宋体"/>
          <w:sz w:val="28"/>
          <w:szCs w:val="28"/>
        </w:rPr>
        <w:t>115.95</w:t>
      </w:r>
      <w:r>
        <w:rPr>
          <w:rFonts w:hint="eastAsia" w:ascii="宋体" w:hAnsi="宋体"/>
          <w:sz w:val="28"/>
          <w:szCs w:val="28"/>
        </w:rPr>
        <w:t>万元，其他收入</w:t>
      </w:r>
      <w:r>
        <w:rPr>
          <w:rFonts w:ascii="宋体" w:hAnsi="宋体"/>
          <w:sz w:val="28"/>
          <w:szCs w:val="28"/>
        </w:rPr>
        <w:t>174.02</w:t>
      </w:r>
      <w:r>
        <w:rPr>
          <w:rFonts w:hint="eastAsia" w:ascii="宋体" w:hAnsi="宋体"/>
          <w:sz w:val="28"/>
          <w:szCs w:val="28"/>
        </w:rPr>
        <w:t>万元。</w:t>
      </w:r>
      <w:r>
        <w:rPr>
          <w:rFonts w:ascii="宋体" w:hAnsi="宋体"/>
          <w:sz w:val="28"/>
          <w:szCs w:val="28"/>
        </w:rPr>
        <w:t>2021</w:t>
      </w:r>
      <w:r>
        <w:rPr>
          <w:rFonts w:hint="eastAsia" w:ascii="宋体" w:hAnsi="宋体"/>
          <w:sz w:val="28"/>
          <w:szCs w:val="28"/>
        </w:rPr>
        <w:t>年全年决算总支出</w:t>
      </w:r>
      <w:r>
        <w:rPr>
          <w:rFonts w:ascii="宋体" w:hAnsi="宋体"/>
          <w:sz w:val="28"/>
          <w:szCs w:val="28"/>
        </w:rPr>
        <w:t>289.97</w:t>
      </w:r>
      <w:r>
        <w:rPr>
          <w:rFonts w:hint="eastAsia" w:ascii="宋体" w:hAnsi="宋体"/>
          <w:sz w:val="28"/>
          <w:szCs w:val="28"/>
        </w:rPr>
        <w:t>万元，其中财政决算支出</w:t>
      </w:r>
      <w:r>
        <w:rPr>
          <w:rFonts w:ascii="宋体" w:hAnsi="宋体"/>
          <w:sz w:val="28"/>
          <w:szCs w:val="28"/>
        </w:rPr>
        <w:t>115.95</w:t>
      </w:r>
      <w:r>
        <w:rPr>
          <w:rFonts w:hint="eastAsia" w:ascii="宋体" w:hAnsi="宋体"/>
          <w:sz w:val="28"/>
          <w:szCs w:val="28"/>
        </w:rPr>
        <w:t>万元，其他资金支出</w:t>
      </w:r>
      <w:r>
        <w:rPr>
          <w:rFonts w:ascii="宋体" w:hAnsi="宋体"/>
          <w:sz w:val="28"/>
          <w:szCs w:val="28"/>
        </w:rPr>
        <w:t>174.02</w:t>
      </w:r>
      <w:r>
        <w:rPr>
          <w:rFonts w:hint="eastAsia" w:ascii="宋体" w:hAnsi="宋体"/>
          <w:sz w:val="28"/>
          <w:szCs w:val="28"/>
        </w:rPr>
        <w:t>万元。</w:t>
      </w:r>
      <w:r>
        <w:rPr>
          <w:rFonts w:ascii="宋体" w:hAnsi="宋体"/>
          <w:sz w:val="28"/>
          <w:szCs w:val="28"/>
        </w:rPr>
        <w:t>2021</w:t>
      </w:r>
      <w:r>
        <w:rPr>
          <w:rFonts w:hint="eastAsia" w:ascii="宋体" w:hAnsi="宋体"/>
          <w:sz w:val="28"/>
          <w:szCs w:val="28"/>
        </w:rPr>
        <w:t>年度财政收入预算数</w:t>
      </w:r>
      <w:r>
        <w:rPr>
          <w:rFonts w:ascii="宋体" w:hAnsi="宋体"/>
          <w:sz w:val="28"/>
          <w:szCs w:val="28"/>
        </w:rPr>
        <w:t>115.95</w:t>
      </w:r>
      <w:r>
        <w:rPr>
          <w:rFonts w:hint="eastAsia" w:ascii="宋体" w:hAnsi="宋体"/>
          <w:sz w:val="28"/>
          <w:szCs w:val="28"/>
        </w:rPr>
        <w:t>万元，财拔决算与预算数相符。</w:t>
      </w:r>
    </w:p>
    <w:p>
      <w:pPr>
        <w:pStyle w:val="7"/>
        <w:widowControl/>
        <w:spacing w:before="76" w:beforeAutospacing="0" w:after="76" w:afterAutospacing="0" w:line="450" w:lineRule="atLeast"/>
        <w:ind w:firstLine="560"/>
        <w:rPr>
          <w:rFonts w:hint="eastAsia" w:ascii="宋体" w:hAnsi="宋体" w:eastAsia="宋体"/>
          <w:sz w:val="28"/>
          <w:szCs w:val="28"/>
          <w:lang w:eastAsia="zh-CN"/>
        </w:rPr>
      </w:pPr>
      <w:r>
        <w:rPr>
          <w:rFonts w:ascii="宋体" w:hAnsi="宋体"/>
          <w:sz w:val="28"/>
          <w:szCs w:val="28"/>
        </w:rPr>
        <w:t>2</w:t>
      </w:r>
      <w:r>
        <w:rPr>
          <w:rFonts w:hint="eastAsia" w:ascii="宋体" w:hAnsi="宋体"/>
          <w:sz w:val="28"/>
          <w:szCs w:val="28"/>
        </w:rPr>
        <w:t>、收入支出结构分析</w:t>
      </w:r>
    </w:p>
    <w:p>
      <w:pPr>
        <w:pStyle w:val="7"/>
        <w:widowControl/>
        <w:spacing w:before="76" w:beforeAutospacing="0" w:after="76" w:afterAutospacing="0" w:line="450" w:lineRule="atLeast"/>
        <w:ind w:firstLine="560"/>
        <w:rPr>
          <w:rFonts w:hint="eastAsia" w:ascii="宋体" w:hAnsi="宋体" w:eastAsia="宋体"/>
          <w:sz w:val="28"/>
          <w:szCs w:val="28"/>
          <w:lang w:eastAsia="zh-CN"/>
        </w:rPr>
      </w:pPr>
      <w:r>
        <w:rPr>
          <w:rFonts w:ascii="宋体" w:hAnsi="宋体"/>
          <w:sz w:val="28"/>
          <w:szCs w:val="28"/>
        </w:rPr>
        <w:t>2021</w:t>
      </w:r>
      <w:r>
        <w:rPr>
          <w:rFonts w:hint="eastAsia" w:ascii="宋体" w:hAnsi="宋体"/>
          <w:sz w:val="28"/>
          <w:szCs w:val="28"/>
        </w:rPr>
        <w:t>年全年总收入</w:t>
      </w:r>
      <w:r>
        <w:rPr>
          <w:rFonts w:ascii="宋体" w:hAnsi="宋体"/>
          <w:sz w:val="28"/>
          <w:szCs w:val="28"/>
        </w:rPr>
        <w:t>289.97</w:t>
      </w:r>
      <w:r>
        <w:rPr>
          <w:rFonts w:hint="eastAsia" w:ascii="宋体" w:hAnsi="宋体"/>
          <w:sz w:val="28"/>
          <w:szCs w:val="28"/>
        </w:rPr>
        <w:t>万元。其中财政决算收入</w:t>
      </w:r>
      <w:r>
        <w:rPr>
          <w:rFonts w:ascii="宋体" w:hAnsi="宋体"/>
          <w:sz w:val="28"/>
          <w:szCs w:val="28"/>
        </w:rPr>
        <w:t>115.95</w:t>
      </w:r>
      <w:r>
        <w:rPr>
          <w:rFonts w:hint="eastAsia" w:ascii="宋体" w:hAnsi="宋体"/>
          <w:sz w:val="28"/>
          <w:szCs w:val="28"/>
        </w:rPr>
        <w:t>万元，其他收入</w:t>
      </w:r>
      <w:r>
        <w:rPr>
          <w:rFonts w:ascii="宋体" w:hAnsi="宋体"/>
          <w:sz w:val="28"/>
          <w:szCs w:val="28"/>
        </w:rPr>
        <w:t>174.02</w:t>
      </w:r>
      <w:r>
        <w:rPr>
          <w:rFonts w:hint="eastAsia" w:ascii="宋体" w:hAnsi="宋体"/>
          <w:sz w:val="28"/>
          <w:szCs w:val="28"/>
        </w:rPr>
        <w:t>万元；</w:t>
      </w:r>
      <w:r>
        <w:rPr>
          <w:rFonts w:ascii="宋体" w:hAnsi="宋体"/>
          <w:sz w:val="28"/>
          <w:szCs w:val="28"/>
        </w:rPr>
        <w:t>2021</w:t>
      </w:r>
      <w:r>
        <w:rPr>
          <w:rFonts w:hint="eastAsia" w:ascii="宋体" w:hAnsi="宋体"/>
          <w:sz w:val="28"/>
          <w:szCs w:val="28"/>
        </w:rPr>
        <w:t>年全年决算总支出</w:t>
      </w:r>
      <w:r>
        <w:rPr>
          <w:rFonts w:ascii="宋体" w:hAnsi="宋体"/>
          <w:sz w:val="28"/>
          <w:szCs w:val="28"/>
        </w:rPr>
        <w:t>289.97</w:t>
      </w:r>
      <w:r>
        <w:rPr>
          <w:rFonts w:hint="eastAsia" w:ascii="宋体" w:hAnsi="宋体"/>
          <w:sz w:val="28"/>
          <w:szCs w:val="28"/>
        </w:rPr>
        <w:t>万元，其中财政决算支出</w:t>
      </w:r>
      <w:r>
        <w:rPr>
          <w:rFonts w:ascii="宋体" w:hAnsi="宋体"/>
          <w:sz w:val="28"/>
          <w:szCs w:val="28"/>
        </w:rPr>
        <w:t>115.95</w:t>
      </w:r>
      <w:r>
        <w:rPr>
          <w:rFonts w:hint="eastAsia" w:ascii="宋体" w:hAnsi="宋体"/>
          <w:sz w:val="28"/>
          <w:szCs w:val="28"/>
        </w:rPr>
        <w:t>万元</w:t>
      </w:r>
      <w:r>
        <w:rPr>
          <w:rFonts w:hint="eastAsia" w:ascii="宋体" w:hAnsi="宋体" w:cs="宋体"/>
          <w:color w:val="333333"/>
          <w:sz w:val="28"/>
          <w:szCs w:val="28"/>
        </w:rPr>
        <w:t>，比去年的</w:t>
      </w:r>
      <w:r>
        <w:rPr>
          <w:rFonts w:ascii="宋体" w:hAnsi="宋体" w:cs="宋体"/>
          <w:color w:val="333333"/>
          <w:sz w:val="28"/>
          <w:szCs w:val="28"/>
        </w:rPr>
        <w:t>13.03</w:t>
      </w:r>
      <w:r>
        <w:rPr>
          <w:rFonts w:hint="eastAsia" w:ascii="宋体" w:hAnsi="宋体" w:cs="宋体"/>
          <w:color w:val="333333"/>
          <w:sz w:val="28"/>
          <w:szCs w:val="28"/>
        </w:rPr>
        <w:t>万元增加</w:t>
      </w:r>
      <w:r>
        <w:rPr>
          <w:rFonts w:ascii="宋体" w:hAnsi="宋体" w:cs="宋体"/>
          <w:color w:val="333333"/>
          <w:sz w:val="28"/>
          <w:szCs w:val="28"/>
        </w:rPr>
        <w:t>102.92</w:t>
      </w:r>
      <w:r>
        <w:rPr>
          <w:rFonts w:hint="eastAsia" w:ascii="宋体" w:hAnsi="宋体" w:cs="宋体"/>
          <w:color w:val="333333"/>
          <w:sz w:val="28"/>
          <w:szCs w:val="28"/>
        </w:rPr>
        <w:t>万元，增幅</w:t>
      </w:r>
      <w:r>
        <w:rPr>
          <w:rFonts w:ascii="宋体" w:hAnsi="宋体" w:cs="宋体"/>
          <w:color w:val="333333"/>
          <w:sz w:val="28"/>
          <w:szCs w:val="28"/>
        </w:rPr>
        <w:t>789.87%</w:t>
      </w:r>
      <w:r>
        <w:rPr>
          <w:rFonts w:hint="eastAsia" w:ascii="宋体" w:hAnsi="宋体" w:cs="宋体"/>
          <w:color w:val="333333"/>
          <w:sz w:val="28"/>
          <w:szCs w:val="28"/>
        </w:rPr>
        <w:t>，其主要原因为</w:t>
      </w:r>
      <w:r>
        <w:rPr>
          <w:rFonts w:hint="eastAsia" w:ascii="宋体" w:hAnsi="宋体" w:cs="仿宋_GB2312"/>
          <w:color w:val="000000"/>
          <w:sz w:val="28"/>
          <w:szCs w:val="28"/>
        </w:rPr>
        <w:t>本年文明创建事务增加所致，</w:t>
      </w:r>
      <w:r>
        <w:rPr>
          <w:rFonts w:hint="eastAsia" w:ascii="宋体" w:hAnsi="宋体" w:cs="宋体"/>
          <w:color w:val="333333"/>
          <w:sz w:val="28"/>
          <w:szCs w:val="28"/>
        </w:rPr>
        <w:t>与年初预算数</w:t>
      </w:r>
      <w:r>
        <w:rPr>
          <w:rFonts w:ascii="宋体" w:hAnsi="宋体" w:cs="宋体"/>
          <w:color w:val="333333"/>
          <w:sz w:val="28"/>
          <w:szCs w:val="28"/>
        </w:rPr>
        <w:t>115.95</w:t>
      </w:r>
      <w:r>
        <w:rPr>
          <w:rFonts w:hint="eastAsia" w:ascii="宋体" w:hAnsi="宋体" w:cs="宋体"/>
          <w:color w:val="333333"/>
          <w:sz w:val="28"/>
          <w:szCs w:val="28"/>
        </w:rPr>
        <w:t>万元对比增加</w:t>
      </w:r>
      <w:r>
        <w:rPr>
          <w:rFonts w:ascii="宋体" w:cs="宋体"/>
          <w:color w:val="333333"/>
          <w:sz w:val="28"/>
          <w:szCs w:val="28"/>
        </w:rPr>
        <w:t>0</w:t>
      </w:r>
      <w:r>
        <w:rPr>
          <w:rFonts w:hint="eastAsia" w:ascii="宋体" w:hAnsi="宋体" w:cs="宋体"/>
          <w:color w:val="333333"/>
          <w:sz w:val="28"/>
          <w:szCs w:val="28"/>
        </w:rPr>
        <w:t>万元，增幅</w:t>
      </w:r>
      <w:r>
        <w:rPr>
          <w:rFonts w:ascii="宋体" w:hAnsi="宋体" w:cs="宋体"/>
          <w:color w:val="333333"/>
          <w:sz w:val="28"/>
          <w:szCs w:val="28"/>
        </w:rPr>
        <w:t>0%</w:t>
      </w:r>
      <w:r>
        <w:rPr>
          <w:rFonts w:hint="eastAsia" w:ascii="宋体" w:hAnsi="宋体" w:cs="宋体"/>
          <w:color w:val="333333"/>
          <w:sz w:val="28"/>
          <w:szCs w:val="28"/>
          <w:lang w:eastAsia="zh-CN"/>
        </w:rPr>
        <w:t>，</w:t>
      </w:r>
      <w:r>
        <w:rPr>
          <w:rFonts w:hint="eastAsia" w:ascii="宋体" w:hAnsi="宋体"/>
          <w:sz w:val="28"/>
          <w:szCs w:val="28"/>
        </w:rPr>
        <w:t>按以下分类说明</w:t>
      </w:r>
    </w:p>
    <w:p>
      <w:pPr>
        <w:pStyle w:val="7"/>
        <w:widowControl/>
        <w:spacing w:before="76" w:beforeAutospacing="0" w:after="76" w:afterAutospacing="0" w:line="450" w:lineRule="atLeast"/>
        <w:ind w:firstLine="560"/>
        <w:rPr>
          <w:rFonts w:hint="eastAsia" w:ascii="宋体" w:hAnsi="宋体" w:eastAsia="宋体"/>
          <w:sz w:val="28"/>
          <w:szCs w:val="28"/>
          <w:lang w:eastAsia="zh-CN"/>
        </w:rPr>
      </w:pPr>
      <w:r>
        <w:rPr>
          <w:rFonts w:hint="eastAsia" w:ascii="宋体" w:hAnsi="宋体" w:cs="宋体"/>
          <w:sz w:val="28"/>
          <w:szCs w:val="28"/>
        </w:rPr>
        <w:t>①</w:t>
      </w:r>
      <w:r>
        <w:rPr>
          <w:rFonts w:hint="eastAsia" w:ascii="宋体" w:hAnsi="宋体"/>
          <w:sz w:val="28"/>
          <w:szCs w:val="28"/>
        </w:rPr>
        <w:t>支出功能分类：</w:t>
      </w:r>
      <w:r>
        <w:rPr>
          <w:rFonts w:ascii="宋体" w:hAnsi="宋体"/>
          <w:sz w:val="28"/>
          <w:szCs w:val="28"/>
        </w:rPr>
        <w:t>115.95</w:t>
      </w:r>
      <w:r>
        <w:rPr>
          <w:rFonts w:hint="eastAsia" w:ascii="宋体" w:hAnsi="宋体"/>
          <w:sz w:val="28"/>
          <w:szCs w:val="28"/>
        </w:rPr>
        <w:t>万元。</w:t>
      </w:r>
    </w:p>
    <w:p>
      <w:pPr>
        <w:pStyle w:val="7"/>
        <w:widowControl/>
        <w:spacing w:before="76" w:beforeAutospacing="0" w:after="76" w:afterAutospacing="0" w:line="450" w:lineRule="atLeast"/>
        <w:ind w:firstLine="560"/>
        <w:rPr>
          <w:rFonts w:hint="eastAsia" w:ascii="宋体" w:hAnsi="宋体" w:eastAsia="宋体"/>
          <w:sz w:val="28"/>
          <w:szCs w:val="28"/>
          <w:lang w:eastAsia="zh-CN"/>
        </w:rPr>
      </w:pPr>
      <w:r>
        <w:rPr>
          <w:rFonts w:hint="eastAsia" w:ascii="宋体" w:hAnsi="宋体" w:cs="宋体"/>
          <w:sz w:val="28"/>
          <w:szCs w:val="28"/>
        </w:rPr>
        <w:t>②</w:t>
      </w:r>
      <w:r>
        <w:rPr>
          <w:rFonts w:hint="eastAsia" w:ascii="宋体" w:hAnsi="宋体"/>
          <w:sz w:val="28"/>
          <w:szCs w:val="28"/>
        </w:rPr>
        <w:t>支出性质分类：</w:t>
      </w:r>
      <w:r>
        <w:rPr>
          <w:rFonts w:ascii="宋体" w:hAnsi="宋体"/>
          <w:sz w:val="28"/>
          <w:szCs w:val="28"/>
        </w:rPr>
        <w:t>115.95</w:t>
      </w:r>
      <w:r>
        <w:rPr>
          <w:rFonts w:hint="eastAsia" w:ascii="宋体" w:hAnsi="宋体"/>
          <w:sz w:val="28"/>
          <w:szCs w:val="28"/>
        </w:rPr>
        <w:t>万元，其中公用经费</w:t>
      </w:r>
      <w:r>
        <w:rPr>
          <w:rFonts w:ascii="宋体" w:hAnsi="宋体"/>
          <w:sz w:val="28"/>
          <w:szCs w:val="28"/>
        </w:rPr>
        <w:t>115.95</w:t>
      </w:r>
      <w:r>
        <w:rPr>
          <w:rFonts w:hint="eastAsia" w:ascii="宋体" w:hAnsi="宋体"/>
          <w:sz w:val="28"/>
          <w:szCs w:val="28"/>
        </w:rPr>
        <w:t>万元。</w:t>
      </w:r>
    </w:p>
    <w:p>
      <w:pPr>
        <w:pStyle w:val="7"/>
        <w:widowControl/>
        <w:spacing w:before="76" w:beforeAutospacing="0" w:after="76" w:afterAutospacing="0" w:line="450" w:lineRule="atLeast"/>
        <w:ind w:firstLine="560"/>
        <w:rPr>
          <w:rFonts w:ascii="宋体" w:cs="宋体"/>
          <w:b/>
          <w:bCs/>
          <w:color w:val="333333"/>
          <w:sz w:val="28"/>
          <w:szCs w:val="28"/>
          <w:shd w:val="clear" w:color="auto" w:fill="FFFFFF"/>
        </w:rPr>
      </w:pPr>
      <w:r>
        <w:rPr>
          <w:rFonts w:hint="eastAsia" w:ascii="宋体" w:hAnsi="宋体" w:cs="宋体"/>
          <w:sz w:val="28"/>
          <w:szCs w:val="28"/>
        </w:rPr>
        <w:t>③</w:t>
      </w:r>
      <w:r>
        <w:rPr>
          <w:rFonts w:hint="eastAsia" w:ascii="宋体" w:hAnsi="宋体"/>
          <w:sz w:val="28"/>
          <w:szCs w:val="28"/>
        </w:rPr>
        <w:t>支出经济分类：</w:t>
      </w:r>
      <w:r>
        <w:rPr>
          <w:rFonts w:ascii="宋体" w:hAnsi="宋体"/>
          <w:sz w:val="28"/>
          <w:szCs w:val="28"/>
        </w:rPr>
        <w:t>115.95</w:t>
      </w:r>
      <w:r>
        <w:rPr>
          <w:rFonts w:hint="eastAsia" w:ascii="宋体" w:hAnsi="宋体"/>
          <w:sz w:val="28"/>
          <w:szCs w:val="28"/>
        </w:rPr>
        <w:t>万元。</w:t>
      </w:r>
      <w:r>
        <w:rPr>
          <w:rFonts w:hint="eastAsia" w:ascii="宋体" w:hAnsi="宋体" w:cs="宋体"/>
          <w:color w:val="333333"/>
          <w:sz w:val="28"/>
          <w:szCs w:val="28"/>
        </w:rPr>
        <w:t>具体构成如下：</w:t>
      </w:r>
    </w:p>
    <w:p>
      <w:pPr>
        <w:shd w:val="clear" w:color="auto" w:fill="FFFFFF"/>
        <w:snapToGrid w:val="0"/>
        <w:spacing w:line="560" w:lineRule="atLeast"/>
        <w:ind w:firstLine="840" w:firstLineChars="300"/>
        <w:rPr>
          <w:rFonts w:ascii="宋体" w:cs="宋体"/>
          <w:color w:val="333333"/>
          <w:sz w:val="28"/>
          <w:szCs w:val="28"/>
        </w:rPr>
      </w:pPr>
      <w:r>
        <w:rPr>
          <w:rFonts w:hint="eastAsia" w:ascii="宋体" w:hAnsi="宋体" w:cs="宋体"/>
          <w:color w:val="333333"/>
          <w:sz w:val="28"/>
          <w:szCs w:val="28"/>
        </w:rPr>
        <w:t>商品和服务支出</w:t>
      </w:r>
      <w:r>
        <w:rPr>
          <w:rFonts w:ascii="宋体" w:hAnsi="宋体" w:cs="宋体"/>
          <w:color w:val="333333"/>
          <w:sz w:val="28"/>
          <w:szCs w:val="28"/>
        </w:rPr>
        <w:t>115.76</w:t>
      </w:r>
      <w:r>
        <w:rPr>
          <w:rFonts w:hint="eastAsia" w:ascii="宋体" w:hAnsi="宋体" w:cs="宋体"/>
          <w:color w:val="333333"/>
          <w:sz w:val="28"/>
          <w:szCs w:val="28"/>
        </w:rPr>
        <w:t>万元。占比</w:t>
      </w:r>
      <w:r>
        <w:rPr>
          <w:rFonts w:ascii="宋体" w:hAnsi="宋体" w:cs="宋体"/>
          <w:color w:val="333333"/>
          <w:sz w:val="28"/>
          <w:szCs w:val="28"/>
        </w:rPr>
        <w:t>99.84%</w:t>
      </w:r>
    </w:p>
    <w:p>
      <w:pPr>
        <w:shd w:val="clear" w:color="auto" w:fill="FFFFFF"/>
        <w:snapToGrid w:val="0"/>
        <w:spacing w:line="560" w:lineRule="atLeast"/>
        <w:ind w:firstLine="840" w:firstLineChars="300"/>
        <w:rPr>
          <w:rFonts w:ascii="宋体" w:cs="宋体"/>
          <w:color w:val="333333"/>
          <w:sz w:val="28"/>
          <w:szCs w:val="28"/>
        </w:rPr>
      </w:pPr>
      <w:r>
        <w:rPr>
          <w:rFonts w:hint="eastAsia" w:ascii="宋体" w:hAnsi="宋体" w:cs="宋体"/>
          <w:color w:val="333333"/>
          <w:sz w:val="28"/>
          <w:szCs w:val="28"/>
        </w:rPr>
        <w:t>资本性支出</w:t>
      </w:r>
      <w:r>
        <w:rPr>
          <w:rFonts w:ascii="宋体" w:hAnsi="宋体" w:cs="宋体"/>
          <w:color w:val="333333"/>
          <w:sz w:val="28"/>
          <w:szCs w:val="28"/>
        </w:rPr>
        <w:t>0.19</w:t>
      </w:r>
      <w:r>
        <w:rPr>
          <w:rFonts w:hint="eastAsia" w:ascii="宋体" w:hAnsi="宋体" w:cs="宋体"/>
          <w:color w:val="333333"/>
          <w:sz w:val="28"/>
          <w:szCs w:val="28"/>
        </w:rPr>
        <w:t>万元。占比</w:t>
      </w:r>
      <w:r>
        <w:rPr>
          <w:rFonts w:ascii="宋体" w:hAnsi="宋体" w:cs="宋体"/>
          <w:color w:val="333333"/>
          <w:sz w:val="28"/>
          <w:szCs w:val="28"/>
        </w:rPr>
        <w:t>0.16%</w:t>
      </w:r>
    </w:p>
    <w:p>
      <w:pPr>
        <w:widowControl/>
        <w:ind w:firstLine="560" w:firstLineChars="200"/>
        <w:rPr>
          <w:rFonts w:ascii="宋体" w:cs="宋体"/>
          <w:sz w:val="28"/>
          <w:szCs w:val="28"/>
        </w:rPr>
      </w:pPr>
    </w:p>
    <w:p>
      <w:pPr>
        <w:pStyle w:val="7"/>
        <w:widowControl/>
        <w:spacing w:before="76" w:beforeAutospacing="0" w:after="76" w:afterAutospacing="0" w:line="450" w:lineRule="atLeast"/>
        <w:ind w:firstLine="281" w:firstLineChars="10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（二）关于“三公”经费支出说明</w:t>
      </w:r>
    </w:p>
    <w:p>
      <w:pPr>
        <w:shd w:val="clear" w:color="auto" w:fill="FFFFFF"/>
        <w:spacing w:line="360" w:lineRule="auto"/>
        <w:ind w:firstLine="560" w:firstLineChars="200"/>
        <w:rPr>
          <w:rFonts w:hint="eastAsia" w:ascii="宋体" w:hAnsi="宋体" w:eastAsia="宋体" w:cs="仿宋"/>
          <w:bCs/>
          <w:color w:val="000000"/>
          <w:sz w:val="28"/>
          <w:szCs w:val="28"/>
          <w:lang w:eastAsia="zh-CN"/>
        </w:rPr>
      </w:pPr>
      <w:r>
        <w:rPr>
          <w:rFonts w:ascii="宋体" w:hAnsi="宋体" w:cs="仿宋"/>
          <w:bCs/>
          <w:color w:val="000000"/>
          <w:sz w:val="28"/>
          <w:szCs w:val="28"/>
        </w:rPr>
        <w:t>2021</w:t>
      </w:r>
      <w:r>
        <w:rPr>
          <w:rFonts w:hint="eastAsia" w:ascii="宋体" w:hAnsi="宋体" w:cs="仿宋"/>
          <w:bCs/>
          <w:color w:val="000000"/>
          <w:sz w:val="28"/>
          <w:szCs w:val="28"/>
        </w:rPr>
        <w:t>年“三公”经费预算数</w:t>
      </w:r>
      <w:r>
        <w:rPr>
          <w:rFonts w:ascii="宋体" w:cs="仿宋"/>
          <w:bCs/>
          <w:color w:val="000000"/>
          <w:sz w:val="28"/>
          <w:szCs w:val="28"/>
        </w:rPr>
        <w:t>0</w:t>
      </w:r>
      <w:r>
        <w:rPr>
          <w:rFonts w:hint="eastAsia" w:ascii="宋体" w:hAnsi="宋体" w:cs="仿宋"/>
          <w:bCs/>
          <w:color w:val="000000"/>
          <w:sz w:val="28"/>
          <w:szCs w:val="28"/>
        </w:rPr>
        <w:t>元，决算总支出</w:t>
      </w:r>
      <w:r>
        <w:rPr>
          <w:rFonts w:ascii="宋体" w:cs="仿宋"/>
          <w:bCs/>
          <w:color w:val="000000"/>
          <w:sz w:val="28"/>
          <w:szCs w:val="28"/>
        </w:rPr>
        <w:t>0</w:t>
      </w:r>
      <w:r>
        <w:rPr>
          <w:rFonts w:hint="eastAsia" w:ascii="宋体" w:hAnsi="宋体" w:cs="仿宋"/>
          <w:bCs/>
          <w:color w:val="000000"/>
          <w:sz w:val="28"/>
          <w:szCs w:val="28"/>
        </w:rPr>
        <w:t>元，与</w:t>
      </w:r>
      <w:r>
        <w:rPr>
          <w:rFonts w:ascii="宋体" w:hAnsi="宋体" w:cs="仿宋"/>
          <w:bCs/>
          <w:color w:val="000000"/>
          <w:sz w:val="28"/>
          <w:szCs w:val="28"/>
        </w:rPr>
        <w:t>2020</w:t>
      </w:r>
      <w:r>
        <w:rPr>
          <w:rFonts w:hint="eastAsia" w:ascii="宋体" w:hAnsi="宋体" w:cs="仿宋"/>
          <w:bCs/>
          <w:color w:val="000000"/>
          <w:sz w:val="28"/>
          <w:szCs w:val="28"/>
        </w:rPr>
        <w:t>年度持平，其中：</w:t>
      </w:r>
    </w:p>
    <w:p>
      <w:pPr>
        <w:shd w:val="clear" w:color="auto" w:fill="FFFFFF"/>
        <w:spacing w:line="360" w:lineRule="auto"/>
        <w:ind w:firstLine="560" w:firstLineChars="200"/>
        <w:rPr>
          <w:rFonts w:ascii="宋体" w:cs="仿宋"/>
          <w:bCs/>
          <w:color w:val="000000"/>
          <w:sz w:val="28"/>
          <w:szCs w:val="28"/>
        </w:rPr>
      </w:pPr>
      <w:r>
        <w:rPr>
          <w:rFonts w:ascii="宋体" w:hAnsi="宋体" w:cs="仿宋"/>
          <w:bCs/>
          <w:color w:val="000000"/>
          <w:sz w:val="28"/>
          <w:szCs w:val="28"/>
        </w:rPr>
        <w:t xml:space="preserve">    </w:t>
      </w:r>
      <w:r>
        <w:rPr>
          <w:rFonts w:hint="eastAsia" w:ascii="宋体" w:hAnsi="宋体" w:cs="仿宋"/>
          <w:bCs/>
          <w:color w:val="000000"/>
          <w:sz w:val="28"/>
          <w:szCs w:val="28"/>
        </w:rPr>
        <w:t>公务车运行维护费</w:t>
      </w:r>
      <w:r>
        <w:rPr>
          <w:rFonts w:ascii="宋体" w:cs="仿宋"/>
          <w:bCs/>
          <w:color w:val="000000"/>
          <w:sz w:val="28"/>
          <w:szCs w:val="28"/>
        </w:rPr>
        <w:t>0</w:t>
      </w:r>
      <w:r>
        <w:rPr>
          <w:rFonts w:hint="eastAsia" w:ascii="宋体" w:hAnsi="宋体" w:cs="仿宋"/>
          <w:bCs/>
          <w:color w:val="000000"/>
          <w:sz w:val="28"/>
          <w:szCs w:val="28"/>
        </w:rPr>
        <w:t>元，年初预算数</w:t>
      </w:r>
      <w:r>
        <w:rPr>
          <w:rFonts w:ascii="宋体" w:cs="仿宋"/>
          <w:bCs/>
          <w:color w:val="000000"/>
          <w:sz w:val="28"/>
          <w:szCs w:val="28"/>
        </w:rPr>
        <w:t>0</w:t>
      </w:r>
      <w:r>
        <w:rPr>
          <w:rFonts w:hint="eastAsia" w:ascii="宋体" w:hAnsi="宋体" w:cs="仿宋"/>
          <w:bCs/>
          <w:color w:val="000000"/>
          <w:sz w:val="28"/>
          <w:szCs w:val="28"/>
        </w:rPr>
        <w:t>元，决算数比预算数减少</w:t>
      </w:r>
      <w:r>
        <w:rPr>
          <w:rFonts w:ascii="宋体" w:cs="仿宋"/>
          <w:bCs/>
          <w:color w:val="000000"/>
          <w:sz w:val="28"/>
          <w:szCs w:val="28"/>
        </w:rPr>
        <w:t>0</w:t>
      </w:r>
      <w:r>
        <w:rPr>
          <w:rFonts w:hint="eastAsia" w:ascii="宋体" w:hAnsi="宋体" w:cs="仿宋"/>
          <w:bCs/>
          <w:color w:val="000000"/>
          <w:sz w:val="28"/>
          <w:szCs w:val="28"/>
        </w:rPr>
        <w:t>元，减少幅度为</w:t>
      </w:r>
      <w:r>
        <w:rPr>
          <w:rFonts w:ascii="宋体" w:hAnsi="宋体" w:cs="仿宋"/>
          <w:bCs/>
          <w:color w:val="000000"/>
          <w:sz w:val="28"/>
          <w:szCs w:val="28"/>
        </w:rPr>
        <w:t>0%</w:t>
      </w:r>
    </w:p>
    <w:p>
      <w:pPr>
        <w:shd w:val="clear" w:color="auto" w:fill="FFFFFF"/>
        <w:spacing w:line="360" w:lineRule="auto"/>
        <w:ind w:firstLine="560" w:firstLineChars="200"/>
        <w:rPr>
          <w:rFonts w:ascii="宋体" w:cs="仿宋"/>
          <w:bCs/>
          <w:color w:val="000000"/>
          <w:sz w:val="28"/>
          <w:szCs w:val="28"/>
        </w:rPr>
      </w:pPr>
      <w:r>
        <w:rPr>
          <w:rFonts w:hint="eastAsia" w:ascii="宋体" w:hAnsi="宋体"/>
          <w:sz w:val="28"/>
          <w:szCs w:val="28"/>
        </w:rPr>
        <w:t>公务用车购置数</w:t>
      </w:r>
      <w:r>
        <w:rPr>
          <w:rFonts w:ascii="宋体"/>
          <w:sz w:val="28"/>
          <w:szCs w:val="28"/>
        </w:rPr>
        <w:t>0</w:t>
      </w:r>
      <w:r>
        <w:rPr>
          <w:rFonts w:hint="eastAsia" w:ascii="宋体"/>
          <w:sz w:val="28"/>
          <w:szCs w:val="28"/>
        </w:rPr>
        <w:t>元</w:t>
      </w:r>
      <w:r>
        <w:rPr>
          <w:rFonts w:hint="eastAsia" w:ascii="宋体" w:hAnsi="宋体"/>
          <w:sz w:val="28"/>
          <w:szCs w:val="28"/>
        </w:rPr>
        <w:t>、年初预算数</w:t>
      </w:r>
      <w:r>
        <w:rPr>
          <w:rFonts w:ascii="宋体"/>
          <w:sz w:val="28"/>
          <w:szCs w:val="28"/>
        </w:rPr>
        <w:t>0</w:t>
      </w:r>
      <w:r>
        <w:rPr>
          <w:rFonts w:hint="eastAsia" w:ascii="宋体" w:hAnsi="宋体"/>
          <w:sz w:val="28"/>
          <w:szCs w:val="28"/>
        </w:rPr>
        <w:t>元，决算数比预算数减少</w:t>
      </w:r>
      <w:r>
        <w:rPr>
          <w:rFonts w:ascii="宋体"/>
          <w:sz w:val="28"/>
          <w:szCs w:val="28"/>
        </w:rPr>
        <w:t>0</w:t>
      </w:r>
      <w:r>
        <w:rPr>
          <w:rFonts w:hint="eastAsia" w:ascii="宋体" w:hAnsi="宋体"/>
          <w:sz w:val="28"/>
          <w:szCs w:val="28"/>
        </w:rPr>
        <w:t>元，减少幅度为</w:t>
      </w:r>
      <w:r>
        <w:rPr>
          <w:rFonts w:ascii="宋体" w:hAnsi="宋体"/>
          <w:sz w:val="28"/>
          <w:szCs w:val="28"/>
        </w:rPr>
        <w:t>0%</w:t>
      </w:r>
      <w:r>
        <w:rPr>
          <w:rFonts w:hint="eastAsia" w:ascii="宋体" w:hAnsi="宋体"/>
          <w:sz w:val="28"/>
          <w:szCs w:val="28"/>
        </w:rPr>
        <w:t>，保有量</w:t>
      </w:r>
      <w:r>
        <w:rPr>
          <w:rFonts w:ascii="宋体"/>
          <w:sz w:val="28"/>
          <w:szCs w:val="28"/>
        </w:rPr>
        <w:t>0</w:t>
      </w:r>
      <w:r>
        <w:rPr>
          <w:rFonts w:hint="eastAsia" w:ascii="宋体" w:hAnsi="宋体"/>
          <w:sz w:val="28"/>
          <w:szCs w:val="28"/>
        </w:rPr>
        <w:t>。</w:t>
      </w:r>
    </w:p>
    <w:p>
      <w:pPr>
        <w:shd w:val="clear" w:color="auto" w:fill="FFFFFF"/>
        <w:spacing w:line="360" w:lineRule="auto"/>
        <w:ind w:left="839" w:leftChars="266" w:hanging="280" w:hangingChars="100"/>
        <w:rPr>
          <w:rFonts w:ascii="宋体" w:cs="仿宋"/>
          <w:bCs/>
          <w:color w:val="000000"/>
          <w:sz w:val="28"/>
          <w:szCs w:val="28"/>
        </w:rPr>
      </w:pPr>
      <w:r>
        <w:rPr>
          <w:rFonts w:hint="eastAsia" w:ascii="宋体" w:hAnsi="宋体" w:cs="仿宋"/>
          <w:bCs/>
          <w:color w:val="000000"/>
          <w:sz w:val="28"/>
          <w:szCs w:val="28"/>
        </w:rPr>
        <w:t>公务接待费</w:t>
      </w:r>
      <w:r>
        <w:rPr>
          <w:rFonts w:ascii="宋体" w:cs="仿宋"/>
          <w:bCs/>
          <w:color w:val="000000"/>
          <w:sz w:val="28"/>
          <w:szCs w:val="28"/>
        </w:rPr>
        <w:t>0</w:t>
      </w:r>
      <w:r>
        <w:rPr>
          <w:rFonts w:hint="eastAsia" w:ascii="宋体" w:hAnsi="宋体" w:cs="仿宋"/>
          <w:bCs/>
          <w:color w:val="000000"/>
          <w:sz w:val="28"/>
          <w:szCs w:val="28"/>
        </w:rPr>
        <w:t>元，年初预算数</w:t>
      </w:r>
      <w:r>
        <w:rPr>
          <w:rFonts w:ascii="宋体" w:cs="仿宋"/>
          <w:bCs/>
          <w:color w:val="000000"/>
          <w:sz w:val="28"/>
          <w:szCs w:val="28"/>
        </w:rPr>
        <w:t>0</w:t>
      </w:r>
      <w:r>
        <w:rPr>
          <w:rFonts w:hint="eastAsia" w:ascii="宋体" w:hAnsi="宋体" w:cs="仿宋"/>
          <w:bCs/>
          <w:color w:val="000000"/>
          <w:sz w:val="28"/>
          <w:szCs w:val="28"/>
        </w:rPr>
        <w:t>元，决算数比预算数增加</w:t>
      </w:r>
      <w:r>
        <w:rPr>
          <w:rFonts w:ascii="宋体" w:cs="仿宋"/>
          <w:bCs/>
          <w:color w:val="000000"/>
          <w:sz w:val="28"/>
          <w:szCs w:val="28"/>
        </w:rPr>
        <w:t>0</w:t>
      </w:r>
      <w:r>
        <w:rPr>
          <w:rFonts w:hint="eastAsia" w:ascii="宋体" w:hAnsi="宋体" w:cs="仿宋"/>
          <w:bCs/>
          <w:color w:val="000000"/>
          <w:sz w:val="28"/>
          <w:szCs w:val="28"/>
        </w:rPr>
        <w:t>元，增长幅度为</w:t>
      </w:r>
      <w:r>
        <w:rPr>
          <w:rFonts w:ascii="宋体" w:hAnsi="宋体" w:cs="仿宋"/>
          <w:bCs/>
          <w:color w:val="000000"/>
          <w:sz w:val="28"/>
          <w:szCs w:val="28"/>
        </w:rPr>
        <w:t>0%</w:t>
      </w:r>
      <w:r>
        <w:rPr>
          <w:rFonts w:hint="eastAsia" w:ascii="宋体" w:hAnsi="宋体" w:cs="仿宋"/>
          <w:bCs/>
          <w:color w:val="000000"/>
          <w:sz w:val="28"/>
          <w:szCs w:val="28"/>
        </w:rPr>
        <w:t>，公务接待批次</w:t>
      </w:r>
      <w:r>
        <w:rPr>
          <w:rFonts w:ascii="宋体" w:cs="仿宋"/>
          <w:bCs/>
          <w:color w:val="000000"/>
          <w:sz w:val="28"/>
          <w:szCs w:val="28"/>
        </w:rPr>
        <w:t>0</w:t>
      </w:r>
      <w:r>
        <w:rPr>
          <w:rFonts w:hint="eastAsia" w:ascii="宋体" w:hAnsi="宋体" w:cs="仿宋"/>
          <w:bCs/>
          <w:color w:val="000000"/>
          <w:sz w:val="28"/>
          <w:szCs w:val="28"/>
        </w:rPr>
        <w:t>、人数</w:t>
      </w:r>
      <w:r>
        <w:rPr>
          <w:rFonts w:ascii="宋体" w:cs="仿宋"/>
          <w:bCs/>
          <w:color w:val="000000"/>
          <w:sz w:val="28"/>
          <w:szCs w:val="28"/>
        </w:rPr>
        <w:t>0</w:t>
      </w:r>
      <w:r>
        <w:rPr>
          <w:rFonts w:hint="eastAsia" w:ascii="宋体" w:hAnsi="宋体" w:cs="仿宋"/>
          <w:bCs/>
          <w:color w:val="000000"/>
          <w:sz w:val="28"/>
          <w:szCs w:val="28"/>
        </w:rPr>
        <w:t>；</w:t>
      </w:r>
    </w:p>
    <w:p>
      <w:pPr>
        <w:shd w:val="clear" w:color="auto" w:fill="FFFFFF"/>
        <w:spacing w:line="360" w:lineRule="auto"/>
        <w:ind w:left="839" w:leftChars="266" w:hanging="280" w:hangingChars="100"/>
        <w:rPr>
          <w:rFonts w:ascii="宋体" w:cs="仿宋"/>
          <w:bCs/>
          <w:color w:val="000000"/>
          <w:sz w:val="28"/>
          <w:szCs w:val="28"/>
        </w:rPr>
      </w:pPr>
      <w:r>
        <w:rPr>
          <w:rFonts w:hint="eastAsia" w:ascii="宋体" w:hAnsi="宋体" w:cs="仿宋"/>
          <w:bCs/>
          <w:color w:val="000000"/>
          <w:sz w:val="28"/>
          <w:szCs w:val="28"/>
        </w:rPr>
        <w:t>因公出国（境）费</w:t>
      </w:r>
      <w:r>
        <w:rPr>
          <w:rFonts w:ascii="宋体" w:cs="仿宋"/>
          <w:bCs/>
          <w:color w:val="000000"/>
          <w:sz w:val="28"/>
          <w:szCs w:val="28"/>
        </w:rPr>
        <w:t>0</w:t>
      </w:r>
      <w:r>
        <w:rPr>
          <w:rFonts w:hint="eastAsia" w:ascii="宋体" w:hAnsi="宋体" w:cs="仿宋"/>
          <w:bCs/>
          <w:color w:val="000000"/>
          <w:sz w:val="28"/>
          <w:szCs w:val="28"/>
        </w:rPr>
        <w:t>元，预算数</w:t>
      </w:r>
      <w:r>
        <w:rPr>
          <w:rFonts w:ascii="宋体" w:cs="仿宋"/>
          <w:bCs/>
          <w:color w:val="000000"/>
          <w:sz w:val="28"/>
          <w:szCs w:val="28"/>
        </w:rPr>
        <w:t>0</w:t>
      </w:r>
      <w:r>
        <w:rPr>
          <w:rFonts w:hint="eastAsia" w:ascii="宋体" w:hAnsi="宋体" w:cs="仿宋"/>
          <w:bCs/>
          <w:color w:val="000000"/>
          <w:sz w:val="28"/>
          <w:szCs w:val="28"/>
        </w:rPr>
        <w:t>元，决算数比预算数增加</w:t>
      </w:r>
      <w:r>
        <w:rPr>
          <w:rFonts w:ascii="宋体" w:cs="仿宋"/>
          <w:bCs/>
          <w:color w:val="000000"/>
          <w:sz w:val="28"/>
          <w:szCs w:val="28"/>
        </w:rPr>
        <w:t>0</w:t>
      </w:r>
      <w:r>
        <w:rPr>
          <w:rFonts w:hint="eastAsia" w:ascii="宋体" w:hAnsi="宋体" w:cs="仿宋"/>
          <w:bCs/>
          <w:color w:val="000000"/>
          <w:sz w:val="28"/>
          <w:szCs w:val="28"/>
        </w:rPr>
        <w:t>元，增长幅度为</w:t>
      </w:r>
      <w:r>
        <w:rPr>
          <w:rFonts w:ascii="宋体" w:hAnsi="宋体" w:cs="仿宋"/>
          <w:bCs/>
          <w:color w:val="000000"/>
          <w:sz w:val="28"/>
          <w:szCs w:val="28"/>
        </w:rPr>
        <w:t>0%</w:t>
      </w:r>
      <w:r>
        <w:rPr>
          <w:rFonts w:hint="eastAsia" w:ascii="宋体" w:hAnsi="宋体" w:cs="仿宋"/>
          <w:bCs/>
          <w:color w:val="000000"/>
          <w:sz w:val="28"/>
          <w:szCs w:val="28"/>
        </w:rPr>
        <w:t>，本单位因公出国（境）团组数</w:t>
      </w:r>
      <w:r>
        <w:rPr>
          <w:rFonts w:ascii="宋体" w:cs="仿宋"/>
          <w:bCs/>
          <w:color w:val="000000"/>
          <w:sz w:val="28"/>
          <w:szCs w:val="28"/>
        </w:rPr>
        <w:t>0</w:t>
      </w:r>
      <w:r>
        <w:rPr>
          <w:rFonts w:hint="eastAsia" w:ascii="宋体" w:hAnsi="宋体" w:cs="仿宋"/>
          <w:bCs/>
          <w:color w:val="000000"/>
          <w:sz w:val="28"/>
          <w:szCs w:val="28"/>
        </w:rPr>
        <w:t>、人数</w:t>
      </w:r>
      <w:r>
        <w:rPr>
          <w:rFonts w:ascii="宋体" w:cs="仿宋"/>
          <w:bCs/>
          <w:color w:val="000000"/>
          <w:sz w:val="28"/>
          <w:szCs w:val="28"/>
        </w:rPr>
        <w:t>0</w:t>
      </w:r>
      <w:r>
        <w:rPr>
          <w:rFonts w:hint="eastAsia" w:ascii="宋体" w:hAnsi="宋体" w:cs="仿宋"/>
          <w:bCs/>
          <w:color w:val="000000"/>
          <w:sz w:val="28"/>
          <w:szCs w:val="28"/>
        </w:rPr>
        <w:t>。</w:t>
      </w:r>
    </w:p>
    <w:p>
      <w:pPr>
        <w:shd w:val="clear" w:color="auto" w:fill="FFFFFF"/>
        <w:spacing w:line="360" w:lineRule="auto"/>
        <w:ind w:firstLine="560" w:firstLineChars="200"/>
        <w:rPr>
          <w:rFonts w:hint="eastAsia" w:ascii="宋体" w:hAnsi="宋体" w:eastAsia="宋体" w:cs="仿宋"/>
          <w:bCs/>
          <w:color w:val="000000"/>
          <w:sz w:val="28"/>
          <w:szCs w:val="28"/>
          <w:lang w:eastAsia="zh-CN"/>
        </w:rPr>
      </w:pPr>
      <w:r>
        <w:rPr>
          <w:rFonts w:ascii="宋体" w:hAnsi="宋体" w:cs="仿宋"/>
          <w:bCs/>
          <w:color w:val="000000"/>
          <w:sz w:val="28"/>
          <w:szCs w:val="28"/>
        </w:rPr>
        <w:t>2020</w:t>
      </w:r>
      <w:r>
        <w:rPr>
          <w:rFonts w:hint="eastAsia" w:ascii="宋体" w:hAnsi="宋体" w:cs="仿宋"/>
          <w:bCs/>
          <w:color w:val="000000"/>
          <w:sz w:val="28"/>
          <w:szCs w:val="28"/>
        </w:rPr>
        <w:t>年“三公”经费预算数</w:t>
      </w:r>
      <w:r>
        <w:rPr>
          <w:rFonts w:ascii="宋体" w:cs="仿宋"/>
          <w:bCs/>
          <w:color w:val="000000"/>
          <w:sz w:val="28"/>
          <w:szCs w:val="28"/>
        </w:rPr>
        <w:t>0</w:t>
      </w:r>
      <w:r>
        <w:rPr>
          <w:rFonts w:hint="eastAsia" w:ascii="宋体" w:hAnsi="宋体" w:cs="仿宋"/>
          <w:bCs/>
          <w:color w:val="000000"/>
          <w:sz w:val="28"/>
          <w:szCs w:val="28"/>
        </w:rPr>
        <w:t>元，决算总支出</w:t>
      </w:r>
      <w:r>
        <w:rPr>
          <w:rFonts w:ascii="宋体" w:cs="仿宋"/>
          <w:bCs/>
          <w:color w:val="000000"/>
          <w:sz w:val="28"/>
          <w:szCs w:val="28"/>
        </w:rPr>
        <w:t>0</w:t>
      </w:r>
      <w:r>
        <w:rPr>
          <w:rFonts w:hint="eastAsia" w:ascii="宋体" w:hAnsi="宋体" w:cs="仿宋"/>
          <w:bCs/>
          <w:color w:val="000000"/>
          <w:sz w:val="28"/>
          <w:szCs w:val="28"/>
        </w:rPr>
        <w:t>元，其中：</w:t>
      </w:r>
    </w:p>
    <w:p>
      <w:pPr>
        <w:shd w:val="clear" w:color="auto" w:fill="FFFFFF"/>
        <w:spacing w:line="360" w:lineRule="auto"/>
        <w:ind w:firstLine="560" w:firstLineChars="200"/>
        <w:rPr>
          <w:rFonts w:ascii="宋体" w:cs="仿宋"/>
          <w:bCs/>
          <w:color w:val="000000"/>
          <w:sz w:val="28"/>
          <w:szCs w:val="28"/>
        </w:rPr>
      </w:pPr>
      <w:r>
        <w:rPr>
          <w:rFonts w:ascii="宋体" w:hAnsi="宋体" w:cs="仿宋"/>
          <w:bCs/>
          <w:color w:val="000000"/>
          <w:sz w:val="28"/>
          <w:szCs w:val="28"/>
        </w:rPr>
        <w:t xml:space="preserve">    </w:t>
      </w:r>
      <w:r>
        <w:rPr>
          <w:rFonts w:hint="eastAsia" w:ascii="宋体" w:hAnsi="宋体" w:cs="仿宋"/>
          <w:bCs/>
          <w:color w:val="000000"/>
          <w:sz w:val="28"/>
          <w:szCs w:val="28"/>
        </w:rPr>
        <w:t>公务车运行维护费</w:t>
      </w:r>
      <w:r>
        <w:rPr>
          <w:rFonts w:ascii="宋体" w:cs="仿宋"/>
          <w:bCs/>
          <w:color w:val="000000"/>
          <w:sz w:val="28"/>
          <w:szCs w:val="28"/>
        </w:rPr>
        <w:t>0</w:t>
      </w:r>
      <w:r>
        <w:rPr>
          <w:rFonts w:hint="eastAsia" w:ascii="宋体" w:hAnsi="宋体" w:cs="仿宋"/>
          <w:bCs/>
          <w:color w:val="000000"/>
          <w:sz w:val="28"/>
          <w:szCs w:val="28"/>
        </w:rPr>
        <w:t>元，年初预算数</w:t>
      </w:r>
      <w:r>
        <w:rPr>
          <w:rFonts w:ascii="宋体" w:cs="仿宋"/>
          <w:bCs/>
          <w:color w:val="000000"/>
          <w:sz w:val="28"/>
          <w:szCs w:val="28"/>
        </w:rPr>
        <w:t>0</w:t>
      </w:r>
      <w:r>
        <w:rPr>
          <w:rFonts w:hint="eastAsia" w:ascii="宋体" w:hAnsi="宋体" w:cs="仿宋"/>
          <w:bCs/>
          <w:color w:val="000000"/>
          <w:sz w:val="28"/>
          <w:szCs w:val="28"/>
        </w:rPr>
        <w:t>元，决算数比预算数减少</w:t>
      </w:r>
      <w:r>
        <w:rPr>
          <w:rFonts w:ascii="宋体" w:cs="仿宋"/>
          <w:bCs/>
          <w:color w:val="000000"/>
          <w:sz w:val="28"/>
          <w:szCs w:val="28"/>
        </w:rPr>
        <w:t>0</w:t>
      </w:r>
      <w:r>
        <w:rPr>
          <w:rFonts w:hint="eastAsia" w:ascii="宋体" w:hAnsi="宋体" w:cs="仿宋"/>
          <w:bCs/>
          <w:color w:val="000000"/>
          <w:sz w:val="28"/>
          <w:szCs w:val="28"/>
        </w:rPr>
        <w:t>元，减少幅度为</w:t>
      </w:r>
      <w:r>
        <w:rPr>
          <w:rFonts w:ascii="宋体" w:hAnsi="宋体" w:cs="仿宋"/>
          <w:bCs/>
          <w:color w:val="000000"/>
          <w:sz w:val="28"/>
          <w:szCs w:val="28"/>
        </w:rPr>
        <w:t>0%</w:t>
      </w:r>
    </w:p>
    <w:p>
      <w:pPr>
        <w:shd w:val="clear" w:color="auto" w:fill="FFFFFF"/>
        <w:spacing w:line="360" w:lineRule="auto"/>
        <w:ind w:firstLine="560" w:firstLineChars="200"/>
        <w:rPr>
          <w:rFonts w:ascii="宋体" w:cs="仿宋"/>
          <w:bCs/>
          <w:color w:val="000000"/>
          <w:sz w:val="28"/>
          <w:szCs w:val="28"/>
        </w:rPr>
      </w:pPr>
      <w:r>
        <w:rPr>
          <w:rFonts w:hint="eastAsia" w:ascii="宋体" w:hAnsi="宋体"/>
          <w:sz w:val="28"/>
          <w:szCs w:val="28"/>
        </w:rPr>
        <w:t>公务用车购置数</w:t>
      </w:r>
      <w:r>
        <w:rPr>
          <w:rFonts w:ascii="宋体"/>
          <w:sz w:val="28"/>
          <w:szCs w:val="28"/>
        </w:rPr>
        <w:t>0</w:t>
      </w:r>
      <w:r>
        <w:rPr>
          <w:rFonts w:hint="eastAsia" w:ascii="宋体"/>
          <w:sz w:val="28"/>
          <w:szCs w:val="28"/>
        </w:rPr>
        <w:t>元</w:t>
      </w:r>
      <w:r>
        <w:rPr>
          <w:rFonts w:hint="eastAsia" w:ascii="宋体" w:hAnsi="宋体"/>
          <w:sz w:val="28"/>
          <w:szCs w:val="28"/>
        </w:rPr>
        <w:t>、年初预算数</w:t>
      </w:r>
      <w:r>
        <w:rPr>
          <w:rFonts w:ascii="宋体"/>
          <w:sz w:val="28"/>
          <w:szCs w:val="28"/>
        </w:rPr>
        <w:t>0</w:t>
      </w:r>
      <w:r>
        <w:rPr>
          <w:rFonts w:hint="eastAsia" w:ascii="宋体" w:hAnsi="宋体"/>
          <w:sz w:val="28"/>
          <w:szCs w:val="28"/>
        </w:rPr>
        <w:t>元，决算数比预算数减少</w:t>
      </w:r>
      <w:r>
        <w:rPr>
          <w:rFonts w:ascii="宋体"/>
          <w:sz w:val="28"/>
          <w:szCs w:val="28"/>
        </w:rPr>
        <w:t>0</w:t>
      </w:r>
      <w:r>
        <w:rPr>
          <w:rFonts w:hint="eastAsia" w:ascii="宋体" w:hAnsi="宋体"/>
          <w:sz w:val="28"/>
          <w:szCs w:val="28"/>
        </w:rPr>
        <w:t>元，减少幅度为</w:t>
      </w:r>
      <w:r>
        <w:rPr>
          <w:rFonts w:ascii="宋体" w:hAnsi="宋体"/>
          <w:sz w:val="28"/>
          <w:szCs w:val="28"/>
        </w:rPr>
        <w:t>0%</w:t>
      </w:r>
      <w:r>
        <w:rPr>
          <w:rFonts w:hint="eastAsia" w:ascii="宋体" w:hAnsi="宋体"/>
          <w:sz w:val="28"/>
          <w:szCs w:val="28"/>
        </w:rPr>
        <w:t>，保有量</w:t>
      </w:r>
      <w:r>
        <w:rPr>
          <w:rFonts w:ascii="宋体"/>
          <w:sz w:val="28"/>
          <w:szCs w:val="28"/>
        </w:rPr>
        <w:t>0</w:t>
      </w:r>
      <w:r>
        <w:rPr>
          <w:rFonts w:hint="eastAsia" w:ascii="宋体" w:hAnsi="宋体"/>
          <w:sz w:val="28"/>
          <w:szCs w:val="28"/>
        </w:rPr>
        <w:t>。</w:t>
      </w:r>
    </w:p>
    <w:p>
      <w:pPr>
        <w:shd w:val="clear" w:color="auto" w:fill="FFFFFF"/>
        <w:spacing w:line="360" w:lineRule="auto"/>
        <w:ind w:left="839" w:leftChars="266" w:hanging="280" w:hangingChars="100"/>
        <w:rPr>
          <w:rFonts w:ascii="宋体" w:cs="仿宋"/>
          <w:bCs/>
          <w:color w:val="000000"/>
          <w:sz w:val="28"/>
          <w:szCs w:val="28"/>
        </w:rPr>
      </w:pPr>
      <w:r>
        <w:rPr>
          <w:rFonts w:hint="eastAsia" w:ascii="宋体" w:hAnsi="宋体" w:cs="仿宋"/>
          <w:bCs/>
          <w:color w:val="000000"/>
          <w:sz w:val="28"/>
          <w:szCs w:val="28"/>
        </w:rPr>
        <w:t>公务接待费</w:t>
      </w:r>
      <w:r>
        <w:rPr>
          <w:rFonts w:ascii="宋体" w:cs="仿宋"/>
          <w:bCs/>
          <w:color w:val="000000"/>
          <w:sz w:val="28"/>
          <w:szCs w:val="28"/>
        </w:rPr>
        <w:t>0</w:t>
      </w:r>
      <w:r>
        <w:rPr>
          <w:rFonts w:hint="eastAsia" w:ascii="宋体" w:hAnsi="宋体" w:cs="仿宋"/>
          <w:bCs/>
          <w:color w:val="000000"/>
          <w:sz w:val="28"/>
          <w:szCs w:val="28"/>
        </w:rPr>
        <w:t>元，年初预算数</w:t>
      </w:r>
      <w:r>
        <w:rPr>
          <w:rFonts w:ascii="宋体" w:cs="仿宋"/>
          <w:bCs/>
          <w:color w:val="000000"/>
          <w:sz w:val="28"/>
          <w:szCs w:val="28"/>
        </w:rPr>
        <w:t>0</w:t>
      </w:r>
      <w:r>
        <w:rPr>
          <w:rFonts w:hint="eastAsia" w:ascii="宋体" w:hAnsi="宋体" w:cs="仿宋"/>
          <w:bCs/>
          <w:color w:val="000000"/>
          <w:sz w:val="28"/>
          <w:szCs w:val="28"/>
        </w:rPr>
        <w:t>元，决算数比预算数增加</w:t>
      </w:r>
      <w:r>
        <w:rPr>
          <w:rFonts w:ascii="宋体" w:cs="仿宋"/>
          <w:bCs/>
          <w:color w:val="000000"/>
          <w:sz w:val="28"/>
          <w:szCs w:val="28"/>
        </w:rPr>
        <w:t>0</w:t>
      </w:r>
      <w:r>
        <w:rPr>
          <w:rFonts w:hint="eastAsia" w:ascii="宋体" w:hAnsi="宋体" w:cs="仿宋"/>
          <w:bCs/>
          <w:color w:val="000000"/>
          <w:sz w:val="28"/>
          <w:szCs w:val="28"/>
        </w:rPr>
        <w:t>元，增长幅度为</w:t>
      </w:r>
      <w:r>
        <w:rPr>
          <w:rFonts w:ascii="宋体" w:hAnsi="宋体" w:cs="仿宋"/>
          <w:bCs/>
          <w:color w:val="000000"/>
          <w:sz w:val="28"/>
          <w:szCs w:val="28"/>
        </w:rPr>
        <w:t>0%</w:t>
      </w:r>
      <w:r>
        <w:rPr>
          <w:rFonts w:hint="eastAsia" w:ascii="宋体" w:hAnsi="宋体" w:cs="仿宋"/>
          <w:bCs/>
          <w:color w:val="000000"/>
          <w:sz w:val="28"/>
          <w:szCs w:val="28"/>
        </w:rPr>
        <w:t>，公务接待批次</w:t>
      </w:r>
      <w:r>
        <w:rPr>
          <w:rFonts w:ascii="宋体" w:cs="仿宋"/>
          <w:bCs/>
          <w:color w:val="000000"/>
          <w:sz w:val="28"/>
          <w:szCs w:val="28"/>
        </w:rPr>
        <w:t>0</w:t>
      </w:r>
      <w:r>
        <w:rPr>
          <w:rFonts w:hint="eastAsia" w:ascii="宋体" w:hAnsi="宋体" w:cs="仿宋"/>
          <w:bCs/>
          <w:color w:val="000000"/>
          <w:sz w:val="28"/>
          <w:szCs w:val="28"/>
        </w:rPr>
        <w:t>、人数</w:t>
      </w:r>
      <w:r>
        <w:rPr>
          <w:rFonts w:ascii="宋体" w:cs="仿宋"/>
          <w:bCs/>
          <w:color w:val="000000"/>
          <w:sz w:val="28"/>
          <w:szCs w:val="28"/>
        </w:rPr>
        <w:t>0</w:t>
      </w:r>
      <w:r>
        <w:rPr>
          <w:rFonts w:hint="eastAsia" w:ascii="宋体" w:hAnsi="宋体" w:cs="仿宋"/>
          <w:bCs/>
          <w:color w:val="000000"/>
          <w:sz w:val="28"/>
          <w:szCs w:val="28"/>
        </w:rPr>
        <w:t>；</w:t>
      </w:r>
    </w:p>
    <w:p>
      <w:pPr>
        <w:shd w:val="clear" w:color="auto" w:fill="FFFFFF"/>
        <w:spacing w:line="360" w:lineRule="auto"/>
        <w:ind w:left="839" w:leftChars="266" w:hanging="280" w:hangingChars="100"/>
        <w:rPr>
          <w:rFonts w:ascii="宋体" w:cs="仿宋"/>
          <w:bCs/>
          <w:color w:val="000000"/>
          <w:sz w:val="28"/>
          <w:szCs w:val="28"/>
        </w:rPr>
      </w:pPr>
      <w:r>
        <w:rPr>
          <w:rFonts w:hint="eastAsia" w:ascii="宋体" w:hAnsi="宋体" w:cs="仿宋"/>
          <w:bCs/>
          <w:color w:val="000000"/>
          <w:sz w:val="28"/>
          <w:szCs w:val="28"/>
        </w:rPr>
        <w:t>因公出国（境）费</w:t>
      </w:r>
      <w:r>
        <w:rPr>
          <w:rFonts w:ascii="宋体" w:cs="仿宋"/>
          <w:bCs/>
          <w:color w:val="000000"/>
          <w:sz w:val="28"/>
          <w:szCs w:val="28"/>
        </w:rPr>
        <w:t>0</w:t>
      </w:r>
      <w:r>
        <w:rPr>
          <w:rFonts w:hint="eastAsia" w:ascii="宋体" w:hAnsi="宋体" w:cs="仿宋"/>
          <w:bCs/>
          <w:color w:val="000000"/>
          <w:sz w:val="28"/>
          <w:szCs w:val="28"/>
        </w:rPr>
        <w:t>元，预算数</w:t>
      </w:r>
      <w:r>
        <w:rPr>
          <w:rFonts w:ascii="宋体" w:cs="仿宋"/>
          <w:bCs/>
          <w:color w:val="000000"/>
          <w:sz w:val="28"/>
          <w:szCs w:val="28"/>
        </w:rPr>
        <w:t>0</w:t>
      </w:r>
      <w:r>
        <w:rPr>
          <w:rFonts w:hint="eastAsia" w:ascii="宋体" w:hAnsi="宋体" w:cs="仿宋"/>
          <w:bCs/>
          <w:color w:val="000000"/>
          <w:sz w:val="28"/>
          <w:szCs w:val="28"/>
        </w:rPr>
        <w:t>元，决算数比预算数增加</w:t>
      </w:r>
      <w:r>
        <w:rPr>
          <w:rFonts w:ascii="宋体" w:cs="仿宋"/>
          <w:bCs/>
          <w:color w:val="000000"/>
          <w:sz w:val="28"/>
          <w:szCs w:val="28"/>
        </w:rPr>
        <w:t>0</w:t>
      </w:r>
      <w:r>
        <w:rPr>
          <w:rFonts w:hint="eastAsia" w:ascii="宋体" w:hAnsi="宋体" w:cs="仿宋"/>
          <w:bCs/>
          <w:color w:val="000000"/>
          <w:sz w:val="28"/>
          <w:szCs w:val="28"/>
        </w:rPr>
        <w:t>元，增长幅度为</w:t>
      </w:r>
      <w:r>
        <w:rPr>
          <w:rFonts w:ascii="宋体" w:hAnsi="宋体" w:cs="仿宋"/>
          <w:bCs/>
          <w:color w:val="000000"/>
          <w:sz w:val="28"/>
          <w:szCs w:val="28"/>
        </w:rPr>
        <w:t>0%</w:t>
      </w:r>
      <w:r>
        <w:rPr>
          <w:rFonts w:hint="eastAsia" w:ascii="宋体" w:hAnsi="宋体" w:cs="仿宋"/>
          <w:bCs/>
          <w:color w:val="000000"/>
          <w:sz w:val="28"/>
          <w:szCs w:val="28"/>
        </w:rPr>
        <w:t>，本单位因公出国（境）团组数</w:t>
      </w:r>
      <w:r>
        <w:rPr>
          <w:rFonts w:ascii="宋体" w:cs="仿宋"/>
          <w:bCs/>
          <w:color w:val="000000"/>
          <w:sz w:val="28"/>
          <w:szCs w:val="28"/>
        </w:rPr>
        <w:t>0</w:t>
      </w:r>
      <w:r>
        <w:rPr>
          <w:rFonts w:hint="eastAsia" w:ascii="宋体" w:hAnsi="宋体" w:cs="仿宋"/>
          <w:bCs/>
          <w:color w:val="000000"/>
          <w:sz w:val="28"/>
          <w:szCs w:val="28"/>
        </w:rPr>
        <w:t>、人数</w:t>
      </w:r>
      <w:r>
        <w:rPr>
          <w:rFonts w:ascii="宋体" w:cs="仿宋"/>
          <w:bCs/>
          <w:color w:val="000000"/>
          <w:sz w:val="28"/>
          <w:szCs w:val="28"/>
        </w:rPr>
        <w:t>0</w:t>
      </w:r>
      <w:r>
        <w:rPr>
          <w:rFonts w:hint="eastAsia" w:ascii="宋体" w:hAnsi="宋体" w:cs="仿宋"/>
          <w:bCs/>
          <w:color w:val="000000"/>
          <w:sz w:val="28"/>
          <w:szCs w:val="28"/>
        </w:rPr>
        <w:t>。</w:t>
      </w:r>
    </w:p>
    <w:p>
      <w:pPr>
        <w:pStyle w:val="7"/>
        <w:widowControl/>
        <w:spacing w:before="76" w:beforeAutospacing="0" w:after="76" w:afterAutospacing="0" w:line="450" w:lineRule="atLeast"/>
        <w:ind w:firstLine="281" w:firstLineChars="10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（三）关于机关运行经费支出说明</w:t>
      </w:r>
    </w:p>
    <w:p>
      <w:pPr>
        <w:shd w:val="clear" w:color="auto" w:fill="FFFFFF"/>
        <w:spacing w:line="360" w:lineRule="auto"/>
        <w:ind w:firstLine="700" w:firstLineChars="250"/>
        <w:rPr>
          <w:rFonts w:ascii="宋体" w:cs="仿宋"/>
          <w:bCs/>
          <w:color w:val="000000"/>
          <w:sz w:val="28"/>
          <w:szCs w:val="28"/>
        </w:rPr>
      </w:pPr>
      <w:r>
        <w:rPr>
          <w:rFonts w:hint="eastAsia" w:ascii="宋体" w:hAnsi="宋体" w:cs="仿宋"/>
          <w:bCs/>
          <w:color w:val="000000"/>
          <w:sz w:val="28"/>
          <w:szCs w:val="28"/>
        </w:rPr>
        <w:t>因本部门非行政单位和参照公务员法管理的事业单位所以无单位机关运行经费</w:t>
      </w:r>
    </w:p>
    <w:p>
      <w:pPr>
        <w:pStyle w:val="7"/>
        <w:widowControl/>
        <w:spacing w:before="76" w:beforeAutospacing="0" w:after="76" w:afterAutospacing="0" w:line="450" w:lineRule="atLeast"/>
        <w:ind w:firstLine="275" w:firstLineChars="98"/>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（四）关于政府采购支出说明</w:t>
      </w:r>
    </w:p>
    <w:p>
      <w:pPr>
        <w:pStyle w:val="7"/>
        <w:widowControl/>
        <w:spacing w:before="76" w:beforeAutospacing="0" w:after="76" w:afterAutospacing="0" w:line="450" w:lineRule="atLeast"/>
        <w:ind w:firstLine="700" w:firstLineChars="250"/>
        <w:rPr>
          <w:rFonts w:hint="eastAsia" w:ascii="宋体" w:hAnsi="宋体" w:cs="仿宋"/>
          <w:bCs/>
          <w:sz w:val="28"/>
          <w:szCs w:val="28"/>
        </w:rPr>
      </w:pPr>
      <w:r>
        <w:rPr>
          <w:rFonts w:hint="eastAsia" w:ascii="宋体" w:hAnsi="宋体" w:cs="仿宋"/>
          <w:bCs/>
          <w:sz w:val="28"/>
          <w:szCs w:val="28"/>
        </w:rPr>
        <w:t>2021年度政府采购支出总额0万元，其中：政府采购货物支出0万元、政府采购工程支出0万元、政府采购服务支出0万元。授予中小企业合同金额0万元，占政府采购支出总额的0%，其中：授予小微企业合同金额0万元，占政府采购支出总额的0%。</w:t>
      </w:r>
    </w:p>
    <w:p>
      <w:pPr>
        <w:pStyle w:val="7"/>
        <w:widowControl/>
        <w:spacing w:before="76" w:beforeAutospacing="0" w:after="76" w:afterAutospacing="0" w:line="450" w:lineRule="atLeast"/>
        <w:ind w:firstLine="703" w:firstLineChars="25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（五）关于国有资产占用情况说明</w:t>
      </w:r>
    </w:p>
    <w:p>
      <w:pPr>
        <w:widowControl/>
        <w:shd w:val="clear" w:color="auto" w:fill="FFFFFF"/>
        <w:snapToGrid w:val="0"/>
        <w:spacing w:line="560" w:lineRule="atLeast"/>
        <w:ind w:firstLine="562"/>
        <w:jc w:val="left"/>
        <w:rPr>
          <w:rFonts w:ascii="宋体"/>
          <w:sz w:val="28"/>
          <w:szCs w:val="28"/>
        </w:rPr>
      </w:pPr>
      <w:r>
        <w:rPr>
          <w:rFonts w:hint="eastAsia" w:ascii="宋体" w:hAnsi="宋体"/>
          <w:spacing w:val="2"/>
          <w:sz w:val="28"/>
          <w:szCs w:val="28"/>
        </w:rPr>
        <w:t>截至</w:t>
      </w:r>
      <w:r>
        <w:rPr>
          <w:rFonts w:ascii="宋体" w:hAnsi="宋体"/>
          <w:spacing w:val="2"/>
          <w:sz w:val="28"/>
          <w:szCs w:val="28"/>
        </w:rPr>
        <w:t>2021</w:t>
      </w:r>
      <w:r>
        <w:rPr>
          <w:rFonts w:hint="eastAsia" w:ascii="宋体" w:hAnsi="宋体"/>
          <w:spacing w:val="2"/>
          <w:sz w:val="28"/>
          <w:szCs w:val="28"/>
        </w:rPr>
        <w:t>年度</w:t>
      </w:r>
      <w:r>
        <w:rPr>
          <w:rFonts w:ascii="宋体" w:hAnsi="宋体"/>
          <w:spacing w:val="2"/>
          <w:sz w:val="28"/>
          <w:szCs w:val="28"/>
        </w:rPr>
        <w:t>12</w:t>
      </w:r>
      <w:r>
        <w:rPr>
          <w:rFonts w:hint="eastAsia" w:ascii="宋体" w:hAnsi="宋体"/>
          <w:spacing w:val="2"/>
          <w:sz w:val="28"/>
          <w:szCs w:val="28"/>
        </w:rPr>
        <w:t>月</w:t>
      </w:r>
      <w:r>
        <w:rPr>
          <w:rFonts w:ascii="宋体" w:hAnsi="宋体"/>
          <w:spacing w:val="2"/>
          <w:sz w:val="28"/>
          <w:szCs w:val="28"/>
        </w:rPr>
        <w:t>31</w:t>
      </w:r>
      <w:r>
        <w:rPr>
          <w:rFonts w:hint="eastAsia" w:ascii="宋体" w:hAnsi="宋体"/>
          <w:spacing w:val="2"/>
          <w:sz w:val="28"/>
          <w:szCs w:val="28"/>
        </w:rPr>
        <w:t>日，</w:t>
      </w:r>
      <w:r>
        <w:rPr>
          <w:rFonts w:hint="eastAsia" w:ascii="宋体" w:hAnsi="宋体"/>
          <w:sz w:val="28"/>
          <w:szCs w:val="28"/>
        </w:rPr>
        <w:t>本部门共有车辆</w:t>
      </w:r>
      <w:r>
        <w:rPr>
          <w:rFonts w:ascii="宋体"/>
          <w:sz w:val="28"/>
          <w:szCs w:val="28"/>
        </w:rPr>
        <w:t>0</w:t>
      </w:r>
      <w:r>
        <w:rPr>
          <w:rFonts w:hint="eastAsia" w:ascii="宋体" w:hAnsi="宋体"/>
          <w:sz w:val="28"/>
          <w:szCs w:val="28"/>
        </w:rPr>
        <w:t>辆，其中，主要领导干部用车</w:t>
      </w:r>
      <w:r>
        <w:rPr>
          <w:rFonts w:ascii="宋体"/>
          <w:sz w:val="28"/>
          <w:szCs w:val="28"/>
        </w:rPr>
        <w:t>0</w:t>
      </w:r>
      <w:r>
        <w:rPr>
          <w:rFonts w:hint="eastAsia" w:ascii="宋体" w:hAnsi="宋体"/>
          <w:sz w:val="28"/>
          <w:szCs w:val="28"/>
        </w:rPr>
        <w:t>辆、机要通信用车</w:t>
      </w:r>
      <w:r>
        <w:rPr>
          <w:rFonts w:ascii="宋体"/>
          <w:sz w:val="28"/>
          <w:szCs w:val="28"/>
        </w:rPr>
        <w:t>0</w:t>
      </w:r>
      <w:r>
        <w:rPr>
          <w:rFonts w:hint="eastAsia" w:ascii="宋体" w:hAnsi="宋体"/>
          <w:sz w:val="28"/>
          <w:szCs w:val="28"/>
        </w:rPr>
        <w:t>辆、应急保障用车</w:t>
      </w:r>
      <w:r>
        <w:rPr>
          <w:rFonts w:ascii="宋体"/>
          <w:sz w:val="28"/>
          <w:szCs w:val="28"/>
        </w:rPr>
        <w:t>0</w:t>
      </w:r>
      <w:r>
        <w:rPr>
          <w:rFonts w:hint="eastAsia" w:ascii="宋体" w:hAnsi="宋体"/>
          <w:sz w:val="28"/>
          <w:szCs w:val="28"/>
        </w:rPr>
        <w:t>辆、执法执勤用车</w:t>
      </w:r>
      <w:r>
        <w:rPr>
          <w:rFonts w:ascii="宋体"/>
          <w:sz w:val="28"/>
          <w:szCs w:val="28"/>
        </w:rPr>
        <w:t>0</w:t>
      </w:r>
      <w:r>
        <w:rPr>
          <w:rFonts w:hint="eastAsia" w:ascii="宋体" w:hAnsi="宋体" w:eastAsia="MS Gothic" w:cs="MS Gothic"/>
          <w:sz w:val="28"/>
          <w:szCs w:val="28"/>
        </w:rPr>
        <w:t> </w:t>
      </w:r>
      <w:r>
        <w:rPr>
          <w:rFonts w:hint="eastAsia" w:ascii="宋体" w:hAnsi="宋体"/>
          <w:sz w:val="28"/>
          <w:szCs w:val="28"/>
        </w:rPr>
        <w:t>辆、特种专业技术用车</w:t>
      </w:r>
      <w:r>
        <w:rPr>
          <w:rFonts w:ascii="宋体"/>
          <w:sz w:val="28"/>
          <w:szCs w:val="28"/>
        </w:rPr>
        <w:t>0</w:t>
      </w:r>
      <w:r>
        <w:rPr>
          <w:rFonts w:hint="eastAsia" w:ascii="宋体" w:hAnsi="宋体" w:eastAsia="MS Gothic" w:cs="MS Gothic"/>
          <w:sz w:val="28"/>
          <w:szCs w:val="28"/>
        </w:rPr>
        <w:t> </w:t>
      </w:r>
      <w:r>
        <w:rPr>
          <w:rFonts w:hint="eastAsia" w:ascii="宋体" w:hAnsi="宋体"/>
          <w:sz w:val="28"/>
          <w:szCs w:val="28"/>
        </w:rPr>
        <w:t>辆、离退休干部用车</w:t>
      </w:r>
      <w:r>
        <w:rPr>
          <w:rFonts w:ascii="宋体"/>
          <w:sz w:val="28"/>
          <w:szCs w:val="28"/>
        </w:rPr>
        <w:t>0</w:t>
      </w:r>
      <w:r>
        <w:rPr>
          <w:rFonts w:hint="eastAsia" w:ascii="宋体" w:hAnsi="宋体"/>
          <w:sz w:val="28"/>
          <w:szCs w:val="28"/>
        </w:rPr>
        <w:t>辆、</w:t>
      </w:r>
      <w:r>
        <w:rPr>
          <w:rFonts w:hint="eastAsia" w:ascii="宋体" w:hAnsi="宋体" w:eastAsia="MS Gothic" w:cs="MS Gothic"/>
          <w:sz w:val="28"/>
          <w:szCs w:val="28"/>
        </w:rPr>
        <w:t> </w:t>
      </w:r>
      <w:r>
        <w:rPr>
          <w:rFonts w:hint="eastAsia" w:ascii="宋体" w:hAnsi="宋体"/>
          <w:sz w:val="28"/>
          <w:szCs w:val="28"/>
        </w:rPr>
        <w:t>其他用车</w:t>
      </w:r>
      <w:r>
        <w:rPr>
          <w:rFonts w:ascii="宋体"/>
          <w:sz w:val="28"/>
          <w:szCs w:val="28"/>
        </w:rPr>
        <w:t>0</w:t>
      </w:r>
      <w:r>
        <w:rPr>
          <w:rFonts w:hint="eastAsia" w:ascii="宋体" w:hAnsi="宋体"/>
          <w:sz w:val="28"/>
          <w:szCs w:val="28"/>
        </w:rPr>
        <w:t>辆；单位价值</w:t>
      </w:r>
      <w:r>
        <w:rPr>
          <w:rFonts w:ascii="宋体" w:hAnsi="宋体"/>
          <w:sz w:val="28"/>
          <w:szCs w:val="28"/>
        </w:rPr>
        <w:t>50</w:t>
      </w:r>
      <w:r>
        <w:rPr>
          <w:rFonts w:hint="eastAsia" w:ascii="宋体" w:hAnsi="宋体"/>
          <w:sz w:val="28"/>
          <w:szCs w:val="28"/>
        </w:rPr>
        <w:t>万元以上通用设备</w:t>
      </w:r>
      <w:r>
        <w:rPr>
          <w:rFonts w:ascii="宋体"/>
          <w:sz w:val="28"/>
          <w:szCs w:val="28"/>
        </w:rPr>
        <w:t>0</w:t>
      </w:r>
      <w:r>
        <w:rPr>
          <w:rFonts w:hint="eastAsia" w:ascii="宋体" w:hAnsi="宋体"/>
          <w:sz w:val="28"/>
          <w:szCs w:val="28"/>
        </w:rPr>
        <w:t>台（套）；单位价值</w:t>
      </w:r>
      <w:r>
        <w:rPr>
          <w:rFonts w:ascii="宋体" w:hAnsi="宋体"/>
          <w:sz w:val="28"/>
          <w:szCs w:val="28"/>
        </w:rPr>
        <w:t>100</w:t>
      </w:r>
      <w:r>
        <w:rPr>
          <w:rFonts w:hint="eastAsia" w:ascii="宋体" w:hAnsi="宋体"/>
          <w:sz w:val="28"/>
          <w:szCs w:val="28"/>
        </w:rPr>
        <w:t>万元以上专用设备</w:t>
      </w:r>
      <w:r>
        <w:rPr>
          <w:rFonts w:ascii="宋体"/>
          <w:sz w:val="28"/>
          <w:szCs w:val="28"/>
        </w:rPr>
        <w:t>0</w:t>
      </w:r>
      <w:r>
        <w:rPr>
          <w:rFonts w:hint="eastAsia" w:ascii="宋体" w:hAnsi="宋体"/>
          <w:sz w:val="28"/>
          <w:szCs w:val="28"/>
        </w:rPr>
        <w:t>台（套）。</w:t>
      </w:r>
    </w:p>
    <w:p>
      <w:pPr>
        <w:pStyle w:val="7"/>
        <w:widowControl/>
        <w:spacing w:before="76" w:beforeAutospacing="0" w:after="76" w:afterAutospacing="0" w:line="450" w:lineRule="atLeast"/>
        <w:ind w:firstLine="138" w:firstLineChars="49"/>
        <w:rPr>
          <w:rFonts w:ascii="宋体" w:cs="微软雅黑"/>
          <w:b/>
          <w:color w:val="333333"/>
          <w:sz w:val="28"/>
          <w:szCs w:val="28"/>
          <w:shd w:val="clear" w:color="auto" w:fill="FFFFFF"/>
        </w:rPr>
      </w:pPr>
      <w:r>
        <w:rPr>
          <w:rFonts w:hint="eastAsia" w:ascii="宋体" w:hAnsi="宋体" w:cs="微软雅黑"/>
          <w:b/>
          <w:color w:val="333333"/>
          <w:sz w:val="28"/>
          <w:szCs w:val="28"/>
          <w:shd w:val="clear" w:color="auto" w:fill="FFFFFF"/>
        </w:rPr>
        <w:t>（六）重点效绩评价结果等预算绩效情况说明</w:t>
      </w:r>
    </w:p>
    <w:p>
      <w:pPr>
        <w:shd w:val="clear" w:color="auto" w:fill="FFFFFF"/>
        <w:spacing w:line="360" w:lineRule="auto"/>
        <w:ind w:firstLine="700" w:firstLineChars="250"/>
        <w:rPr>
          <w:rFonts w:ascii="宋体" w:cs="宋体"/>
          <w:b/>
          <w:bCs/>
          <w:sz w:val="28"/>
          <w:szCs w:val="28"/>
        </w:rPr>
      </w:pPr>
      <w:r>
        <w:rPr>
          <w:rFonts w:hint="eastAsia" w:ascii="宋体" w:hAnsi="宋体" w:cs="仿宋"/>
          <w:bCs/>
          <w:color w:val="000000"/>
          <w:sz w:val="28"/>
          <w:szCs w:val="28"/>
        </w:rPr>
        <w:t>本年度未开展预算绩效评价工作</w:t>
      </w:r>
    </w:p>
    <w:p>
      <w:pPr>
        <w:spacing w:line="440" w:lineRule="exact"/>
        <w:rPr>
          <w:rFonts w:ascii="宋体" w:cs="微软雅黑"/>
          <w:b/>
          <w:color w:val="333333"/>
          <w:kern w:val="0"/>
          <w:sz w:val="28"/>
          <w:szCs w:val="28"/>
          <w:shd w:val="clear" w:color="auto" w:fill="FFFFFF"/>
        </w:rPr>
      </w:pPr>
      <w:r>
        <w:rPr>
          <w:rFonts w:hint="eastAsia" w:ascii="宋体" w:hAnsi="宋体" w:cs="宋体"/>
          <w:b/>
          <w:bCs/>
          <w:sz w:val="28"/>
          <w:szCs w:val="28"/>
        </w:rPr>
        <w:t>（</w:t>
      </w:r>
      <w:r>
        <w:rPr>
          <w:rFonts w:hint="eastAsia" w:ascii="宋体" w:hAnsi="宋体" w:cs="微软雅黑"/>
          <w:b/>
          <w:color w:val="333333"/>
          <w:kern w:val="0"/>
          <w:sz w:val="28"/>
          <w:szCs w:val="28"/>
          <w:shd w:val="clear" w:color="auto" w:fill="FFFFFF"/>
        </w:rPr>
        <w:t>七）决算收支增减变化情况</w:t>
      </w:r>
    </w:p>
    <w:p>
      <w:pPr>
        <w:spacing w:line="440" w:lineRule="exact"/>
        <w:ind w:firstLine="568" w:firstLineChars="200"/>
        <w:rPr>
          <w:rFonts w:ascii="宋体"/>
          <w:spacing w:val="2"/>
          <w:sz w:val="28"/>
          <w:szCs w:val="28"/>
        </w:rPr>
      </w:pPr>
      <w:r>
        <w:rPr>
          <w:rFonts w:ascii="宋体" w:hAnsi="宋体"/>
          <w:spacing w:val="2"/>
          <w:sz w:val="28"/>
          <w:szCs w:val="28"/>
        </w:rPr>
        <w:t>1</w:t>
      </w:r>
      <w:r>
        <w:rPr>
          <w:rFonts w:hint="eastAsia" w:ascii="宋体" w:hAnsi="宋体"/>
          <w:spacing w:val="2"/>
          <w:sz w:val="28"/>
          <w:szCs w:val="28"/>
        </w:rPr>
        <w:t>、收入增减变化情况</w:t>
      </w:r>
    </w:p>
    <w:p>
      <w:pPr>
        <w:shd w:val="clear" w:color="auto" w:fill="FFFFFF"/>
        <w:tabs>
          <w:tab w:val="left" w:pos="580"/>
        </w:tabs>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本年总收入</w:t>
      </w:r>
      <w:r>
        <w:rPr>
          <w:rFonts w:ascii="宋体" w:hAnsi="宋体" w:cs="仿宋_GB2312"/>
          <w:color w:val="000000"/>
          <w:sz w:val="28"/>
          <w:szCs w:val="28"/>
        </w:rPr>
        <w:t>289.97</w:t>
      </w:r>
      <w:r>
        <w:rPr>
          <w:rFonts w:hint="eastAsia" w:ascii="宋体" w:hAnsi="宋体" w:cs="仿宋_GB2312"/>
          <w:color w:val="000000"/>
          <w:sz w:val="28"/>
          <w:szCs w:val="28"/>
        </w:rPr>
        <w:t>万元，比上年增加</w:t>
      </w:r>
      <w:r>
        <w:rPr>
          <w:rFonts w:ascii="宋体" w:hAnsi="宋体" w:cs="仿宋_GB2312"/>
          <w:color w:val="000000"/>
          <w:sz w:val="28"/>
          <w:szCs w:val="28"/>
        </w:rPr>
        <w:t>535.16%</w:t>
      </w:r>
      <w:r>
        <w:rPr>
          <w:rFonts w:hint="eastAsia" w:ascii="宋体" w:hAnsi="宋体" w:cs="仿宋_GB2312"/>
          <w:color w:val="000000"/>
          <w:sz w:val="28"/>
          <w:szCs w:val="28"/>
        </w:rPr>
        <w:t>，其主要原因为本年文明创建事务增加所致。</w:t>
      </w:r>
    </w:p>
    <w:p>
      <w:pPr>
        <w:spacing w:line="440" w:lineRule="exact"/>
        <w:ind w:firstLine="568" w:firstLineChars="200"/>
        <w:rPr>
          <w:rFonts w:ascii="宋体"/>
          <w:spacing w:val="2"/>
          <w:sz w:val="28"/>
          <w:szCs w:val="28"/>
        </w:rPr>
      </w:pPr>
      <w:r>
        <w:rPr>
          <w:rFonts w:ascii="宋体" w:hAnsi="宋体"/>
          <w:spacing w:val="2"/>
          <w:sz w:val="28"/>
          <w:szCs w:val="28"/>
        </w:rPr>
        <w:t>2</w:t>
      </w:r>
      <w:r>
        <w:rPr>
          <w:rFonts w:hint="eastAsia" w:ascii="宋体" w:hAnsi="宋体"/>
          <w:spacing w:val="2"/>
          <w:sz w:val="28"/>
          <w:szCs w:val="28"/>
        </w:rPr>
        <w:t>、支出增减变化情况</w:t>
      </w:r>
    </w:p>
    <w:p>
      <w:pPr>
        <w:widowControl/>
        <w:ind w:firstLine="560" w:firstLineChars="200"/>
        <w:rPr>
          <w:rFonts w:ascii="宋体" w:cs="宋体"/>
          <w:sz w:val="28"/>
          <w:szCs w:val="28"/>
        </w:rPr>
      </w:pPr>
      <w:r>
        <w:rPr>
          <w:rFonts w:hint="eastAsia" w:ascii="宋体" w:hAnsi="宋体" w:cs="宋体"/>
          <w:color w:val="333333"/>
          <w:sz w:val="28"/>
          <w:szCs w:val="28"/>
        </w:rPr>
        <w:t>本年总支出为</w:t>
      </w:r>
      <w:r>
        <w:rPr>
          <w:rFonts w:ascii="宋体" w:hAnsi="宋体" w:cs="宋体"/>
          <w:color w:val="333333"/>
          <w:sz w:val="28"/>
          <w:szCs w:val="28"/>
        </w:rPr>
        <w:t>289.97</w:t>
      </w:r>
      <w:r>
        <w:rPr>
          <w:rFonts w:hint="eastAsia" w:ascii="宋体" w:hAnsi="宋体" w:cs="宋体"/>
          <w:color w:val="333333"/>
          <w:sz w:val="28"/>
          <w:szCs w:val="28"/>
        </w:rPr>
        <w:t>万元。</w:t>
      </w:r>
      <w:r>
        <w:rPr>
          <w:rFonts w:hint="eastAsia" w:ascii="宋体" w:hAnsi="宋体" w:cs="仿宋_GB2312"/>
          <w:color w:val="000000"/>
          <w:sz w:val="28"/>
          <w:szCs w:val="28"/>
        </w:rPr>
        <w:t>比上年增加</w:t>
      </w:r>
      <w:r>
        <w:rPr>
          <w:rFonts w:ascii="宋体" w:hAnsi="宋体" w:cs="仿宋_GB2312"/>
          <w:color w:val="000000"/>
          <w:sz w:val="28"/>
          <w:szCs w:val="28"/>
        </w:rPr>
        <w:t>535.16%</w:t>
      </w:r>
      <w:r>
        <w:rPr>
          <w:rFonts w:hint="eastAsia" w:ascii="宋体" w:hAnsi="宋体" w:cs="仿宋_GB2312"/>
          <w:color w:val="000000"/>
          <w:sz w:val="28"/>
          <w:szCs w:val="28"/>
        </w:rPr>
        <w:t>，其主要原因为本年文明创建事务增加所致。</w:t>
      </w:r>
      <w:r>
        <w:rPr>
          <w:rFonts w:hint="eastAsia" w:ascii="宋体" w:hAnsi="宋体" w:cs="宋体"/>
          <w:color w:val="333333"/>
          <w:sz w:val="28"/>
          <w:szCs w:val="28"/>
        </w:rPr>
        <w:t>其中一般公共预算财政拨款支出</w:t>
      </w:r>
      <w:r>
        <w:rPr>
          <w:rFonts w:ascii="宋体" w:hAnsi="宋体" w:cs="宋体"/>
          <w:color w:val="333333"/>
          <w:sz w:val="28"/>
          <w:szCs w:val="28"/>
        </w:rPr>
        <w:t>115.95</w:t>
      </w:r>
      <w:r>
        <w:rPr>
          <w:rFonts w:hint="eastAsia" w:ascii="宋体" w:hAnsi="宋体" w:cs="宋体"/>
          <w:color w:val="333333"/>
          <w:sz w:val="28"/>
          <w:szCs w:val="28"/>
        </w:rPr>
        <w:t>万元，比去年的</w:t>
      </w:r>
      <w:r>
        <w:rPr>
          <w:rFonts w:ascii="宋体" w:hAnsi="宋体" w:cs="宋体"/>
          <w:color w:val="333333"/>
          <w:sz w:val="28"/>
          <w:szCs w:val="28"/>
        </w:rPr>
        <w:t>13.03</w:t>
      </w:r>
      <w:r>
        <w:rPr>
          <w:rFonts w:hint="eastAsia" w:ascii="宋体" w:hAnsi="宋体" w:cs="宋体"/>
          <w:color w:val="333333"/>
          <w:sz w:val="28"/>
          <w:szCs w:val="28"/>
        </w:rPr>
        <w:t>万元增加</w:t>
      </w:r>
      <w:r>
        <w:rPr>
          <w:rFonts w:ascii="宋体" w:hAnsi="宋体" w:cs="宋体"/>
          <w:color w:val="333333"/>
          <w:sz w:val="28"/>
          <w:szCs w:val="28"/>
        </w:rPr>
        <w:t>102.92</w:t>
      </w:r>
      <w:r>
        <w:rPr>
          <w:rFonts w:hint="eastAsia" w:ascii="宋体" w:hAnsi="宋体" w:cs="宋体"/>
          <w:color w:val="333333"/>
          <w:sz w:val="28"/>
          <w:szCs w:val="28"/>
        </w:rPr>
        <w:t>万元，增幅</w:t>
      </w:r>
      <w:r>
        <w:rPr>
          <w:rFonts w:ascii="宋体" w:hAnsi="宋体" w:cs="宋体"/>
          <w:color w:val="333333"/>
          <w:sz w:val="28"/>
          <w:szCs w:val="28"/>
        </w:rPr>
        <w:t>789.87%</w:t>
      </w:r>
      <w:r>
        <w:rPr>
          <w:rFonts w:hint="eastAsia" w:ascii="宋体" w:hAnsi="宋体" w:cs="宋体"/>
          <w:color w:val="333333"/>
          <w:sz w:val="28"/>
          <w:szCs w:val="28"/>
        </w:rPr>
        <w:t>，其主要原因为</w:t>
      </w:r>
      <w:r>
        <w:rPr>
          <w:rFonts w:hint="eastAsia" w:ascii="宋体" w:hAnsi="宋体" w:cs="仿宋_GB2312"/>
          <w:color w:val="000000"/>
          <w:sz w:val="28"/>
          <w:szCs w:val="28"/>
        </w:rPr>
        <w:t>本年文明创建事务增加所致，</w:t>
      </w:r>
      <w:r>
        <w:rPr>
          <w:rFonts w:hint="eastAsia" w:ascii="宋体" w:hAnsi="宋体" w:cs="宋体"/>
          <w:color w:val="333333"/>
          <w:sz w:val="28"/>
          <w:szCs w:val="28"/>
        </w:rPr>
        <w:t>与年初预算数</w:t>
      </w:r>
      <w:r>
        <w:rPr>
          <w:rFonts w:ascii="宋体" w:hAnsi="宋体" w:cs="宋体"/>
          <w:color w:val="333333"/>
          <w:sz w:val="28"/>
          <w:szCs w:val="28"/>
        </w:rPr>
        <w:t>115.95</w:t>
      </w:r>
      <w:r>
        <w:rPr>
          <w:rFonts w:hint="eastAsia" w:ascii="宋体" w:hAnsi="宋体" w:cs="宋体"/>
          <w:color w:val="333333"/>
          <w:sz w:val="28"/>
          <w:szCs w:val="28"/>
        </w:rPr>
        <w:t>万元对比增加</w:t>
      </w:r>
      <w:r>
        <w:rPr>
          <w:rFonts w:ascii="宋体" w:cs="宋体"/>
          <w:color w:val="333333"/>
          <w:sz w:val="28"/>
          <w:szCs w:val="28"/>
        </w:rPr>
        <w:t>0</w:t>
      </w:r>
      <w:r>
        <w:rPr>
          <w:rFonts w:hint="eastAsia" w:ascii="宋体" w:hAnsi="宋体" w:cs="宋体"/>
          <w:color w:val="333333"/>
          <w:sz w:val="28"/>
          <w:szCs w:val="28"/>
        </w:rPr>
        <w:t>万元，增幅</w:t>
      </w:r>
      <w:r>
        <w:rPr>
          <w:rFonts w:ascii="宋体" w:hAnsi="宋体" w:cs="宋体"/>
          <w:color w:val="333333"/>
          <w:sz w:val="28"/>
          <w:szCs w:val="28"/>
        </w:rPr>
        <w:t>0%</w:t>
      </w:r>
      <w:r>
        <w:rPr>
          <w:rFonts w:hint="eastAsia" w:ascii="宋体" w:hAnsi="宋体" w:cs="宋体"/>
          <w:color w:val="333333"/>
          <w:sz w:val="28"/>
          <w:szCs w:val="28"/>
        </w:rPr>
        <w:t>，</w:t>
      </w:r>
      <w:r>
        <w:rPr>
          <w:rFonts w:ascii="宋体" w:cs="宋体"/>
          <w:sz w:val="28"/>
          <w:szCs w:val="28"/>
        </w:rPr>
        <w:tab/>
      </w:r>
    </w:p>
    <w:p>
      <w:pPr>
        <w:pStyle w:val="7"/>
        <w:widowControl/>
        <w:spacing w:before="76" w:beforeAutospacing="0" w:after="76" w:afterAutospacing="0" w:line="450" w:lineRule="atLeast"/>
        <w:ind w:firstLine="240" w:firstLineChars="100"/>
        <w:rPr>
          <w:rFonts w:ascii="微软雅黑" w:hAnsi="微软雅黑" w:eastAsia="微软雅黑" w:cs="微软雅黑"/>
          <w:b/>
          <w:bCs/>
        </w:rPr>
      </w:pPr>
      <w:r>
        <w:rPr>
          <w:rStyle w:val="10"/>
          <w:rFonts w:ascii="微软雅黑" w:hAnsi="微软雅黑" w:eastAsia="微软雅黑" w:cs="微软雅黑"/>
          <w:bCs/>
          <w:color w:val="333333"/>
          <w:shd w:val="clear" w:color="auto" w:fill="FFFFFF"/>
        </w:rPr>
        <w:br w:type="page"/>
      </w:r>
      <w:r>
        <w:rPr>
          <w:rStyle w:val="10"/>
          <w:rFonts w:hint="eastAsia" w:ascii="微软雅黑" w:hAnsi="微软雅黑" w:eastAsia="微软雅黑" w:cs="微软雅黑"/>
          <w:bCs/>
          <w:color w:val="333333"/>
          <w:shd w:val="clear" w:color="auto" w:fill="FFFFFF"/>
        </w:rPr>
        <w:t>第四部分</w:t>
      </w:r>
      <w:r>
        <w:rPr>
          <w:rStyle w:val="10"/>
          <w:rFonts w:ascii="微软雅黑" w:hAnsi="微软雅黑" w:eastAsia="微软雅黑" w:cs="微软雅黑"/>
          <w:bCs/>
          <w:color w:val="333333"/>
          <w:shd w:val="clear" w:color="auto" w:fill="FFFFFF"/>
        </w:rPr>
        <w:t xml:space="preserve"> </w:t>
      </w:r>
      <w:r>
        <w:rPr>
          <w:rStyle w:val="10"/>
          <w:rFonts w:hint="eastAsia" w:ascii="微软雅黑" w:hAnsi="微软雅黑" w:eastAsia="微软雅黑" w:cs="微软雅黑"/>
          <w:bCs/>
          <w:color w:val="333333"/>
          <w:shd w:val="clear" w:color="auto" w:fill="FFFFFF"/>
        </w:rPr>
        <w:t>名词解释</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一、财政补助收入：指县级财政当年拨付的资金。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二、其他收入：指除“财政拨款收入”、“上级补助收入”、“事业收入”、“经营收入”等以外的收入。主要是存款利息收入等。</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三、年初结转和结余：指以前年度尚未完成、结转到本年按有关规定继续使用的资金。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四、一般公共服务（类）行政运行（项）：指县行政单位及参照公务员管理事业单位用于保障机构正常运行、开展日常工作的基本支出。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六、一般公共服务（类）机关服务（项）：指县黄石港区文创中心为机关提供办公楼日常维修、维护等后勤保障服务的支出。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七、一般公共服务（类）其他一般公共服务支出（款）其他一般公共服务支出（项）：指黄石港区文创中心用于其他一般公共服务方面的支出。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八、教育（类）普通教育（款）高等教育（项）：指黄石港区文创中心支持地方高校的重点发展和特色办学，组织专家对省属院校申报的建设规划和项目预算进行评审等相关工作的支出。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九、社会保障和就业</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类</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行政事业单位离退休（款）归口管理的行政单位离退休（项）：指黄石港区文创中心用于离退休人员的支出、退休人员支出，以及提供管理服务工作的离退休干部处的支出。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十、社会保障和就业</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类</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行政事业单位离退休（款）其他行政事业单位离退休支出（项）：指黄石港区文创中心用于离退休方面的其他支出。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十一、医疗卫生与计划生育（类）医疗保障（款）行政单位医疗（项）：指黄石港区文创中心用于机关干部职工及离退休人员医疗方面的支出。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十二、住房保障（类）住房改革支出（款）购房补贴（项）：指按照相关住房分配货币化改革的政策规定和标准，对无房和住房未达标职工发放的住房分配货币化补贴资金。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十三、年末结转和结余：指本年度或以前年度预算安排、因客观条件发生变化无法按原计划实施，需要延迟到以后年度按有关规定继续使用的资金。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十四、基本支出：指为保障机构正常运转、完成日常工作任务而发生的人员支出（包括基本工资、津贴补贴等）和公用支出（包括办公费、水电费、邮电费、交通费、差旅费等）。</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十五、项目支出：指在基本支出之外为完成特定行政任务和事业发展目标所发生的支出。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十六、“三公”经费：是指用财政拨款安排的因公出国（境）费、公务用车购置及运行维护费、公务接待费。</w:t>
      </w:r>
    </w:p>
    <w:p>
      <w:pPr>
        <w:rPr>
          <w:rFonts w:ascii="宋体" w:cs="宋体"/>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1CEAA6F"/>
    <w:multiLevelType w:val="singleLevel"/>
    <w:tmpl w:val="51CEAA6F"/>
    <w:lvl w:ilvl="0" w:tentative="0">
      <w:start w:val="2"/>
      <w:numFmt w:val="chineseCounting"/>
      <w:suff w:val="nothing"/>
      <w:lvlText w:val="（%1）"/>
      <w:lvlJc w:val="left"/>
      <w:pPr>
        <w:ind w:left="280"/>
      </w:pPr>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mY0MjZhZWQxZDJkN2Q1OTIxZTI5MTJlYjM0YzA0NjQifQ=="/>
  </w:docVars>
  <w:rsids>
    <w:rsidRoot w:val="00170DD2"/>
    <w:rsid w:val="00005237"/>
    <w:rsid w:val="000061B5"/>
    <w:rsid w:val="0000747B"/>
    <w:rsid w:val="00040338"/>
    <w:rsid w:val="00061E64"/>
    <w:rsid w:val="000802A7"/>
    <w:rsid w:val="00080D3B"/>
    <w:rsid w:val="00082F3C"/>
    <w:rsid w:val="000909C1"/>
    <w:rsid w:val="00095328"/>
    <w:rsid w:val="00097917"/>
    <w:rsid w:val="000B1200"/>
    <w:rsid w:val="000B662A"/>
    <w:rsid w:val="000C08A7"/>
    <w:rsid w:val="000C3E18"/>
    <w:rsid w:val="000C4D80"/>
    <w:rsid w:val="000E1EE2"/>
    <w:rsid w:val="00103C64"/>
    <w:rsid w:val="00131190"/>
    <w:rsid w:val="00170DD2"/>
    <w:rsid w:val="00175508"/>
    <w:rsid w:val="00196C10"/>
    <w:rsid w:val="00197A58"/>
    <w:rsid w:val="001B1AED"/>
    <w:rsid w:val="001B6E10"/>
    <w:rsid w:val="001C3BDD"/>
    <w:rsid w:val="001E70CC"/>
    <w:rsid w:val="00203A55"/>
    <w:rsid w:val="00214019"/>
    <w:rsid w:val="00231659"/>
    <w:rsid w:val="0023530E"/>
    <w:rsid w:val="00253AE8"/>
    <w:rsid w:val="00260CAD"/>
    <w:rsid w:val="0027754D"/>
    <w:rsid w:val="002814CD"/>
    <w:rsid w:val="002872F7"/>
    <w:rsid w:val="002A344D"/>
    <w:rsid w:val="002B324A"/>
    <w:rsid w:val="002F7A4A"/>
    <w:rsid w:val="00307024"/>
    <w:rsid w:val="00312EED"/>
    <w:rsid w:val="00317DE9"/>
    <w:rsid w:val="00352D6D"/>
    <w:rsid w:val="003670F1"/>
    <w:rsid w:val="003755B4"/>
    <w:rsid w:val="00380157"/>
    <w:rsid w:val="00391131"/>
    <w:rsid w:val="003A207C"/>
    <w:rsid w:val="003B786D"/>
    <w:rsid w:val="003C766E"/>
    <w:rsid w:val="003E4E3E"/>
    <w:rsid w:val="003F728D"/>
    <w:rsid w:val="004075DD"/>
    <w:rsid w:val="00427C3C"/>
    <w:rsid w:val="00432502"/>
    <w:rsid w:val="004D4FD1"/>
    <w:rsid w:val="004E6834"/>
    <w:rsid w:val="004F2605"/>
    <w:rsid w:val="00513C4E"/>
    <w:rsid w:val="0051733C"/>
    <w:rsid w:val="00552D8E"/>
    <w:rsid w:val="00583A54"/>
    <w:rsid w:val="0059077F"/>
    <w:rsid w:val="005C6AE9"/>
    <w:rsid w:val="005E65F1"/>
    <w:rsid w:val="0060487A"/>
    <w:rsid w:val="00637196"/>
    <w:rsid w:val="00655B43"/>
    <w:rsid w:val="00684741"/>
    <w:rsid w:val="006A40D7"/>
    <w:rsid w:val="006B05F9"/>
    <w:rsid w:val="006D3EAB"/>
    <w:rsid w:val="006D6E7A"/>
    <w:rsid w:val="006E04EF"/>
    <w:rsid w:val="006F1C98"/>
    <w:rsid w:val="00725436"/>
    <w:rsid w:val="00731B17"/>
    <w:rsid w:val="00746232"/>
    <w:rsid w:val="00746A94"/>
    <w:rsid w:val="007817E9"/>
    <w:rsid w:val="007A65DC"/>
    <w:rsid w:val="007F2B2B"/>
    <w:rsid w:val="0081133D"/>
    <w:rsid w:val="00826C35"/>
    <w:rsid w:val="0085273F"/>
    <w:rsid w:val="00881634"/>
    <w:rsid w:val="008F2E79"/>
    <w:rsid w:val="00914803"/>
    <w:rsid w:val="00963B0F"/>
    <w:rsid w:val="0097113B"/>
    <w:rsid w:val="009731EC"/>
    <w:rsid w:val="00992F7C"/>
    <w:rsid w:val="009B073A"/>
    <w:rsid w:val="009C771E"/>
    <w:rsid w:val="009E21E5"/>
    <w:rsid w:val="00A03566"/>
    <w:rsid w:val="00A07FB6"/>
    <w:rsid w:val="00A301CB"/>
    <w:rsid w:val="00A6035C"/>
    <w:rsid w:val="00A73EB1"/>
    <w:rsid w:val="00A770A0"/>
    <w:rsid w:val="00A94F06"/>
    <w:rsid w:val="00AA76C2"/>
    <w:rsid w:val="00AD1F58"/>
    <w:rsid w:val="00AE0C19"/>
    <w:rsid w:val="00B3672D"/>
    <w:rsid w:val="00B74B2C"/>
    <w:rsid w:val="00B82001"/>
    <w:rsid w:val="00BA1154"/>
    <w:rsid w:val="00BA751A"/>
    <w:rsid w:val="00BB613E"/>
    <w:rsid w:val="00BC2AF0"/>
    <w:rsid w:val="00BE7F21"/>
    <w:rsid w:val="00C10631"/>
    <w:rsid w:val="00C46D24"/>
    <w:rsid w:val="00C7175D"/>
    <w:rsid w:val="00C76CEF"/>
    <w:rsid w:val="00CA1FCA"/>
    <w:rsid w:val="00CB3112"/>
    <w:rsid w:val="00CC1016"/>
    <w:rsid w:val="00CE0AA7"/>
    <w:rsid w:val="00D13647"/>
    <w:rsid w:val="00D320B7"/>
    <w:rsid w:val="00D43478"/>
    <w:rsid w:val="00D50199"/>
    <w:rsid w:val="00D60179"/>
    <w:rsid w:val="00DD145B"/>
    <w:rsid w:val="00E20BCE"/>
    <w:rsid w:val="00E234DD"/>
    <w:rsid w:val="00E57950"/>
    <w:rsid w:val="00E602A3"/>
    <w:rsid w:val="00EB75F0"/>
    <w:rsid w:val="00EC3C28"/>
    <w:rsid w:val="00EC4A96"/>
    <w:rsid w:val="00ED0F7D"/>
    <w:rsid w:val="00ED32C3"/>
    <w:rsid w:val="00EF7E83"/>
    <w:rsid w:val="00F05ABF"/>
    <w:rsid w:val="00F225F2"/>
    <w:rsid w:val="00F814CA"/>
    <w:rsid w:val="00F8258D"/>
    <w:rsid w:val="00F97A05"/>
    <w:rsid w:val="00FA31E6"/>
    <w:rsid w:val="00FA3DF1"/>
    <w:rsid w:val="00FA7EA6"/>
    <w:rsid w:val="00FB722C"/>
    <w:rsid w:val="00FF2EE6"/>
    <w:rsid w:val="00FF6B62"/>
    <w:rsid w:val="026B6B93"/>
    <w:rsid w:val="0664587B"/>
    <w:rsid w:val="07D25766"/>
    <w:rsid w:val="09FF39B4"/>
    <w:rsid w:val="10157CA5"/>
    <w:rsid w:val="10253966"/>
    <w:rsid w:val="11411182"/>
    <w:rsid w:val="13FA6E94"/>
    <w:rsid w:val="1DA72E01"/>
    <w:rsid w:val="219E41B4"/>
    <w:rsid w:val="255E033E"/>
    <w:rsid w:val="27390172"/>
    <w:rsid w:val="29B46213"/>
    <w:rsid w:val="2CCE2491"/>
    <w:rsid w:val="2CF54DC6"/>
    <w:rsid w:val="2F081AB6"/>
    <w:rsid w:val="3D416241"/>
    <w:rsid w:val="3EF97E96"/>
    <w:rsid w:val="401A2F36"/>
    <w:rsid w:val="40896BB6"/>
    <w:rsid w:val="457D21A1"/>
    <w:rsid w:val="475D1DE5"/>
    <w:rsid w:val="4BB258BA"/>
    <w:rsid w:val="507C1CF5"/>
    <w:rsid w:val="566213E8"/>
    <w:rsid w:val="57193076"/>
    <w:rsid w:val="59CD0B3E"/>
    <w:rsid w:val="5F0D643E"/>
    <w:rsid w:val="61773BFF"/>
    <w:rsid w:val="621B3808"/>
    <w:rsid w:val="656211BC"/>
    <w:rsid w:val="67E4782B"/>
    <w:rsid w:val="735F6AA0"/>
    <w:rsid w:val="746766E2"/>
    <w:rsid w:val="74EA7B66"/>
    <w:rsid w:val="753D32BA"/>
    <w:rsid w:val="78186405"/>
    <w:rsid w:val="79593A68"/>
    <w:rsid w:val="7D417A4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nhideWhenUsed="0" w:uiPriority="99"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0"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1"/>
    <w:qFormat/>
    <w:uiPriority w:val="99"/>
    <w:pPr>
      <w:spacing w:beforeAutospacing="1" w:afterAutospacing="1"/>
      <w:jc w:val="left"/>
      <w:outlineLvl w:val="4"/>
    </w:pPr>
    <w:rPr>
      <w:rFonts w:ascii="宋体" w:hAnsi="宋体"/>
      <w:b/>
      <w:kern w:val="0"/>
      <w:sz w:val="20"/>
      <w:szCs w:val="20"/>
    </w:rPr>
  </w:style>
  <w:style w:type="character" w:default="1" w:styleId="9">
    <w:name w:val="Default Paragraph Font"/>
    <w:semiHidden/>
    <w:qFormat/>
    <w:uiPriority w:val="99"/>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link w:val="12"/>
    <w:qFormat/>
    <w:uiPriority w:val="99"/>
    <w:pPr>
      <w:spacing w:line="500" w:lineRule="exact"/>
      <w:ind w:firstLine="640" w:firstLineChars="200"/>
    </w:pPr>
    <w:rPr>
      <w:rFonts w:ascii="宋体"/>
      <w:sz w:val="32"/>
    </w:rPr>
  </w:style>
  <w:style w:type="paragraph" w:styleId="4">
    <w:name w:val="Plain Text"/>
    <w:basedOn w:val="1"/>
    <w:link w:val="13"/>
    <w:qFormat/>
    <w:uiPriority w:val="99"/>
    <w:rPr>
      <w:rFonts w:ascii="宋体" w:hAnsi="Courier New" w:cs="Courier New"/>
      <w:szCs w:val="21"/>
    </w:rPr>
  </w:style>
  <w:style w:type="paragraph" w:styleId="5">
    <w:name w:val="footer"/>
    <w:basedOn w:val="1"/>
    <w:link w:val="14"/>
    <w:qFormat/>
    <w:uiPriority w:val="99"/>
    <w:pPr>
      <w:tabs>
        <w:tab w:val="center" w:pos="4153"/>
        <w:tab w:val="right" w:pos="8306"/>
      </w:tabs>
      <w:snapToGrid w:val="0"/>
      <w:jc w:val="left"/>
    </w:pPr>
    <w:rPr>
      <w:sz w:val="18"/>
      <w:szCs w:val="18"/>
    </w:rPr>
  </w:style>
  <w:style w:type="paragraph" w:styleId="6">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spacing w:beforeAutospacing="1" w:afterAutospacing="1"/>
      <w:jc w:val="left"/>
    </w:pPr>
    <w:rPr>
      <w:kern w:val="0"/>
      <w:sz w:val="24"/>
    </w:rPr>
  </w:style>
  <w:style w:type="character" w:styleId="10">
    <w:name w:val="Strong"/>
    <w:basedOn w:val="9"/>
    <w:qFormat/>
    <w:uiPriority w:val="99"/>
    <w:rPr>
      <w:rFonts w:cs="Times New Roman"/>
      <w:b/>
    </w:rPr>
  </w:style>
  <w:style w:type="character" w:customStyle="1" w:styleId="11">
    <w:name w:val="Heading 5 Char"/>
    <w:basedOn w:val="9"/>
    <w:link w:val="2"/>
    <w:semiHidden/>
    <w:qFormat/>
    <w:locked/>
    <w:uiPriority w:val="99"/>
    <w:rPr>
      <w:rFonts w:ascii="Calibri" w:hAnsi="Calibri" w:cs="Times New Roman"/>
      <w:b/>
      <w:bCs/>
      <w:sz w:val="28"/>
      <w:szCs w:val="28"/>
    </w:rPr>
  </w:style>
  <w:style w:type="character" w:customStyle="1" w:styleId="12">
    <w:name w:val="Body Text Indent Char"/>
    <w:basedOn w:val="9"/>
    <w:link w:val="3"/>
    <w:semiHidden/>
    <w:qFormat/>
    <w:locked/>
    <w:uiPriority w:val="99"/>
    <w:rPr>
      <w:rFonts w:ascii="Calibri" w:hAnsi="Calibri" w:cs="Times New Roman"/>
      <w:sz w:val="24"/>
      <w:szCs w:val="24"/>
    </w:rPr>
  </w:style>
  <w:style w:type="character" w:customStyle="1" w:styleId="13">
    <w:name w:val="Plain Text Char"/>
    <w:basedOn w:val="9"/>
    <w:link w:val="4"/>
    <w:semiHidden/>
    <w:qFormat/>
    <w:locked/>
    <w:uiPriority w:val="99"/>
    <w:rPr>
      <w:rFonts w:ascii="宋体" w:hAnsi="Courier New" w:cs="Courier New"/>
      <w:sz w:val="21"/>
      <w:szCs w:val="21"/>
    </w:rPr>
  </w:style>
  <w:style w:type="character" w:customStyle="1" w:styleId="14">
    <w:name w:val="Footer Char"/>
    <w:basedOn w:val="9"/>
    <w:link w:val="5"/>
    <w:semiHidden/>
    <w:qFormat/>
    <w:locked/>
    <w:uiPriority w:val="99"/>
    <w:rPr>
      <w:rFonts w:ascii="Calibri" w:hAnsi="Calibri" w:cs="Times New Roman"/>
      <w:sz w:val="18"/>
      <w:szCs w:val="18"/>
    </w:rPr>
  </w:style>
  <w:style w:type="character" w:customStyle="1" w:styleId="15">
    <w:name w:val="Header Char"/>
    <w:basedOn w:val="9"/>
    <w:link w:val="6"/>
    <w:semiHidden/>
    <w:qFormat/>
    <w:locked/>
    <w:uiPriority w:val="99"/>
    <w:rPr>
      <w:rFonts w:ascii="Calibri" w:hAnsi="Calibri" w:cs="Times New Roman"/>
      <w:sz w:val="18"/>
      <w:szCs w:val="18"/>
    </w:rPr>
  </w:style>
  <w:style w:type="paragraph" w:customStyle="1" w:styleId="16">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7">
    <w:name w:val="ca-2"/>
    <w:basedOn w:val="9"/>
    <w:qFormat/>
    <w:uiPriority w:val="99"/>
    <w:rPr>
      <w:rFonts w:cs="Times New Roman"/>
    </w:rPr>
  </w:style>
  <w:style w:type="paragraph" w:customStyle="1" w:styleId="18">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9">
    <w:name w:val="ca-3"/>
    <w:basedOn w:val="9"/>
    <w:qFormat/>
    <w:uiPriority w:val="99"/>
    <w:rPr>
      <w:rFonts w:cs="Times New Roman"/>
    </w:rPr>
  </w:style>
  <w:style w:type="character" w:customStyle="1" w:styleId="20">
    <w:name w:val="apple-converted-space"/>
    <w:basedOn w:val="9"/>
    <w:qFormat/>
    <w:uiPriority w:val="99"/>
    <w:rPr>
      <w:rFonts w:cs="Times New Roman"/>
    </w:rPr>
  </w:style>
  <w:style w:type="paragraph" w:customStyle="1" w:styleId="21">
    <w:name w:val="pa-1"/>
    <w:basedOn w:val="1"/>
    <w:qFormat/>
    <w:uiPriority w:val="99"/>
    <w:pPr>
      <w:widowControl/>
      <w:spacing w:before="100" w:beforeAutospacing="1" w:after="100" w:afterAutospacing="1"/>
      <w:jc w:val="left"/>
    </w:pPr>
    <w:rPr>
      <w:rFonts w:ascii="宋体" w:hAnsi="宋体" w:cs="宋体"/>
      <w:kern w:val="0"/>
      <w:sz w:val="24"/>
    </w:rPr>
  </w:style>
  <w:style w:type="paragraph" w:customStyle="1" w:styleId="22">
    <w:name w:val="Normal (Web)2"/>
    <w:basedOn w:val="1"/>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Pages>20</Pages>
  <Words>3557</Words>
  <Characters>3868</Characters>
  <Lines>0</Lines>
  <Paragraphs>0</Paragraphs>
  <TotalTime>1</TotalTime>
  <ScaleCrop>false</ScaleCrop>
  <LinksUpToDate>false</LinksUpToDate>
  <CharactersWithSpaces>3885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南有乔木</cp:lastModifiedBy>
  <dcterms:modified xsi:type="dcterms:W3CDTF">2023-09-28T06:32:42Z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BD70CAAFC51C4C528CB9644331B2A044</vt:lpwstr>
  </property>
</Properties>
</file>