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信访局</w:t>
      </w:r>
      <w:r>
        <w:rPr>
          <w:rFonts w:ascii="微软雅黑" w:hAnsi="微软雅黑" w:eastAsia="微软雅黑" w:cs="微软雅黑"/>
          <w:color w:val="BC1010"/>
          <w:sz w:val="40"/>
          <w:szCs w:val="40"/>
          <w:shd w:val="clear" w:color="auto" w:fill="FFFFFF"/>
        </w:rPr>
        <w:t>2020</w:t>
      </w:r>
      <w:r>
        <w:rPr>
          <w:rFonts w:hint="eastAsia" w:ascii="微软雅黑" w:hAnsi="微软雅黑" w:eastAsia="微软雅黑" w:cs="微软雅黑"/>
          <w:color w:val="BC1010"/>
          <w:sz w:val="40"/>
          <w:szCs w:val="40"/>
          <w:shd w:val="clear" w:color="auto" w:fill="FFFFFF"/>
        </w:rPr>
        <w:t>年决算公开</w:t>
      </w:r>
    </w:p>
    <w:p>
      <w:pPr>
        <w:pStyle w:val="6"/>
        <w:widowControl/>
        <w:spacing w:before="76" w:beforeAutospacing="0" w:after="76" w:afterAutospacing="0" w:line="450" w:lineRule="atLeast"/>
        <w:ind w:firstLine="420"/>
        <w:jc w:val="center"/>
        <w:rPr>
          <w:color w:val="333333"/>
        </w:rPr>
      </w:pPr>
      <w:r>
        <w:rPr>
          <w:rStyle w:val="9"/>
          <w:rFonts w:hint="eastAsia" w:ascii="微软雅黑" w:hAnsi="微软雅黑" w:eastAsia="微软雅黑" w:cs="微软雅黑"/>
          <w:color w:val="333333"/>
          <w:shd w:val="clear" w:color="auto" w:fill="FFFFFF"/>
        </w:rPr>
        <w:t>黄石港区信访局</w:t>
      </w:r>
      <w:r>
        <w:rPr>
          <w:rStyle w:val="9"/>
          <w:rFonts w:ascii="微软雅黑" w:hAnsi="微软雅黑" w:eastAsia="微软雅黑" w:cs="微软雅黑"/>
          <w:color w:val="333333"/>
          <w:shd w:val="clear" w:color="auto" w:fill="FFFFFF"/>
        </w:rPr>
        <w:t>2020</w:t>
      </w:r>
      <w:r>
        <w:rPr>
          <w:rStyle w:val="9"/>
          <w:rFonts w:hint="eastAsia" w:ascii="微软雅黑" w:hAnsi="微软雅黑" w:eastAsia="微软雅黑" w:cs="微软雅黑"/>
          <w:color w:val="333333"/>
          <w:shd w:val="clear" w:color="auto" w:fill="FFFFFF"/>
        </w:rPr>
        <w:t>年决算公开</w:t>
      </w:r>
    </w:p>
    <w:p>
      <w:pPr>
        <w:pStyle w:val="6"/>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录</w:t>
      </w:r>
    </w:p>
    <w:p>
      <w:pPr>
        <w:pStyle w:val="14"/>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第一部分</w:t>
      </w:r>
      <w:r>
        <w:rPr>
          <w:rFonts w:ascii="微软雅黑" w:hAnsi="微软雅黑" w:eastAsia="微软雅黑" w:cs="微软雅黑"/>
          <w:color w:val="333333"/>
          <w:shd w:val="clear" w:color="090000" w:fill="FFFFFF"/>
        </w:rPr>
        <w:t>:</w:t>
      </w:r>
      <w:r>
        <w:rPr>
          <w:rFonts w:hint="eastAsia" w:ascii="微软雅黑" w:hAnsi="微软雅黑" w:eastAsia="微软雅黑" w:cs="微软雅黑"/>
          <w:color w:val="333333"/>
          <w:shd w:val="clear" w:color="090000" w:fill="FFFFFF"/>
        </w:rPr>
        <w:t>部门基本情况</w:t>
      </w:r>
    </w:p>
    <w:p>
      <w:pPr>
        <w:pStyle w:val="14"/>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一、部门主要职责</w:t>
      </w:r>
    </w:p>
    <w:p>
      <w:pPr>
        <w:pStyle w:val="14"/>
        <w:spacing w:before="76" w:beforeAutospacing="0" w:after="76" w:afterAutospacing="0" w:line="450" w:lineRule="atLeast"/>
        <w:ind w:firstLine="420"/>
        <w:rPr>
          <w:rFonts w:ascii="微软雅黑" w:hAnsi="微软雅黑" w:eastAsia="微软雅黑" w:cs="微软雅黑"/>
          <w:color w:val="333333"/>
          <w:shd w:val="clear" w:color="090000" w:fill="FFFFFF"/>
        </w:rPr>
      </w:pPr>
      <w:r>
        <w:rPr>
          <w:rFonts w:hint="eastAsia" w:ascii="微软雅黑" w:hAnsi="微软雅黑" w:eastAsia="微软雅黑" w:cs="微软雅黑"/>
          <w:color w:val="333333"/>
          <w:shd w:val="clear" w:color="090000" w:fill="FFFFFF"/>
        </w:rPr>
        <w:t>二、部门决算单位构成</w:t>
      </w:r>
      <w:r>
        <w:rPr>
          <w:rFonts w:ascii="微软雅黑" w:hAnsi="微软雅黑" w:eastAsia="微软雅黑" w:cs="微软雅黑"/>
          <w:color w:val="333333"/>
          <w:shd w:val="clear" w:color="090000" w:fill="FFFFFF"/>
        </w:rPr>
        <w:t xml:space="preserve"> </w:t>
      </w:r>
    </w:p>
    <w:p>
      <w:pPr>
        <w:pStyle w:val="14"/>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第二部分</w:t>
      </w:r>
      <w:r>
        <w:rPr>
          <w:rFonts w:ascii="微软雅黑" w:hAnsi="微软雅黑" w:eastAsia="微软雅黑" w:cs="微软雅黑"/>
          <w:color w:val="333333"/>
          <w:shd w:val="clear" w:color="090000" w:fill="FFFFFF"/>
        </w:rPr>
        <w:t xml:space="preserve">: </w:t>
      </w:r>
      <w:r>
        <w:rPr>
          <w:rFonts w:hint="eastAsia" w:ascii="微软雅黑" w:hAnsi="微软雅黑" w:eastAsia="微软雅黑" w:cs="微软雅黑"/>
          <w:color w:val="333333"/>
          <w:shd w:val="clear" w:color="090000" w:fill="FFFFFF"/>
        </w:rPr>
        <w:t>部门</w:t>
      </w:r>
      <w:r>
        <w:rPr>
          <w:rFonts w:ascii="微软雅黑" w:hAnsi="微软雅黑" w:eastAsia="微软雅黑" w:cs="微软雅黑"/>
          <w:color w:val="333333"/>
          <w:shd w:val="clear" w:color="090000" w:fill="FFFFFF"/>
        </w:rPr>
        <w:t>2020</w:t>
      </w:r>
      <w:r>
        <w:rPr>
          <w:rFonts w:hint="eastAsia" w:ascii="微软雅黑" w:hAnsi="微软雅黑" w:eastAsia="微软雅黑" w:cs="微软雅黑"/>
          <w:color w:val="333333"/>
          <w:shd w:val="clear" w:color="090000" w:fill="FFFFFF"/>
        </w:rPr>
        <w:t>年部门决算表</w:t>
      </w:r>
    </w:p>
    <w:p>
      <w:pPr>
        <w:pStyle w:val="14"/>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一、收入支出决算总表（表</w:t>
      </w:r>
      <w:r>
        <w:rPr>
          <w:rFonts w:ascii="微软雅黑" w:hAnsi="微软雅黑" w:eastAsia="微软雅黑" w:cs="微软雅黑"/>
          <w:color w:val="333333"/>
          <w:shd w:val="clear" w:color="090000" w:fill="FFFFFF"/>
        </w:rPr>
        <w:t>1</w:t>
      </w:r>
      <w:r>
        <w:rPr>
          <w:rFonts w:hint="eastAsia" w:ascii="微软雅黑" w:hAnsi="微软雅黑" w:eastAsia="微软雅黑" w:cs="微软雅黑"/>
          <w:color w:val="333333"/>
          <w:shd w:val="clear" w:color="090000" w:fill="FFFFFF"/>
        </w:rPr>
        <w:t>）</w:t>
      </w:r>
    </w:p>
    <w:p>
      <w:pPr>
        <w:pStyle w:val="14"/>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二、收入决算表（表</w:t>
      </w:r>
      <w:r>
        <w:rPr>
          <w:rFonts w:ascii="微软雅黑" w:hAnsi="微软雅黑" w:eastAsia="微软雅黑" w:cs="微软雅黑"/>
          <w:color w:val="333333"/>
          <w:shd w:val="clear" w:color="090000" w:fill="FFFFFF"/>
        </w:rPr>
        <w:t>2</w:t>
      </w:r>
      <w:r>
        <w:rPr>
          <w:rFonts w:hint="eastAsia" w:ascii="微软雅黑" w:hAnsi="微软雅黑" w:eastAsia="微软雅黑" w:cs="微软雅黑"/>
          <w:color w:val="333333"/>
          <w:shd w:val="clear" w:color="090000" w:fill="FFFFFF"/>
        </w:rPr>
        <w:t>）</w:t>
      </w:r>
    </w:p>
    <w:p>
      <w:pPr>
        <w:pStyle w:val="14"/>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三、支出决算表（表</w:t>
      </w:r>
      <w:r>
        <w:rPr>
          <w:rFonts w:ascii="微软雅黑" w:hAnsi="微软雅黑" w:eastAsia="微软雅黑" w:cs="微软雅黑"/>
          <w:color w:val="333333"/>
          <w:shd w:val="clear" w:color="090000" w:fill="FFFFFF"/>
        </w:rPr>
        <w:t>3</w:t>
      </w:r>
      <w:r>
        <w:rPr>
          <w:rFonts w:hint="eastAsia" w:ascii="微软雅黑" w:hAnsi="微软雅黑" w:eastAsia="微软雅黑" w:cs="微软雅黑"/>
          <w:color w:val="333333"/>
          <w:shd w:val="clear" w:color="090000" w:fill="FFFFFF"/>
        </w:rPr>
        <w:t>）</w:t>
      </w:r>
    </w:p>
    <w:p>
      <w:pPr>
        <w:pStyle w:val="14"/>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四、财政拨款收入支出决算总表（表</w:t>
      </w:r>
      <w:r>
        <w:rPr>
          <w:rFonts w:ascii="微软雅黑" w:hAnsi="微软雅黑" w:eastAsia="微软雅黑" w:cs="微软雅黑"/>
          <w:color w:val="333333"/>
          <w:shd w:val="clear" w:color="090000" w:fill="FFFFFF"/>
        </w:rPr>
        <w:t>4</w:t>
      </w:r>
      <w:r>
        <w:rPr>
          <w:rFonts w:hint="eastAsia" w:ascii="微软雅黑" w:hAnsi="微软雅黑" w:eastAsia="微软雅黑" w:cs="微软雅黑"/>
          <w:color w:val="333333"/>
          <w:shd w:val="clear" w:color="090000" w:fill="FFFFFF"/>
        </w:rPr>
        <w:t>）</w:t>
      </w:r>
    </w:p>
    <w:p>
      <w:pPr>
        <w:pStyle w:val="14"/>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五、一般公共预算财政拨款支出决算表（表</w:t>
      </w:r>
      <w:r>
        <w:rPr>
          <w:rFonts w:ascii="微软雅黑" w:hAnsi="微软雅黑" w:eastAsia="微软雅黑" w:cs="微软雅黑"/>
          <w:color w:val="333333"/>
          <w:shd w:val="clear" w:color="090000" w:fill="FFFFFF"/>
        </w:rPr>
        <w:t>5</w:t>
      </w:r>
      <w:r>
        <w:rPr>
          <w:rFonts w:hint="eastAsia" w:ascii="微软雅黑" w:hAnsi="微软雅黑" w:eastAsia="微软雅黑" w:cs="微软雅黑"/>
          <w:color w:val="333333"/>
          <w:shd w:val="clear" w:color="090000" w:fill="FFFFFF"/>
        </w:rPr>
        <w:t>）</w:t>
      </w:r>
    </w:p>
    <w:p>
      <w:pPr>
        <w:pStyle w:val="14"/>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六、一般公共预算财政拨款基本支出决算表（表</w:t>
      </w:r>
      <w:r>
        <w:rPr>
          <w:rFonts w:ascii="微软雅黑" w:hAnsi="微软雅黑" w:eastAsia="微软雅黑" w:cs="微软雅黑"/>
          <w:color w:val="333333"/>
          <w:shd w:val="clear" w:color="090000" w:fill="FFFFFF"/>
        </w:rPr>
        <w:t>6</w:t>
      </w:r>
      <w:r>
        <w:rPr>
          <w:rFonts w:hint="eastAsia" w:ascii="微软雅黑" w:hAnsi="微软雅黑" w:eastAsia="微软雅黑" w:cs="微软雅黑"/>
          <w:color w:val="333333"/>
          <w:shd w:val="clear" w:color="090000" w:fill="FFFFFF"/>
        </w:rPr>
        <w:t>）</w:t>
      </w:r>
    </w:p>
    <w:p>
      <w:pPr>
        <w:pStyle w:val="14"/>
        <w:spacing w:before="76" w:beforeAutospacing="0" w:after="76" w:afterAutospacing="0" w:line="450" w:lineRule="atLeast"/>
        <w:ind w:firstLine="420"/>
        <w:rPr>
          <w:rFonts w:hint="eastAsia" w:ascii="微软雅黑" w:hAnsi="微软雅黑" w:eastAsia="微软雅黑" w:cs="微软雅黑"/>
          <w:color w:val="333333"/>
          <w:shd w:val="clear" w:color="090000" w:fill="FFFFFF"/>
        </w:rPr>
      </w:pPr>
      <w:r>
        <w:rPr>
          <w:rFonts w:hint="eastAsia" w:ascii="微软雅黑" w:hAnsi="微软雅黑" w:eastAsia="微软雅黑" w:cs="微软雅黑"/>
          <w:color w:val="333333"/>
          <w:shd w:val="clear" w:color="090000" w:fill="FFFFFF"/>
        </w:rPr>
        <w:t>七、一般公共预算财政拨款“三公”经费支出决算表（表</w:t>
      </w:r>
      <w:r>
        <w:rPr>
          <w:rFonts w:ascii="微软雅黑" w:hAnsi="微软雅黑" w:eastAsia="微软雅黑" w:cs="微软雅黑"/>
          <w:color w:val="333333"/>
          <w:shd w:val="clear" w:color="090000" w:fill="FFFFFF"/>
        </w:rPr>
        <w:t>7</w:t>
      </w:r>
      <w:r>
        <w:rPr>
          <w:rFonts w:hint="eastAsia" w:ascii="微软雅黑" w:hAnsi="微软雅黑" w:eastAsia="微软雅黑" w:cs="微软雅黑"/>
          <w:color w:val="333333"/>
          <w:shd w:val="clear" w:color="090000"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default"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14"/>
        <w:spacing w:before="76" w:beforeAutospacing="0" w:after="76" w:afterAutospacing="0" w:line="450" w:lineRule="atLeast"/>
        <w:ind w:firstLine="480" w:firstLineChars="200"/>
        <w:rPr>
          <w:color w:val="333333"/>
        </w:rPr>
      </w:pPr>
      <w:r>
        <w:rPr>
          <w:rFonts w:hint="eastAsia" w:ascii="微软雅黑" w:hAnsi="微软雅黑" w:eastAsia="微软雅黑" w:cs="微软雅黑"/>
          <w:color w:val="333333"/>
          <w:shd w:val="clear" w:color="090000" w:fill="FFFFFF"/>
        </w:rPr>
        <w:t>第三部分：部门</w:t>
      </w:r>
      <w:r>
        <w:rPr>
          <w:rFonts w:ascii="微软雅黑" w:hAnsi="微软雅黑" w:eastAsia="微软雅黑" w:cs="微软雅黑"/>
          <w:color w:val="333333"/>
          <w:shd w:val="clear" w:color="090000" w:fill="FFFFFF"/>
        </w:rPr>
        <w:t>2020</w:t>
      </w:r>
      <w:r>
        <w:rPr>
          <w:rFonts w:hint="eastAsia" w:ascii="微软雅黑" w:hAnsi="微软雅黑" w:eastAsia="微软雅黑" w:cs="微软雅黑"/>
          <w:color w:val="333333"/>
          <w:shd w:val="clear" w:color="090000" w:fill="FFFFFF"/>
        </w:rPr>
        <w:t>年部门决算情况说明</w:t>
      </w:r>
    </w:p>
    <w:p>
      <w:pPr>
        <w:pStyle w:val="6"/>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6"/>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6"/>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6"/>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6"/>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6"/>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六、重点绩效评价结果等预算绩效情况说明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七、决算收支增减变化情况</w:t>
      </w:r>
    </w:p>
    <w:p>
      <w:pPr>
        <w:pStyle w:val="6"/>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p>
    <w:p>
      <w:pPr>
        <w:pStyle w:val="14"/>
        <w:spacing w:before="76" w:beforeAutospacing="0" w:after="76" w:afterAutospacing="0" w:line="450" w:lineRule="atLeast"/>
        <w:ind w:firstLine="240" w:firstLineChars="100"/>
        <w:rPr>
          <w:color w:val="333333"/>
        </w:rPr>
      </w:pPr>
      <w:r>
        <w:rPr>
          <w:rFonts w:hint="eastAsia" w:ascii="微软雅黑" w:hAnsi="微软雅黑" w:eastAsia="微软雅黑" w:cs="微软雅黑"/>
          <w:color w:val="333333"/>
          <w:shd w:val="clear" w:color="090000" w:fill="FFFFFF"/>
        </w:rPr>
        <w:t>第四部分：名词解释</w:t>
      </w:r>
      <w:r>
        <w:rPr>
          <w:rFonts w:ascii="微软雅黑" w:hAnsi="微软雅黑" w:eastAsia="微软雅黑" w:cs="微软雅黑"/>
          <w:color w:val="333333"/>
          <w:shd w:val="clear" w:color="090000" w:fill="FFFFFF"/>
        </w:rPr>
        <w:t> </w:t>
      </w:r>
    </w:p>
    <w:p>
      <w:pPr>
        <w:pStyle w:val="6"/>
        <w:widowControl/>
        <w:spacing w:before="76" w:beforeAutospacing="0" w:after="76" w:afterAutospacing="0" w:line="450" w:lineRule="atLeast"/>
        <w:ind w:firstLine="420"/>
        <w:jc w:val="center"/>
        <w:rPr>
          <w:rStyle w:val="9"/>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jc w:val="center"/>
        <w:rPr>
          <w:rStyle w:val="9"/>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jc w:val="center"/>
        <w:rPr>
          <w:rStyle w:val="9"/>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jc w:val="center"/>
        <w:rPr>
          <w:color w:val="333333"/>
        </w:rPr>
      </w:pPr>
      <w:r>
        <w:rPr>
          <w:rStyle w:val="9"/>
          <w:rFonts w:ascii="微软雅黑" w:hAnsi="微软雅黑" w:eastAsia="微软雅黑" w:cs="微软雅黑"/>
          <w:color w:val="333333"/>
          <w:shd w:val="clear" w:color="auto" w:fill="FFFFFF"/>
        </w:rPr>
        <w:t>2020</w:t>
      </w:r>
      <w:r>
        <w:rPr>
          <w:rStyle w:val="9"/>
          <w:rFonts w:hint="eastAsia" w:ascii="微软雅黑" w:hAnsi="微软雅黑" w:eastAsia="微软雅黑" w:cs="微软雅黑"/>
          <w:color w:val="333333"/>
          <w:shd w:val="clear" w:color="auto" w:fill="FFFFFF"/>
        </w:rPr>
        <w:t>年部门决算</w:t>
      </w:r>
    </w:p>
    <w:p>
      <w:pPr>
        <w:pStyle w:val="14"/>
        <w:spacing w:before="76" w:beforeAutospacing="0" w:after="76" w:afterAutospacing="0" w:line="450" w:lineRule="atLeast"/>
        <w:ind w:firstLine="420"/>
        <w:rPr>
          <w:b/>
          <w:color w:val="333333"/>
        </w:rPr>
      </w:pPr>
      <w:r>
        <w:rPr>
          <w:rFonts w:hint="eastAsia" w:ascii="微软雅黑" w:hAnsi="微软雅黑" w:eastAsia="微软雅黑" w:cs="微软雅黑"/>
          <w:b/>
          <w:color w:val="333333"/>
          <w:shd w:val="clear" w:color="090000" w:fill="FFFFFF"/>
        </w:rPr>
        <w:t>第一部分</w:t>
      </w:r>
      <w:r>
        <w:rPr>
          <w:rFonts w:ascii="微软雅黑" w:hAnsi="微软雅黑" w:eastAsia="微软雅黑" w:cs="微软雅黑"/>
          <w:b/>
          <w:color w:val="333333"/>
          <w:shd w:val="clear" w:color="090000" w:fill="FFFFFF"/>
        </w:rPr>
        <w:t>:</w:t>
      </w:r>
      <w:r>
        <w:rPr>
          <w:rFonts w:hint="eastAsia" w:ascii="微软雅黑" w:hAnsi="微软雅黑" w:eastAsia="微软雅黑" w:cs="微软雅黑"/>
          <w:b/>
          <w:color w:val="333333"/>
          <w:shd w:val="clear" w:color="090000" w:fill="FFFFFF"/>
        </w:rPr>
        <w:t>部门基本情况</w:t>
      </w:r>
    </w:p>
    <w:p>
      <w:pPr>
        <w:shd w:val="clear" w:color="auto" w:fill="FFFFFF"/>
        <w:snapToGrid w:val="0"/>
        <w:spacing w:line="560" w:lineRule="atLeast"/>
        <w:ind w:firstLine="562"/>
        <w:rPr>
          <w:rFonts w:ascii="宋体" w:hAnsi="宋体" w:cs="宋体"/>
          <w:sz w:val="28"/>
          <w:szCs w:val="28"/>
        </w:rPr>
      </w:pPr>
      <w:r>
        <w:rPr>
          <w:rFonts w:ascii="宋体" w:hAnsi="宋体" w:cs="宋体"/>
          <w:sz w:val="28"/>
          <w:szCs w:val="28"/>
        </w:rPr>
        <w:t>1</w:t>
      </w:r>
      <w:r>
        <w:rPr>
          <w:rFonts w:hint="eastAsia" w:ascii="宋体" w:hAnsi="宋体" w:cs="宋体"/>
          <w:sz w:val="28"/>
          <w:szCs w:val="28"/>
        </w:rPr>
        <w:t>、基本职能</w:t>
      </w:r>
      <w:r>
        <w:rPr>
          <w:rFonts w:ascii="宋体" w:hAnsi="宋体" w:cs="宋体"/>
          <w:sz w:val="28"/>
          <w:szCs w:val="28"/>
        </w:rPr>
        <w:t xml:space="preserve"> </w:t>
      </w:r>
    </w:p>
    <w:p>
      <w:pPr>
        <w:pStyle w:val="6"/>
        <w:shd w:val="clear" w:color="auto" w:fill="FFFFFF"/>
        <w:adjustRightInd w:val="0"/>
        <w:snapToGrid w:val="0"/>
        <w:spacing w:beforeAutospacing="0" w:afterAutospacing="0" w:line="560" w:lineRule="exact"/>
        <w:ind w:firstLine="280" w:firstLineChars="100"/>
        <w:rPr>
          <w:rFonts w:ascii="宋体" w:cs="Arial"/>
          <w:color w:val="333333"/>
          <w:sz w:val="28"/>
          <w:szCs w:val="28"/>
        </w:rPr>
      </w:pPr>
      <w:r>
        <w:rPr>
          <w:rFonts w:hint="eastAsia" w:ascii="宋体" w:hAnsi="宋体" w:cs="Arial"/>
          <w:color w:val="333333"/>
          <w:sz w:val="28"/>
          <w:szCs w:val="28"/>
        </w:rPr>
        <w:t>（一）受理人民群众给区委、区政府及其领导同志的来信</w:t>
      </w:r>
      <w:r>
        <w:rPr>
          <w:rFonts w:ascii="宋体" w:hAnsi="宋体" w:cs="Arial"/>
          <w:color w:val="333333"/>
          <w:sz w:val="28"/>
          <w:szCs w:val="28"/>
        </w:rPr>
        <w:t>;</w:t>
      </w:r>
      <w:r>
        <w:rPr>
          <w:rFonts w:hint="eastAsia" w:ascii="宋体" w:hAnsi="宋体" w:cs="Arial"/>
          <w:color w:val="333333"/>
          <w:sz w:val="28"/>
          <w:szCs w:val="28"/>
        </w:rPr>
        <w:t>协助区委、区政府领导做好接访和约访工作。</w:t>
      </w:r>
    </w:p>
    <w:p>
      <w:pPr>
        <w:pStyle w:val="6"/>
        <w:shd w:val="clear" w:color="auto" w:fill="FFFFFF"/>
        <w:adjustRightInd w:val="0"/>
        <w:snapToGrid w:val="0"/>
        <w:spacing w:beforeAutospacing="0" w:afterAutospacing="0" w:line="560" w:lineRule="exact"/>
        <w:ind w:firstLine="280" w:firstLineChars="100"/>
        <w:rPr>
          <w:rFonts w:ascii="宋体" w:cs="Arial"/>
          <w:color w:val="333333"/>
          <w:sz w:val="28"/>
          <w:szCs w:val="28"/>
        </w:rPr>
      </w:pPr>
      <w:r>
        <w:rPr>
          <w:rFonts w:hint="eastAsia" w:ascii="宋体" w:hAnsi="宋体" w:cs="Arial"/>
          <w:color w:val="333333"/>
          <w:sz w:val="28"/>
          <w:szCs w:val="28"/>
        </w:rPr>
        <w:t>（二）承办上级国家机关及其信访工作机构向区委、区政府及其领导同志交办的信访事项，并要求及时回复、报告办理结果。</w:t>
      </w:r>
    </w:p>
    <w:p>
      <w:pPr>
        <w:pStyle w:val="6"/>
        <w:shd w:val="clear" w:color="auto" w:fill="FFFFFF"/>
        <w:tabs>
          <w:tab w:val="right" w:pos="13958"/>
        </w:tabs>
        <w:adjustRightInd w:val="0"/>
        <w:snapToGrid w:val="0"/>
        <w:spacing w:beforeAutospacing="0" w:afterAutospacing="0" w:line="560" w:lineRule="exact"/>
        <w:ind w:firstLine="280" w:firstLineChars="100"/>
        <w:rPr>
          <w:rFonts w:ascii="宋体" w:cs="Arial"/>
          <w:color w:val="333333"/>
          <w:sz w:val="28"/>
          <w:szCs w:val="28"/>
        </w:rPr>
      </w:pPr>
      <w:r>
        <w:rPr>
          <w:rFonts w:hint="eastAsia" w:ascii="宋体" w:hAnsi="宋体" w:cs="Arial"/>
          <w:color w:val="333333"/>
          <w:sz w:val="28"/>
          <w:szCs w:val="28"/>
        </w:rPr>
        <w:t>（三）统筹、督办、分析、通报全区网上信访工作情况。</w:t>
      </w:r>
      <w:r>
        <w:rPr>
          <w:rFonts w:ascii="宋体" w:cs="Arial"/>
          <w:color w:val="333333"/>
          <w:sz w:val="28"/>
          <w:szCs w:val="28"/>
        </w:rPr>
        <w:tab/>
      </w:r>
    </w:p>
    <w:p>
      <w:pPr>
        <w:pStyle w:val="6"/>
        <w:shd w:val="clear" w:color="auto" w:fill="FFFFFF"/>
        <w:adjustRightInd w:val="0"/>
        <w:snapToGrid w:val="0"/>
        <w:spacing w:beforeAutospacing="0" w:afterAutospacing="0" w:line="560" w:lineRule="exact"/>
        <w:ind w:firstLine="280" w:firstLineChars="100"/>
        <w:rPr>
          <w:rFonts w:ascii="宋体" w:cs="Arial"/>
          <w:color w:val="333333"/>
          <w:sz w:val="28"/>
          <w:szCs w:val="28"/>
        </w:rPr>
      </w:pPr>
      <w:r>
        <w:rPr>
          <w:rFonts w:hint="eastAsia" w:ascii="宋体" w:hAnsi="宋体" w:cs="Arial"/>
          <w:color w:val="333333"/>
          <w:sz w:val="28"/>
          <w:szCs w:val="28"/>
        </w:rPr>
        <w:t>（四）向区委、区政府及其领导同志提供群众来信来访及网上信访中的重要信息，及时反映倾向性、动态性问题和影响社会稳定的事件。</w:t>
      </w:r>
    </w:p>
    <w:p>
      <w:pPr>
        <w:pStyle w:val="6"/>
        <w:shd w:val="clear" w:color="auto" w:fill="FFFFFF"/>
        <w:adjustRightInd w:val="0"/>
        <w:snapToGrid w:val="0"/>
        <w:spacing w:beforeAutospacing="0" w:afterAutospacing="0" w:line="560" w:lineRule="exact"/>
        <w:ind w:firstLine="280" w:firstLineChars="100"/>
        <w:rPr>
          <w:rFonts w:ascii="宋体" w:cs="Arial"/>
          <w:color w:val="333333"/>
          <w:sz w:val="28"/>
          <w:szCs w:val="28"/>
        </w:rPr>
      </w:pPr>
      <w:r>
        <w:rPr>
          <w:rFonts w:hint="eastAsia" w:ascii="宋体" w:hAnsi="宋体" w:cs="Arial"/>
          <w:color w:val="333333"/>
          <w:sz w:val="28"/>
          <w:szCs w:val="28"/>
        </w:rPr>
        <w:t>（五）综合分析人民来信来访及网上信访情况，筛选论证群众的批评和建议，提出解决问题的意见和建议，为</w:t>
      </w:r>
      <w:r>
        <w:rPr>
          <w:rFonts w:ascii="宋体" w:cs="Arial"/>
          <w:color w:val="333333"/>
          <w:sz w:val="28"/>
          <w:szCs w:val="28"/>
        </w:rPr>
        <w:tab/>
      </w:r>
      <w:r>
        <w:rPr>
          <w:rFonts w:hint="eastAsia" w:ascii="宋体" w:hAnsi="宋体" w:cs="Arial"/>
          <w:color w:val="333333"/>
          <w:sz w:val="28"/>
          <w:szCs w:val="28"/>
        </w:rPr>
        <w:t>区委、区政府领导决策当好参谋。</w:t>
      </w:r>
    </w:p>
    <w:p>
      <w:pPr>
        <w:pStyle w:val="6"/>
        <w:shd w:val="clear" w:color="auto" w:fill="FFFFFF"/>
        <w:adjustRightInd w:val="0"/>
        <w:snapToGrid w:val="0"/>
        <w:spacing w:beforeAutospacing="0" w:afterAutospacing="0" w:line="560" w:lineRule="exact"/>
        <w:ind w:firstLine="280" w:firstLineChars="100"/>
        <w:rPr>
          <w:rFonts w:ascii="宋体" w:cs="Arial"/>
          <w:color w:val="333333"/>
          <w:sz w:val="28"/>
          <w:szCs w:val="28"/>
        </w:rPr>
      </w:pPr>
      <w:r>
        <w:rPr>
          <w:rFonts w:hint="eastAsia" w:ascii="宋体" w:hAnsi="宋体" w:cs="Arial"/>
          <w:color w:val="333333"/>
          <w:sz w:val="28"/>
          <w:szCs w:val="28"/>
        </w:rPr>
        <w:t>（六）按照</w:t>
      </w:r>
      <w:r>
        <w:rPr>
          <w:rFonts w:ascii="宋体" w:hAnsi="宋体" w:cs="Arial"/>
          <w:color w:val="333333"/>
          <w:sz w:val="28"/>
          <w:szCs w:val="28"/>
        </w:rPr>
        <w:t>"</w:t>
      </w:r>
      <w:r>
        <w:rPr>
          <w:rFonts w:hint="eastAsia" w:ascii="宋体" w:hAnsi="宋体" w:cs="Arial"/>
          <w:color w:val="333333"/>
          <w:sz w:val="28"/>
          <w:szCs w:val="28"/>
        </w:rPr>
        <w:t>属地管理、分级负责</w:t>
      </w:r>
      <w:r>
        <w:rPr>
          <w:rFonts w:ascii="宋体" w:hAnsi="宋体" w:cs="Arial"/>
          <w:color w:val="333333"/>
          <w:sz w:val="28"/>
          <w:szCs w:val="28"/>
        </w:rPr>
        <w:t>"</w:t>
      </w:r>
      <w:r>
        <w:rPr>
          <w:rFonts w:hint="eastAsia" w:ascii="宋体" w:hAnsi="宋体" w:cs="Arial"/>
          <w:color w:val="333333"/>
          <w:sz w:val="28"/>
          <w:szCs w:val="28"/>
        </w:rPr>
        <w:t>、</w:t>
      </w:r>
      <w:r>
        <w:rPr>
          <w:rFonts w:ascii="宋体" w:hAnsi="宋体" w:cs="Arial"/>
          <w:color w:val="333333"/>
          <w:sz w:val="28"/>
          <w:szCs w:val="28"/>
        </w:rPr>
        <w:t>"</w:t>
      </w:r>
      <w:r>
        <w:rPr>
          <w:rFonts w:hint="eastAsia" w:ascii="宋体" w:hAnsi="宋体" w:cs="Arial"/>
          <w:color w:val="333333"/>
          <w:sz w:val="28"/>
          <w:szCs w:val="28"/>
        </w:rPr>
        <w:t>谁主管、谁负责</w:t>
      </w:r>
      <w:r>
        <w:rPr>
          <w:rFonts w:ascii="宋体" w:hAnsi="宋体" w:cs="Arial"/>
          <w:color w:val="333333"/>
          <w:sz w:val="28"/>
          <w:szCs w:val="28"/>
        </w:rPr>
        <w:t>"</w:t>
      </w:r>
      <w:r>
        <w:rPr>
          <w:rFonts w:hint="eastAsia" w:ascii="宋体" w:hAnsi="宋体" w:cs="Arial"/>
          <w:color w:val="333333"/>
          <w:sz w:val="28"/>
          <w:szCs w:val="28"/>
        </w:rPr>
        <w:t>的原则，向有关街道（管理区）和区直部门转送、交办来信来访及网上信访事项，并督促检查落实情况，协调处理重要信访问题。</w:t>
      </w:r>
    </w:p>
    <w:p>
      <w:pPr>
        <w:pStyle w:val="6"/>
        <w:shd w:val="clear" w:color="auto" w:fill="FFFFFF"/>
        <w:adjustRightInd w:val="0"/>
        <w:snapToGrid w:val="0"/>
        <w:spacing w:beforeAutospacing="0" w:afterAutospacing="0" w:line="560" w:lineRule="exact"/>
        <w:ind w:firstLine="280" w:firstLineChars="100"/>
        <w:rPr>
          <w:rFonts w:ascii="宋体" w:cs="Arial"/>
          <w:color w:val="333333"/>
          <w:sz w:val="28"/>
          <w:szCs w:val="28"/>
        </w:rPr>
      </w:pPr>
      <w:r>
        <w:rPr>
          <w:rFonts w:hint="eastAsia" w:ascii="宋体" w:hAnsi="宋体" w:cs="Arial"/>
          <w:color w:val="333333"/>
          <w:sz w:val="28"/>
          <w:szCs w:val="28"/>
        </w:rPr>
        <w:t>（七）对来信来访及网上信访中反映的政策性问题进行调查研究，协助区委、区政府和有关部门研究制定有关政策规定。</w:t>
      </w:r>
    </w:p>
    <w:p>
      <w:pPr>
        <w:pStyle w:val="6"/>
        <w:shd w:val="clear" w:color="auto" w:fill="FFFFFF"/>
        <w:adjustRightInd w:val="0"/>
        <w:snapToGrid w:val="0"/>
        <w:spacing w:beforeAutospacing="0" w:afterAutospacing="0" w:line="560" w:lineRule="exact"/>
        <w:ind w:firstLine="280" w:firstLineChars="100"/>
        <w:rPr>
          <w:rFonts w:ascii="宋体" w:cs="Arial"/>
          <w:color w:val="333333"/>
          <w:sz w:val="28"/>
          <w:szCs w:val="28"/>
        </w:rPr>
      </w:pPr>
      <w:r>
        <w:rPr>
          <w:rFonts w:hint="eastAsia" w:ascii="宋体" w:hAnsi="宋体" w:cs="Arial"/>
          <w:color w:val="333333"/>
          <w:sz w:val="28"/>
          <w:szCs w:val="28"/>
        </w:rPr>
        <w:t>（八）负责全区信访工作的综合管理。协助区委、区政府部署、检查和指导全区的信访工作，发现和解决问题</w:t>
      </w:r>
      <w:r>
        <w:rPr>
          <w:rFonts w:ascii="宋体" w:hAnsi="宋体" w:cs="Arial"/>
          <w:color w:val="333333"/>
          <w:sz w:val="28"/>
          <w:szCs w:val="28"/>
        </w:rPr>
        <w:t>;</w:t>
      </w:r>
      <w:r>
        <w:rPr>
          <w:rFonts w:hint="eastAsia" w:ascii="宋体" w:hAnsi="宋体" w:cs="Arial"/>
          <w:color w:val="333333"/>
          <w:sz w:val="28"/>
          <w:szCs w:val="28"/>
        </w:rPr>
        <w:t>组织交流和推广经验</w:t>
      </w:r>
      <w:r>
        <w:rPr>
          <w:rFonts w:ascii="宋体" w:hAnsi="宋体" w:cs="Arial"/>
          <w:color w:val="333333"/>
          <w:sz w:val="28"/>
          <w:szCs w:val="28"/>
        </w:rPr>
        <w:t>;</w:t>
      </w:r>
      <w:r>
        <w:rPr>
          <w:rFonts w:hint="eastAsia" w:ascii="宋体" w:hAnsi="宋体" w:cs="Arial"/>
          <w:color w:val="333333"/>
          <w:sz w:val="28"/>
          <w:szCs w:val="28"/>
        </w:rPr>
        <w:t>培训信访干部</w:t>
      </w:r>
      <w:r>
        <w:rPr>
          <w:rFonts w:ascii="宋体" w:hAnsi="宋体" w:cs="Arial"/>
          <w:color w:val="333333"/>
          <w:sz w:val="28"/>
          <w:szCs w:val="28"/>
        </w:rPr>
        <w:t>;</w:t>
      </w:r>
      <w:r>
        <w:rPr>
          <w:rFonts w:hint="eastAsia" w:ascii="宋体" w:hAnsi="宋体" w:cs="Arial"/>
          <w:color w:val="333333"/>
          <w:sz w:val="28"/>
          <w:szCs w:val="28"/>
        </w:rPr>
        <w:t>制定信访工作管理规定。</w:t>
      </w:r>
    </w:p>
    <w:p>
      <w:pPr>
        <w:pStyle w:val="6"/>
        <w:shd w:val="clear" w:color="auto" w:fill="FFFFFF"/>
        <w:adjustRightInd w:val="0"/>
        <w:snapToGrid w:val="0"/>
        <w:spacing w:beforeAutospacing="0" w:afterAutospacing="0" w:line="560" w:lineRule="exact"/>
        <w:ind w:firstLine="280" w:firstLineChars="100"/>
        <w:rPr>
          <w:rFonts w:ascii="宋体" w:cs="Arial"/>
          <w:color w:val="333333"/>
          <w:sz w:val="28"/>
          <w:szCs w:val="28"/>
        </w:rPr>
      </w:pPr>
      <w:r>
        <w:rPr>
          <w:rFonts w:hint="eastAsia" w:ascii="宋体" w:hAnsi="宋体" w:cs="Arial"/>
          <w:color w:val="333333"/>
          <w:sz w:val="28"/>
          <w:szCs w:val="28"/>
        </w:rPr>
        <w:t>（九）负责指导全区信访工作的组织建设和理论建设</w:t>
      </w:r>
      <w:r>
        <w:rPr>
          <w:rFonts w:hint="eastAsia" w:ascii="宋体" w:hAnsi="宋体" w:cs="Arial"/>
          <w:color w:val="333333"/>
          <w:sz w:val="28"/>
          <w:szCs w:val="28"/>
          <w:lang w:eastAsia="zh-CN"/>
        </w:rPr>
        <w:t>，</w:t>
      </w:r>
      <w:r>
        <w:rPr>
          <w:rFonts w:hint="eastAsia" w:ascii="宋体" w:hAnsi="宋体" w:cs="Arial"/>
          <w:color w:val="333333"/>
          <w:sz w:val="28"/>
          <w:szCs w:val="28"/>
        </w:rPr>
        <w:t>制定并组织实施工作发展规划。</w:t>
      </w:r>
    </w:p>
    <w:p>
      <w:pPr>
        <w:pStyle w:val="6"/>
        <w:shd w:val="clear" w:color="auto" w:fill="FFFFFF"/>
        <w:adjustRightInd w:val="0"/>
        <w:snapToGrid w:val="0"/>
        <w:spacing w:beforeAutospacing="0" w:afterAutospacing="0" w:line="560" w:lineRule="exact"/>
        <w:ind w:firstLine="280" w:firstLineChars="100"/>
        <w:rPr>
          <w:rFonts w:ascii="宋体" w:cs="Arial"/>
          <w:color w:val="333333"/>
          <w:sz w:val="28"/>
          <w:szCs w:val="28"/>
        </w:rPr>
      </w:pPr>
      <w:r>
        <w:rPr>
          <w:rFonts w:hint="eastAsia" w:ascii="宋体" w:hAnsi="宋体" w:cs="Arial"/>
          <w:color w:val="333333"/>
          <w:sz w:val="28"/>
          <w:szCs w:val="28"/>
        </w:rPr>
        <w:t>（十）完成上级交办的其他事项。</w:t>
      </w:r>
    </w:p>
    <w:p>
      <w:pPr>
        <w:wordWrap w:val="0"/>
        <w:spacing w:line="600" w:lineRule="atLeast"/>
        <w:ind w:firstLine="420" w:firstLineChars="150"/>
        <w:rPr>
          <w:rFonts w:ascii="宋体" w:cs="宋体"/>
          <w:color w:val="333333"/>
          <w:sz w:val="28"/>
          <w:szCs w:val="28"/>
        </w:rPr>
      </w:pPr>
      <w:r>
        <w:rPr>
          <w:rFonts w:ascii="宋体" w:hAnsi="宋体"/>
          <w:color w:val="333333"/>
          <w:sz w:val="28"/>
          <w:szCs w:val="28"/>
        </w:rPr>
        <w:t>2</w:t>
      </w:r>
      <w:r>
        <w:rPr>
          <w:rFonts w:hint="eastAsia" w:ascii="宋体" w:hAnsi="宋体"/>
          <w:color w:val="333333"/>
          <w:sz w:val="28"/>
          <w:szCs w:val="28"/>
        </w:rPr>
        <w:t>、</w:t>
      </w:r>
      <w:r>
        <w:rPr>
          <w:rFonts w:ascii="宋体"/>
          <w:color w:val="333333"/>
          <w:sz w:val="28"/>
          <w:szCs w:val="28"/>
        </w:rPr>
        <w:t> </w:t>
      </w:r>
      <w:r>
        <w:rPr>
          <w:rFonts w:hint="eastAsia" w:ascii="宋体" w:hAnsi="宋体" w:cs="宋体"/>
          <w:sz w:val="28"/>
          <w:szCs w:val="28"/>
        </w:rPr>
        <w:t>部门机构情况</w:t>
      </w:r>
    </w:p>
    <w:p>
      <w:pPr>
        <w:shd w:val="clear" w:color="auto" w:fill="FFFFFF"/>
        <w:snapToGrid w:val="0"/>
        <w:spacing w:line="560" w:lineRule="atLeast"/>
        <w:ind w:firstLine="280" w:firstLineChars="100"/>
        <w:rPr>
          <w:rFonts w:hint="eastAsia" w:ascii="宋体" w:hAnsi="宋体" w:eastAsia="宋体" w:cs="Arial"/>
          <w:color w:val="333333"/>
          <w:kern w:val="0"/>
          <w:sz w:val="28"/>
          <w:szCs w:val="28"/>
          <w:lang w:val="en-US" w:eastAsia="zh-CN" w:bidi="ar-SA"/>
        </w:rPr>
      </w:pPr>
      <w:r>
        <w:rPr>
          <w:rFonts w:hint="eastAsia" w:ascii="宋体" w:hAnsi="宋体" w:eastAsia="宋体" w:cs="Arial"/>
          <w:color w:val="333333"/>
          <w:kern w:val="0"/>
          <w:sz w:val="28"/>
          <w:szCs w:val="28"/>
          <w:lang w:val="en-US" w:eastAsia="zh-CN" w:bidi="ar-SA"/>
        </w:rPr>
        <w:t>设有机构：办公室、接访科、综合督查科、办信和复查复核科、网络信访中心</w:t>
      </w:r>
    </w:p>
    <w:p>
      <w:pPr>
        <w:shd w:val="clear" w:color="auto" w:fill="FFFFFF"/>
        <w:spacing w:line="560" w:lineRule="atLeast"/>
        <w:ind w:firstLine="280" w:firstLineChars="100"/>
        <w:rPr>
          <w:rFonts w:ascii="宋体" w:cs="宋体"/>
          <w:sz w:val="28"/>
          <w:szCs w:val="28"/>
        </w:rPr>
      </w:pPr>
      <w:r>
        <w:rPr>
          <w:rFonts w:ascii="宋体" w:hAnsi="宋体" w:cs="宋体"/>
          <w:sz w:val="28"/>
          <w:szCs w:val="28"/>
        </w:rPr>
        <w:t>3</w:t>
      </w:r>
      <w:r>
        <w:rPr>
          <w:rFonts w:hint="eastAsia" w:ascii="宋体" w:hAnsi="宋体" w:cs="宋体"/>
          <w:sz w:val="28"/>
          <w:szCs w:val="28"/>
        </w:rPr>
        <w:t>、人员情况</w:t>
      </w:r>
    </w:p>
    <w:p>
      <w:pPr>
        <w:ind w:firstLine="280" w:firstLineChars="100"/>
        <w:rPr>
          <w:rFonts w:ascii="宋体"/>
          <w:color w:val="000000"/>
          <w:sz w:val="28"/>
          <w:szCs w:val="28"/>
        </w:rPr>
      </w:pPr>
      <w:r>
        <w:rPr>
          <w:rFonts w:hint="eastAsia" w:ascii="宋体" w:hAnsi="宋体" w:cs="仿宋"/>
          <w:color w:val="000000"/>
          <w:sz w:val="28"/>
          <w:szCs w:val="28"/>
        </w:rPr>
        <w:t>本部门年末实有人数</w:t>
      </w:r>
      <w:r>
        <w:rPr>
          <w:rFonts w:ascii="宋体" w:hAnsi="宋体" w:cs="仿宋"/>
          <w:color w:val="000000"/>
          <w:sz w:val="28"/>
          <w:szCs w:val="28"/>
        </w:rPr>
        <w:t>6</w:t>
      </w:r>
      <w:r>
        <w:rPr>
          <w:rFonts w:hint="eastAsia" w:ascii="宋体" w:hAnsi="宋体" w:cs="仿宋"/>
          <w:color w:val="000000"/>
          <w:sz w:val="28"/>
          <w:szCs w:val="28"/>
        </w:rPr>
        <w:t>人，与去年相比无变化。</w:t>
      </w:r>
    </w:p>
    <w:p>
      <w:pPr>
        <w:pStyle w:val="6"/>
        <w:widowControl/>
        <w:spacing w:before="76" w:beforeAutospacing="0" w:after="76" w:afterAutospacing="0" w:line="450" w:lineRule="atLeast"/>
        <w:rPr>
          <w:rFonts w:ascii="微软雅黑" w:hAnsi="微软雅黑" w:eastAsia="微软雅黑" w:cs="微软雅黑"/>
          <w:b/>
          <w:color w:val="333333"/>
          <w:shd w:val="clear" w:color="auto" w:fill="FFFFFF"/>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567" w:right="1440" w:bottom="1800" w:left="1440" w:header="851" w:footer="992" w:gutter="0"/>
          <w:cols w:space="425" w:num="1"/>
          <w:docGrid w:type="lines" w:linePitch="312" w:charSpace="0"/>
        </w:sectPr>
      </w:pPr>
      <w:r>
        <w:rPr>
          <w:rFonts w:hint="eastAsia" w:ascii="微软雅黑" w:hAnsi="微软雅黑" w:eastAsia="微软雅黑"/>
          <w:b/>
        </w:rPr>
        <w:t>第二部分：部门</w:t>
      </w:r>
      <w:r>
        <w:rPr>
          <w:rFonts w:ascii="微软雅黑" w:hAnsi="微软雅黑" w:eastAsia="微软雅黑"/>
          <w:b/>
        </w:rPr>
        <w:t>2020</w:t>
      </w:r>
      <w:r>
        <w:rPr>
          <w:rFonts w:hint="eastAsia" w:ascii="微软雅黑" w:hAnsi="微软雅黑" w:eastAsia="微软雅黑"/>
          <w:b/>
        </w:rPr>
        <w:t>年部门决算表</w:t>
      </w:r>
    </w:p>
    <w:p>
      <w:pPr>
        <w:widowControl/>
        <w:jc w:val="left"/>
      </w:pPr>
      <w:r>
        <w:drawing>
          <wp:inline distT="0" distB="0" distL="114300" distR="114300">
            <wp:extent cx="7143750" cy="51911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7143750" cy="5191125"/>
                    </a:xfrm>
                    <a:prstGeom prst="rect">
                      <a:avLst/>
                    </a:prstGeom>
                    <a:noFill/>
                    <a:ln>
                      <a:noFill/>
                    </a:ln>
                  </pic:spPr>
                </pic:pic>
              </a:graphicData>
            </a:graphic>
          </wp:inline>
        </w:drawing>
      </w:r>
    </w:p>
    <w:p>
      <w:pPr>
        <w:widowControl/>
        <w:jc w:val="left"/>
      </w:pPr>
    </w:p>
    <w:p>
      <w:pPr>
        <w:pStyle w:val="6"/>
        <w:widowControl/>
        <w:spacing w:before="76" w:beforeAutospacing="0" w:after="76" w:afterAutospacing="0" w:line="450" w:lineRule="atLeast"/>
        <w:jc w:val="both"/>
      </w:pPr>
      <w:r>
        <w:drawing>
          <wp:inline distT="0" distB="0" distL="114300" distR="114300">
            <wp:extent cx="8801100" cy="23907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8801100" cy="2390775"/>
                    </a:xfrm>
                    <a:prstGeom prst="rect">
                      <a:avLst/>
                    </a:prstGeom>
                    <a:noFill/>
                    <a:ln>
                      <a:noFill/>
                    </a:ln>
                  </pic:spPr>
                </pic:pic>
              </a:graphicData>
            </a:graphic>
          </wp:inline>
        </w:drawing>
      </w:r>
    </w:p>
    <w:p>
      <w:pPr>
        <w:pStyle w:val="6"/>
        <w:widowControl/>
        <w:spacing w:before="76" w:beforeAutospacing="0" w:after="76" w:afterAutospacing="0" w:line="450" w:lineRule="atLeast"/>
        <w:jc w:val="both"/>
      </w:pPr>
    </w:p>
    <w:p>
      <w:pPr>
        <w:pStyle w:val="6"/>
        <w:widowControl/>
        <w:spacing w:before="76" w:beforeAutospacing="0" w:after="76" w:afterAutospacing="0" w:line="450" w:lineRule="atLeast"/>
        <w:jc w:val="both"/>
      </w:pPr>
      <w:r>
        <w:drawing>
          <wp:inline distT="0" distB="0" distL="114300" distR="114300">
            <wp:extent cx="8791575" cy="26289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8791575" cy="2628900"/>
                    </a:xfrm>
                    <a:prstGeom prst="rect">
                      <a:avLst/>
                    </a:prstGeom>
                    <a:noFill/>
                    <a:ln>
                      <a:noFill/>
                    </a:ln>
                  </pic:spPr>
                </pic:pic>
              </a:graphicData>
            </a:graphic>
          </wp:inline>
        </w:drawing>
      </w:r>
    </w:p>
    <w:p>
      <w:pPr>
        <w:pStyle w:val="6"/>
        <w:widowControl/>
        <w:spacing w:before="76" w:beforeAutospacing="0" w:after="76" w:afterAutospacing="0" w:line="450" w:lineRule="atLeast"/>
        <w:jc w:val="both"/>
      </w:pPr>
    </w:p>
    <w:p>
      <w:pPr>
        <w:pStyle w:val="6"/>
        <w:widowControl/>
        <w:spacing w:before="76" w:beforeAutospacing="0" w:after="76" w:afterAutospacing="0" w:line="450" w:lineRule="atLeast"/>
        <w:jc w:val="both"/>
      </w:pPr>
      <w:r>
        <w:drawing>
          <wp:inline distT="0" distB="0" distL="114300" distR="114300">
            <wp:extent cx="7981950" cy="52768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7981950" cy="5276850"/>
                    </a:xfrm>
                    <a:prstGeom prst="rect">
                      <a:avLst/>
                    </a:prstGeom>
                    <a:noFill/>
                    <a:ln>
                      <a:noFill/>
                    </a:ln>
                  </pic:spPr>
                </pic:pic>
              </a:graphicData>
            </a:graphic>
          </wp:inline>
        </w:drawing>
      </w:r>
    </w:p>
    <w:p>
      <w:pPr>
        <w:pStyle w:val="6"/>
        <w:widowControl/>
        <w:spacing w:before="76" w:beforeAutospacing="0" w:after="76" w:afterAutospacing="0" w:line="450" w:lineRule="atLeast"/>
        <w:jc w:val="both"/>
      </w:pPr>
    </w:p>
    <w:p>
      <w:pPr>
        <w:pStyle w:val="6"/>
        <w:widowControl/>
        <w:spacing w:before="76" w:beforeAutospacing="0" w:after="76" w:afterAutospacing="0" w:line="450" w:lineRule="atLeast"/>
        <w:jc w:val="both"/>
      </w:pPr>
      <w:r>
        <w:drawing>
          <wp:inline distT="0" distB="0" distL="114300" distR="114300">
            <wp:extent cx="8839200" cy="24669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a:stretch>
                      <a:fillRect/>
                    </a:stretch>
                  </pic:blipFill>
                  <pic:spPr>
                    <a:xfrm>
                      <a:off x="0" y="0"/>
                      <a:ext cx="8839200" cy="2466975"/>
                    </a:xfrm>
                    <a:prstGeom prst="rect">
                      <a:avLst/>
                    </a:prstGeom>
                    <a:noFill/>
                    <a:ln>
                      <a:noFill/>
                    </a:ln>
                  </pic:spPr>
                </pic:pic>
              </a:graphicData>
            </a:graphic>
          </wp:inline>
        </w:drawing>
      </w:r>
    </w:p>
    <w:p>
      <w:pPr>
        <w:pStyle w:val="6"/>
        <w:widowControl/>
        <w:spacing w:before="76" w:beforeAutospacing="0" w:after="76" w:afterAutospacing="0" w:line="450" w:lineRule="atLeast"/>
        <w:jc w:val="both"/>
      </w:pPr>
    </w:p>
    <w:p>
      <w:pPr>
        <w:pStyle w:val="6"/>
        <w:widowControl/>
        <w:spacing w:before="76" w:beforeAutospacing="0" w:after="76" w:afterAutospacing="0" w:line="450" w:lineRule="atLeast"/>
        <w:jc w:val="both"/>
      </w:pPr>
      <w:r>
        <w:drawing>
          <wp:inline distT="0" distB="0" distL="114300" distR="114300">
            <wp:extent cx="8858250" cy="52197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stretch>
                      <a:fillRect/>
                    </a:stretch>
                  </pic:blipFill>
                  <pic:spPr>
                    <a:xfrm>
                      <a:off x="0" y="0"/>
                      <a:ext cx="8858250" cy="5219700"/>
                    </a:xfrm>
                    <a:prstGeom prst="rect">
                      <a:avLst/>
                    </a:prstGeom>
                    <a:noFill/>
                    <a:ln>
                      <a:noFill/>
                    </a:ln>
                  </pic:spPr>
                </pic:pic>
              </a:graphicData>
            </a:graphic>
          </wp:inline>
        </w:drawing>
      </w:r>
    </w:p>
    <w:p>
      <w:pPr>
        <w:pStyle w:val="6"/>
        <w:widowControl/>
        <w:spacing w:before="76" w:beforeAutospacing="0" w:after="76" w:afterAutospacing="0" w:line="450" w:lineRule="atLeast"/>
        <w:jc w:val="both"/>
      </w:pPr>
    </w:p>
    <w:p>
      <w:pPr>
        <w:pStyle w:val="6"/>
        <w:widowControl/>
        <w:spacing w:before="76" w:beforeAutospacing="0" w:after="76" w:afterAutospacing="0" w:line="450" w:lineRule="atLeast"/>
        <w:jc w:val="both"/>
      </w:pPr>
      <w:r>
        <w:drawing>
          <wp:inline distT="0" distB="0" distL="114300" distR="114300">
            <wp:extent cx="8820150" cy="18669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6"/>
                    <a:stretch>
                      <a:fillRect/>
                    </a:stretch>
                  </pic:blipFill>
                  <pic:spPr>
                    <a:xfrm>
                      <a:off x="0" y="0"/>
                      <a:ext cx="8820150" cy="1866900"/>
                    </a:xfrm>
                    <a:prstGeom prst="rect">
                      <a:avLst/>
                    </a:prstGeom>
                    <a:noFill/>
                    <a:ln>
                      <a:noFill/>
                    </a:ln>
                  </pic:spPr>
                </pic:pic>
              </a:graphicData>
            </a:graphic>
          </wp:inline>
        </w:drawing>
      </w:r>
    </w:p>
    <w:p>
      <w:pPr>
        <w:pStyle w:val="6"/>
        <w:widowControl/>
        <w:spacing w:before="76" w:beforeAutospacing="0" w:after="76" w:afterAutospacing="0" w:line="450" w:lineRule="atLeast"/>
        <w:jc w:val="both"/>
      </w:pPr>
    </w:p>
    <w:tbl>
      <w:tblPr>
        <w:tblStyle w:val="7"/>
        <w:tblpPr w:leftFromText="180" w:rightFromText="180" w:vertAnchor="text" w:horzAnchor="page" w:tblpX="1273" w:tblpY="27"/>
        <w:tblOverlap w:val="never"/>
        <w:tblW w:w="13820" w:type="dxa"/>
        <w:tblInd w:w="0" w:type="dxa"/>
        <w:shd w:val="clear" w:color="auto" w:fill="auto"/>
        <w:tblLayout w:type="fixed"/>
        <w:tblCellMar>
          <w:top w:w="0" w:type="dxa"/>
          <w:left w:w="0" w:type="dxa"/>
          <w:bottom w:w="0" w:type="dxa"/>
          <w:right w:w="0" w:type="dxa"/>
        </w:tblCellMar>
      </w:tblPr>
      <w:tblGrid>
        <w:gridCol w:w="4240"/>
        <w:gridCol w:w="1329"/>
        <w:gridCol w:w="843"/>
        <w:gridCol w:w="843"/>
        <w:gridCol w:w="843"/>
        <w:gridCol w:w="843"/>
        <w:gridCol w:w="843"/>
        <w:gridCol w:w="4036"/>
      </w:tblGrid>
      <w:tr>
        <w:tblPrEx>
          <w:shd w:val="clear" w:color="auto" w:fill="auto"/>
          <w:tblCellMar>
            <w:top w:w="0" w:type="dxa"/>
            <w:left w:w="0" w:type="dxa"/>
            <w:bottom w:w="0" w:type="dxa"/>
            <w:right w:w="0" w:type="dxa"/>
          </w:tblCellMar>
        </w:tblPrEx>
        <w:trPr>
          <w:trHeight w:val="215" w:hRule="atLeast"/>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黑体" w:hAnsi="宋体" w:eastAsia="黑体" w:cs="黑体"/>
                <w:i w:val="0"/>
                <w:color w:val="000000"/>
                <w:kern w:val="0"/>
                <w:sz w:val="36"/>
                <w:szCs w:val="36"/>
                <w:u w:val="none"/>
                <w:lang w:val="en-US" w:eastAsia="zh-CN" w:bidi="ar"/>
              </w:rPr>
              <w:t>政府性基金预算财政拨款收入支出决算表</w:t>
            </w:r>
          </w:p>
        </w:tc>
      </w:tr>
      <w:tr>
        <w:tblPrEx>
          <w:tblCellMar>
            <w:top w:w="0" w:type="dxa"/>
            <w:left w:w="0" w:type="dxa"/>
            <w:bottom w:w="0" w:type="dxa"/>
            <w:right w:w="0" w:type="dxa"/>
          </w:tblCellMar>
        </w:tblPrEx>
        <w:trPr>
          <w:trHeight w:val="110" w:hRule="atLeast"/>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110" w:hRule="atLeast"/>
        </w:trPr>
        <w:tc>
          <w:tcPr>
            <w:tcW w:w="556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color w:val="000000"/>
                <w:kern w:val="0"/>
                <w:sz w:val="22"/>
                <w:szCs w:val="22"/>
                <w:u w:val="none"/>
                <w:lang w:val="en-US" w:eastAsia="zh-CN" w:bidi="ar"/>
              </w:rPr>
              <w:t>黄石市黄石港区</w:t>
            </w:r>
            <w:r>
              <w:rPr>
                <w:rFonts w:hint="eastAsia" w:ascii="宋体" w:hAnsi="宋体" w:cs="宋体"/>
                <w:i w:val="0"/>
                <w:color w:val="000000"/>
                <w:kern w:val="0"/>
                <w:sz w:val="22"/>
                <w:szCs w:val="22"/>
                <w:u w:val="none"/>
                <w:lang w:val="en-US" w:eastAsia="zh-CN" w:bidi="ar"/>
              </w:rPr>
              <w:t>信访局</w:t>
            </w: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03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114" w:hRule="atLeast"/>
        </w:trPr>
        <w:tc>
          <w:tcPr>
            <w:tcW w:w="5569"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529"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03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12" w:hRule="atLeast"/>
        </w:trPr>
        <w:tc>
          <w:tcPr>
            <w:tcW w:w="424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329"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03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r>
      <w:tr>
        <w:tblPrEx>
          <w:tblCellMar>
            <w:top w:w="0" w:type="dxa"/>
            <w:left w:w="0" w:type="dxa"/>
            <w:bottom w:w="0" w:type="dxa"/>
            <w:right w:w="0" w:type="dxa"/>
          </w:tblCellMar>
        </w:tblPrEx>
        <w:trPr>
          <w:trHeight w:val="114" w:hRule="atLeast"/>
        </w:trPr>
        <w:tc>
          <w:tcPr>
            <w:tcW w:w="42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4" w:hRule="atLeast"/>
        </w:trPr>
        <w:tc>
          <w:tcPr>
            <w:tcW w:w="1382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6"/>
        <w:widowControl/>
        <w:spacing w:before="76" w:beforeAutospacing="0" w:after="76" w:afterAutospacing="0" w:line="450" w:lineRule="atLeast"/>
        <w:jc w:val="both"/>
      </w:pPr>
    </w:p>
    <w:p>
      <w:pPr>
        <w:pStyle w:val="6"/>
        <w:widowControl/>
        <w:spacing w:before="76" w:beforeAutospacing="0" w:after="76" w:afterAutospacing="0" w:line="450" w:lineRule="atLeast"/>
        <w:jc w:val="both"/>
      </w:pPr>
    </w:p>
    <w:p>
      <w:pPr>
        <w:pStyle w:val="6"/>
        <w:widowControl/>
        <w:spacing w:before="76" w:beforeAutospacing="0" w:after="76" w:afterAutospacing="0" w:line="450" w:lineRule="atLeast"/>
        <w:jc w:val="both"/>
      </w:pPr>
    </w:p>
    <w:p>
      <w:pPr>
        <w:pStyle w:val="6"/>
        <w:widowControl/>
        <w:spacing w:before="76" w:beforeAutospacing="0" w:after="76" w:afterAutospacing="0" w:line="450" w:lineRule="atLeast"/>
        <w:jc w:val="both"/>
      </w:pPr>
    </w:p>
    <w:p>
      <w:pPr>
        <w:pStyle w:val="6"/>
        <w:widowControl/>
        <w:spacing w:before="76" w:beforeAutospacing="0" w:after="76" w:afterAutospacing="0" w:line="450" w:lineRule="atLeast"/>
        <w:jc w:val="both"/>
      </w:pPr>
    </w:p>
    <w:p>
      <w:pPr>
        <w:pStyle w:val="6"/>
        <w:widowControl/>
        <w:spacing w:before="76" w:beforeAutospacing="0" w:after="76" w:afterAutospacing="0" w:line="450" w:lineRule="atLeast"/>
        <w:jc w:val="both"/>
      </w:pPr>
    </w:p>
    <w:p>
      <w:pPr>
        <w:pStyle w:val="6"/>
        <w:widowControl/>
        <w:spacing w:before="76" w:beforeAutospacing="0" w:after="76" w:afterAutospacing="0" w:line="450" w:lineRule="atLeast"/>
        <w:jc w:val="both"/>
      </w:pPr>
    </w:p>
    <w:p>
      <w:pPr>
        <w:pStyle w:val="6"/>
        <w:widowControl/>
        <w:spacing w:before="76" w:beforeAutospacing="0" w:after="76" w:afterAutospacing="0" w:line="450" w:lineRule="atLeast"/>
        <w:jc w:val="both"/>
        <w:sectPr>
          <w:pgSz w:w="16838" w:h="11906" w:orient="landscape"/>
          <w:pgMar w:top="1800" w:right="1440" w:bottom="1800" w:left="1440" w:header="851" w:footer="992" w:gutter="0"/>
          <w:cols w:space="425" w:num="1"/>
          <w:docGrid w:type="lines" w:linePitch="312" w:charSpace="0"/>
        </w:sectPr>
      </w:pPr>
    </w:p>
    <w:p>
      <w:pPr>
        <w:pStyle w:val="6"/>
        <w:widowControl/>
        <w:spacing w:before="76" w:beforeAutospacing="0" w:after="76" w:afterAutospacing="0" w:line="450" w:lineRule="atLeast"/>
        <w:rPr>
          <w:color w:val="333333"/>
        </w:rPr>
      </w:pPr>
      <w:r>
        <w:rPr>
          <w:rStyle w:val="9"/>
          <w:rFonts w:hint="eastAsia" w:ascii="微软雅黑" w:hAnsi="微软雅黑" w:eastAsia="微软雅黑" w:cs="微软雅黑"/>
          <w:color w:val="333333"/>
          <w:shd w:val="clear" w:color="auto" w:fill="FFFFFF"/>
        </w:rPr>
        <w:t>第三部分</w:t>
      </w:r>
      <w:r>
        <w:rPr>
          <w:rStyle w:val="9"/>
          <w:rFonts w:ascii="微软雅黑" w:hAnsi="微软雅黑" w:eastAsia="微软雅黑" w:cs="微软雅黑"/>
          <w:color w:val="333333"/>
          <w:shd w:val="clear" w:color="auto" w:fill="FFFFFF"/>
        </w:rPr>
        <w:t xml:space="preserve"> 2020</w:t>
      </w:r>
      <w:r>
        <w:rPr>
          <w:rStyle w:val="9"/>
          <w:rFonts w:hint="eastAsia" w:ascii="微软雅黑" w:hAnsi="微软雅黑" w:eastAsia="微软雅黑" w:cs="微软雅黑"/>
          <w:color w:val="333333"/>
          <w:shd w:val="clear" w:color="auto" w:fill="FFFFFF"/>
        </w:rPr>
        <w:t>年部门决算情况说明</w:t>
      </w:r>
    </w:p>
    <w:p>
      <w:pPr>
        <w:widowControl/>
        <w:shd w:val="clear" w:color="auto" w:fill="FFFFFF"/>
        <w:ind w:firstLine="480"/>
        <w:jc w:val="left"/>
        <w:rPr>
          <w:rFonts w:ascii="宋体" w:cs="宋体"/>
          <w:b/>
          <w:bCs/>
          <w:sz w:val="28"/>
          <w:szCs w:val="28"/>
        </w:rPr>
      </w:pPr>
      <w:r>
        <w:rPr>
          <w:rFonts w:hint="eastAsia" w:ascii="宋体" w:hAnsi="宋体" w:cs="宋体"/>
          <w:b/>
          <w:bCs/>
          <w:sz w:val="28"/>
          <w:szCs w:val="28"/>
        </w:rPr>
        <w:t>（一）预算执行情况分析</w:t>
      </w:r>
    </w:p>
    <w:p>
      <w:pPr>
        <w:shd w:val="clear" w:color="auto" w:fill="FFFFFF"/>
        <w:snapToGrid w:val="0"/>
        <w:spacing w:line="560" w:lineRule="atLeast"/>
        <w:ind w:firstLine="560" w:firstLineChars="200"/>
        <w:rPr>
          <w:rFonts w:ascii="宋体" w:cs="宋体"/>
          <w:color w:val="333333"/>
          <w:sz w:val="28"/>
          <w:szCs w:val="28"/>
        </w:rPr>
      </w:pPr>
      <w:r>
        <w:rPr>
          <w:rFonts w:ascii="宋体" w:hAnsi="宋体" w:cs="宋体"/>
          <w:color w:val="333333"/>
          <w:sz w:val="28"/>
          <w:szCs w:val="28"/>
        </w:rPr>
        <w:t>1</w:t>
      </w:r>
      <w:r>
        <w:rPr>
          <w:rFonts w:hint="eastAsia" w:ascii="宋体" w:hAnsi="宋体" w:cs="宋体"/>
          <w:color w:val="333333"/>
          <w:sz w:val="28"/>
          <w:szCs w:val="28"/>
        </w:rPr>
        <w:t>、收入分析：</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本年总收入</w:t>
      </w:r>
      <w:r>
        <w:rPr>
          <w:rFonts w:ascii="宋体" w:hAnsi="宋体" w:cs="宋体"/>
          <w:color w:val="333333"/>
          <w:sz w:val="28"/>
          <w:szCs w:val="28"/>
        </w:rPr>
        <w:t>259.16</w:t>
      </w:r>
      <w:r>
        <w:rPr>
          <w:rFonts w:hint="eastAsia" w:ascii="宋体" w:hAnsi="宋体" w:cs="宋体"/>
          <w:color w:val="333333"/>
          <w:sz w:val="28"/>
          <w:szCs w:val="28"/>
        </w:rPr>
        <w:t>万元。比去年的</w:t>
      </w:r>
      <w:r>
        <w:rPr>
          <w:rFonts w:ascii="宋体" w:hAnsi="宋体" w:cs="宋体"/>
          <w:color w:val="333333"/>
          <w:sz w:val="28"/>
          <w:szCs w:val="28"/>
        </w:rPr>
        <w:t>324.10</w:t>
      </w:r>
      <w:r>
        <w:rPr>
          <w:rFonts w:hint="eastAsia" w:ascii="宋体" w:hAnsi="宋体" w:cs="宋体"/>
          <w:color w:val="333333"/>
          <w:sz w:val="28"/>
          <w:szCs w:val="28"/>
        </w:rPr>
        <w:t>万元减少</w:t>
      </w:r>
      <w:r>
        <w:rPr>
          <w:rFonts w:ascii="宋体" w:hAnsi="宋体" w:cs="宋体"/>
          <w:color w:val="333333"/>
          <w:sz w:val="28"/>
          <w:szCs w:val="28"/>
        </w:rPr>
        <w:t>64.94</w:t>
      </w:r>
      <w:r>
        <w:rPr>
          <w:rFonts w:hint="eastAsia" w:ascii="宋体" w:hAnsi="宋体" w:cs="宋体"/>
          <w:color w:val="333333"/>
          <w:sz w:val="28"/>
          <w:szCs w:val="28"/>
        </w:rPr>
        <w:t>万元，减幅</w:t>
      </w:r>
      <w:r>
        <w:rPr>
          <w:rFonts w:ascii="宋体" w:hAnsi="宋体" w:cs="宋体"/>
          <w:color w:val="333333"/>
          <w:sz w:val="28"/>
          <w:szCs w:val="28"/>
        </w:rPr>
        <w:t>20.04%</w:t>
      </w:r>
      <w:r>
        <w:rPr>
          <w:rFonts w:hint="eastAsia" w:ascii="宋体" w:hAnsi="宋体" w:cs="宋体"/>
          <w:color w:val="333333"/>
          <w:sz w:val="28"/>
          <w:szCs w:val="28"/>
        </w:rPr>
        <w:t>，其主要原因为信访维稳事务减少所致。其中财政拨款收入</w:t>
      </w:r>
      <w:r>
        <w:rPr>
          <w:rFonts w:ascii="宋体" w:hAnsi="宋体" w:cs="宋体"/>
          <w:color w:val="333333"/>
          <w:sz w:val="28"/>
          <w:szCs w:val="28"/>
        </w:rPr>
        <w:t>177.15</w:t>
      </w:r>
      <w:r>
        <w:rPr>
          <w:rFonts w:hint="eastAsia" w:ascii="宋体" w:hAnsi="宋体" w:cs="宋体"/>
          <w:color w:val="333333"/>
          <w:sz w:val="28"/>
          <w:szCs w:val="28"/>
        </w:rPr>
        <w:t>万元，占比</w:t>
      </w:r>
      <w:r>
        <w:rPr>
          <w:rFonts w:ascii="宋体" w:hAnsi="宋体" w:cs="宋体"/>
          <w:color w:val="333333"/>
          <w:sz w:val="28"/>
          <w:szCs w:val="28"/>
        </w:rPr>
        <w:t>68.36%</w:t>
      </w:r>
      <w:r>
        <w:rPr>
          <w:rFonts w:hint="eastAsia" w:ascii="宋体" w:hAnsi="宋体" w:cs="宋体"/>
          <w:color w:val="333333"/>
          <w:sz w:val="28"/>
          <w:szCs w:val="28"/>
        </w:rPr>
        <w:t>，其他收入</w:t>
      </w:r>
      <w:r>
        <w:rPr>
          <w:rFonts w:ascii="宋体" w:hAnsi="宋体" w:cs="宋体"/>
          <w:color w:val="333333"/>
          <w:sz w:val="28"/>
          <w:szCs w:val="28"/>
        </w:rPr>
        <w:t>82.01</w:t>
      </w:r>
      <w:r>
        <w:rPr>
          <w:rFonts w:hint="eastAsia" w:ascii="宋体" w:hAnsi="宋体" w:cs="宋体"/>
          <w:color w:val="333333"/>
          <w:sz w:val="28"/>
          <w:szCs w:val="28"/>
        </w:rPr>
        <w:t>万元，占比</w:t>
      </w:r>
      <w:r>
        <w:rPr>
          <w:rFonts w:ascii="宋体" w:hAnsi="宋体" w:cs="宋体"/>
          <w:color w:val="333333"/>
          <w:sz w:val="28"/>
          <w:szCs w:val="28"/>
        </w:rPr>
        <w:t>31.64%</w:t>
      </w:r>
      <w:r>
        <w:rPr>
          <w:rFonts w:hint="eastAsia" w:ascii="宋体" w:hAnsi="宋体" w:cs="宋体"/>
          <w:color w:val="333333"/>
          <w:sz w:val="28"/>
          <w:szCs w:val="28"/>
        </w:rPr>
        <w:t>。</w:t>
      </w:r>
    </w:p>
    <w:p>
      <w:pPr>
        <w:shd w:val="clear" w:color="auto" w:fill="FFFFFF"/>
        <w:snapToGrid w:val="0"/>
        <w:spacing w:line="560" w:lineRule="atLeast"/>
        <w:ind w:firstLine="560" w:firstLineChars="200"/>
        <w:rPr>
          <w:rFonts w:ascii="宋体" w:cs="宋体"/>
          <w:color w:val="333333"/>
          <w:sz w:val="28"/>
          <w:szCs w:val="28"/>
        </w:rPr>
      </w:pPr>
      <w:r>
        <w:rPr>
          <w:rFonts w:ascii="宋体" w:hAnsi="宋体" w:cs="宋体"/>
          <w:color w:val="333333"/>
          <w:sz w:val="28"/>
          <w:szCs w:val="28"/>
        </w:rPr>
        <w:t>2</w:t>
      </w:r>
      <w:r>
        <w:rPr>
          <w:rFonts w:hint="eastAsia" w:ascii="宋体" w:hAnsi="宋体" w:cs="宋体"/>
          <w:color w:val="333333"/>
          <w:sz w:val="28"/>
          <w:szCs w:val="28"/>
        </w:rPr>
        <w:t>、支出分析：</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本年总支出为</w:t>
      </w:r>
      <w:r>
        <w:rPr>
          <w:rFonts w:ascii="宋体" w:hAnsi="宋体" w:cs="宋体"/>
          <w:color w:val="333333"/>
          <w:sz w:val="28"/>
          <w:szCs w:val="28"/>
        </w:rPr>
        <w:t>259.16</w:t>
      </w:r>
      <w:r>
        <w:rPr>
          <w:rFonts w:hint="eastAsia" w:ascii="宋体" w:hAnsi="宋体" w:cs="宋体"/>
          <w:color w:val="333333"/>
          <w:sz w:val="28"/>
          <w:szCs w:val="28"/>
        </w:rPr>
        <w:t>万元。比去年的</w:t>
      </w:r>
      <w:r>
        <w:rPr>
          <w:rFonts w:ascii="宋体" w:hAnsi="宋体" w:cs="宋体"/>
          <w:color w:val="333333"/>
          <w:sz w:val="28"/>
          <w:szCs w:val="28"/>
        </w:rPr>
        <w:t>324.10</w:t>
      </w:r>
      <w:r>
        <w:rPr>
          <w:rFonts w:hint="eastAsia" w:ascii="宋体" w:hAnsi="宋体" w:cs="宋体"/>
          <w:color w:val="333333"/>
          <w:sz w:val="28"/>
          <w:szCs w:val="28"/>
        </w:rPr>
        <w:t>万元减少</w:t>
      </w:r>
      <w:r>
        <w:rPr>
          <w:rFonts w:ascii="宋体" w:hAnsi="宋体" w:cs="宋体"/>
          <w:color w:val="333333"/>
          <w:sz w:val="28"/>
          <w:szCs w:val="28"/>
        </w:rPr>
        <w:t>64.94</w:t>
      </w:r>
      <w:r>
        <w:rPr>
          <w:rFonts w:hint="eastAsia" w:ascii="宋体" w:hAnsi="宋体" w:cs="宋体"/>
          <w:color w:val="333333"/>
          <w:sz w:val="28"/>
          <w:szCs w:val="28"/>
        </w:rPr>
        <w:t>万元，减幅</w:t>
      </w:r>
      <w:r>
        <w:rPr>
          <w:rFonts w:ascii="宋体" w:hAnsi="宋体" w:cs="宋体"/>
          <w:color w:val="333333"/>
          <w:sz w:val="28"/>
          <w:szCs w:val="28"/>
        </w:rPr>
        <w:t>20.04%</w:t>
      </w:r>
      <w:r>
        <w:rPr>
          <w:rFonts w:hint="eastAsia" w:ascii="宋体" w:hAnsi="宋体" w:cs="宋体"/>
          <w:color w:val="333333"/>
          <w:sz w:val="28"/>
          <w:szCs w:val="28"/>
        </w:rPr>
        <w:t>，其主要原因为信访维稳事务减少所致。其中一般公共预算财政拨款支出</w:t>
      </w:r>
      <w:r>
        <w:rPr>
          <w:rFonts w:ascii="宋体" w:hAnsi="宋体" w:cs="宋体"/>
          <w:color w:val="333333"/>
          <w:sz w:val="28"/>
          <w:szCs w:val="28"/>
        </w:rPr>
        <w:t>177.15</w:t>
      </w:r>
      <w:r>
        <w:rPr>
          <w:rFonts w:hint="eastAsia" w:ascii="宋体" w:hAnsi="宋体" w:cs="宋体"/>
          <w:color w:val="333333"/>
          <w:sz w:val="28"/>
          <w:szCs w:val="28"/>
        </w:rPr>
        <w:t>万元，具体构成如下：</w:t>
      </w:r>
    </w:p>
    <w:p>
      <w:pPr>
        <w:shd w:val="clear" w:color="auto" w:fill="FFFFFF"/>
        <w:snapToGrid w:val="0"/>
        <w:spacing w:line="560" w:lineRule="atLeast"/>
        <w:ind w:firstLine="560" w:firstLineChars="200"/>
        <w:rPr>
          <w:rFonts w:ascii="宋体" w:hAnsi="宋体" w:cs="宋体"/>
          <w:color w:val="333333"/>
          <w:sz w:val="28"/>
          <w:szCs w:val="28"/>
        </w:rPr>
      </w:pPr>
      <w:r>
        <w:rPr>
          <w:rFonts w:hint="eastAsia" w:ascii="宋体" w:hAnsi="宋体" w:cs="宋体"/>
          <w:color w:val="333333"/>
          <w:sz w:val="28"/>
          <w:szCs w:val="28"/>
        </w:rPr>
        <w:t>（</w:t>
      </w:r>
      <w:r>
        <w:rPr>
          <w:rFonts w:ascii="宋体" w:hAnsi="宋体" w:cs="宋体"/>
          <w:color w:val="333333"/>
          <w:sz w:val="28"/>
          <w:szCs w:val="28"/>
        </w:rPr>
        <w:t>1</w:t>
      </w:r>
      <w:r>
        <w:rPr>
          <w:rFonts w:hint="eastAsia" w:ascii="宋体" w:hAnsi="宋体" w:cs="宋体"/>
          <w:color w:val="333333"/>
          <w:sz w:val="28"/>
          <w:szCs w:val="28"/>
        </w:rPr>
        <w:t>）工资福利支出</w:t>
      </w:r>
      <w:r>
        <w:rPr>
          <w:rFonts w:ascii="宋体" w:hAnsi="宋体" w:cs="宋体"/>
          <w:color w:val="333333"/>
          <w:sz w:val="28"/>
          <w:szCs w:val="28"/>
        </w:rPr>
        <w:t>103.43</w:t>
      </w:r>
      <w:r>
        <w:rPr>
          <w:rFonts w:hint="eastAsia" w:ascii="宋体" w:hAnsi="宋体" w:cs="宋体"/>
          <w:color w:val="333333"/>
          <w:sz w:val="28"/>
          <w:szCs w:val="28"/>
        </w:rPr>
        <w:t>万元。占比</w:t>
      </w:r>
      <w:r>
        <w:rPr>
          <w:rFonts w:ascii="宋体" w:hAnsi="宋体" w:cs="宋体"/>
          <w:color w:val="333333"/>
          <w:sz w:val="28"/>
          <w:szCs w:val="28"/>
        </w:rPr>
        <w:t>58.39%</w:t>
      </w:r>
    </w:p>
    <w:p>
      <w:pPr>
        <w:shd w:val="clear" w:color="auto" w:fill="FFFFFF"/>
        <w:snapToGrid w:val="0"/>
        <w:spacing w:line="560" w:lineRule="atLeast"/>
        <w:ind w:firstLine="560" w:firstLineChars="200"/>
        <w:rPr>
          <w:rFonts w:ascii="宋体" w:hAnsi="宋体" w:cs="宋体"/>
          <w:color w:val="333333"/>
          <w:sz w:val="28"/>
          <w:szCs w:val="28"/>
        </w:rPr>
      </w:pPr>
      <w:r>
        <w:rPr>
          <w:rFonts w:hint="eastAsia" w:ascii="宋体" w:hAnsi="宋体" w:cs="宋体"/>
          <w:color w:val="333333"/>
          <w:sz w:val="28"/>
          <w:szCs w:val="28"/>
        </w:rPr>
        <w:t>（</w:t>
      </w:r>
      <w:r>
        <w:rPr>
          <w:rFonts w:ascii="宋体" w:hAnsi="宋体" w:cs="宋体"/>
          <w:color w:val="333333"/>
          <w:sz w:val="28"/>
          <w:szCs w:val="28"/>
        </w:rPr>
        <w:t>2</w:t>
      </w:r>
      <w:r>
        <w:rPr>
          <w:rFonts w:hint="eastAsia" w:ascii="宋体" w:hAnsi="宋体" w:cs="宋体"/>
          <w:color w:val="333333"/>
          <w:sz w:val="28"/>
          <w:szCs w:val="28"/>
        </w:rPr>
        <w:t>）商品和服务支出</w:t>
      </w:r>
      <w:r>
        <w:rPr>
          <w:rFonts w:ascii="宋体" w:hAnsi="宋体" w:cs="宋体"/>
          <w:color w:val="333333"/>
          <w:sz w:val="28"/>
          <w:szCs w:val="28"/>
        </w:rPr>
        <w:t>73.72</w:t>
      </w:r>
      <w:r>
        <w:rPr>
          <w:rFonts w:hint="eastAsia" w:ascii="宋体" w:hAnsi="宋体" w:cs="宋体"/>
          <w:color w:val="333333"/>
          <w:sz w:val="28"/>
          <w:szCs w:val="28"/>
        </w:rPr>
        <w:t>万元。占比</w:t>
      </w:r>
      <w:r>
        <w:rPr>
          <w:rFonts w:ascii="宋体" w:hAnsi="宋体" w:cs="宋体"/>
          <w:color w:val="333333"/>
          <w:sz w:val="28"/>
          <w:szCs w:val="28"/>
        </w:rPr>
        <w:t>41.61%</w:t>
      </w:r>
    </w:p>
    <w:p>
      <w:pPr>
        <w:shd w:val="clear" w:color="auto" w:fill="FFFFFF"/>
        <w:snapToGrid w:val="0"/>
        <w:spacing w:line="560" w:lineRule="atLeast"/>
        <w:ind w:firstLine="640" w:firstLineChars="200"/>
        <w:rPr>
          <w:rFonts w:ascii="仿宋_GB2312" w:hAnsi="宋体" w:eastAsia="仿宋_GB2312" w:cs="宋体"/>
          <w:color w:val="333333"/>
          <w:sz w:val="32"/>
          <w:szCs w:val="32"/>
        </w:rPr>
      </w:pPr>
    </w:p>
    <w:p>
      <w:pPr>
        <w:widowControl/>
        <w:shd w:val="clear" w:color="auto" w:fill="FFFFFF"/>
        <w:ind w:firstLine="422" w:firstLineChars="150"/>
        <w:jc w:val="left"/>
        <w:rPr>
          <w:rFonts w:ascii="宋体" w:cs="宋体"/>
          <w:b/>
          <w:bCs/>
          <w:sz w:val="28"/>
          <w:szCs w:val="28"/>
        </w:rPr>
      </w:pPr>
      <w:r>
        <w:rPr>
          <w:rFonts w:hint="eastAsia" w:ascii="宋体" w:hAnsi="宋体" w:cs="宋体"/>
          <w:b/>
          <w:bCs/>
          <w:sz w:val="28"/>
          <w:szCs w:val="28"/>
        </w:rPr>
        <w:t>（二）关于“三公”经费支出说明</w:t>
      </w:r>
    </w:p>
    <w:p>
      <w:pPr>
        <w:ind w:firstLine="709"/>
        <w:rPr>
          <w:rFonts w:ascii="宋体"/>
          <w:color w:val="FF0000"/>
          <w:sz w:val="28"/>
          <w:szCs w:val="28"/>
        </w:rPr>
      </w:pPr>
      <w:r>
        <w:rPr>
          <w:rFonts w:hint="eastAsia" w:ascii="宋体" w:hAnsi="宋体"/>
          <w:sz w:val="28"/>
          <w:szCs w:val="28"/>
        </w:rPr>
        <w:t>本部门本年度</w:t>
      </w:r>
      <w:r>
        <w:rPr>
          <w:rFonts w:hint="eastAsia" w:ascii="宋体" w:hAnsi="宋体" w:cs="宋体"/>
          <w:color w:val="333333"/>
          <w:sz w:val="28"/>
          <w:szCs w:val="28"/>
        </w:rPr>
        <w:t>三公经费支出</w:t>
      </w:r>
      <w:r>
        <w:rPr>
          <w:rFonts w:ascii="宋体" w:hAnsi="宋体" w:cs="宋体"/>
          <w:color w:val="333333"/>
          <w:sz w:val="28"/>
          <w:szCs w:val="28"/>
        </w:rPr>
        <w:t>720</w:t>
      </w:r>
      <w:r>
        <w:rPr>
          <w:rFonts w:hint="eastAsia" w:ascii="宋体" w:hAnsi="宋体" w:cs="宋体"/>
          <w:color w:val="333333"/>
          <w:sz w:val="28"/>
          <w:szCs w:val="28"/>
        </w:rPr>
        <w:t>元，全部为公务接待支出，全年公务接待支出</w:t>
      </w:r>
      <w:r>
        <w:rPr>
          <w:rFonts w:ascii="宋体" w:hAnsi="宋体" w:cs="宋体"/>
          <w:color w:val="333333"/>
          <w:sz w:val="28"/>
          <w:szCs w:val="28"/>
        </w:rPr>
        <w:t>1</w:t>
      </w:r>
      <w:r>
        <w:rPr>
          <w:rFonts w:hint="eastAsia" w:ascii="宋体" w:hAnsi="宋体" w:cs="宋体"/>
          <w:color w:val="333333"/>
          <w:sz w:val="28"/>
          <w:szCs w:val="28"/>
        </w:rPr>
        <w:t>批</w:t>
      </w:r>
      <w:r>
        <w:rPr>
          <w:rFonts w:ascii="宋体" w:hAnsi="宋体" w:cs="宋体"/>
          <w:color w:val="333333"/>
          <w:sz w:val="28"/>
          <w:szCs w:val="28"/>
        </w:rPr>
        <w:t>9</w:t>
      </w:r>
      <w:r>
        <w:rPr>
          <w:rFonts w:hint="eastAsia" w:ascii="宋体" w:hAnsi="宋体" w:cs="宋体"/>
          <w:color w:val="333333"/>
          <w:sz w:val="28"/>
          <w:szCs w:val="28"/>
        </w:rPr>
        <w:t>人共</w:t>
      </w:r>
      <w:r>
        <w:rPr>
          <w:rFonts w:ascii="宋体" w:hAnsi="宋体" w:cs="宋体"/>
          <w:color w:val="333333"/>
          <w:sz w:val="28"/>
          <w:szCs w:val="28"/>
        </w:rPr>
        <w:t>720</w:t>
      </w:r>
      <w:r>
        <w:rPr>
          <w:rFonts w:hint="eastAsia" w:ascii="宋体" w:hAnsi="宋体" w:cs="宋体"/>
          <w:color w:val="333333"/>
          <w:sz w:val="28"/>
          <w:szCs w:val="28"/>
        </w:rPr>
        <w:t>元。</w:t>
      </w:r>
    </w:p>
    <w:p>
      <w:pPr>
        <w:widowControl/>
        <w:shd w:val="clear" w:color="auto" w:fill="FFFFFF"/>
        <w:ind w:firstLine="480"/>
        <w:jc w:val="left"/>
        <w:rPr>
          <w:rFonts w:ascii="宋体" w:cs="宋体"/>
          <w:b/>
          <w:bCs/>
          <w:sz w:val="28"/>
          <w:szCs w:val="28"/>
        </w:rPr>
      </w:pPr>
    </w:p>
    <w:p>
      <w:pPr>
        <w:widowControl/>
        <w:shd w:val="clear" w:color="auto" w:fill="FFFFFF"/>
        <w:ind w:firstLine="480"/>
        <w:jc w:val="left"/>
        <w:rPr>
          <w:rFonts w:ascii="宋体" w:cs="宋体"/>
          <w:b/>
          <w:bCs/>
          <w:sz w:val="28"/>
          <w:szCs w:val="28"/>
        </w:rPr>
      </w:pPr>
      <w:r>
        <w:rPr>
          <w:rFonts w:hint="eastAsia" w:ascii="宋体" w:hAnsi="宋体" w:cs="宋体"/>
          <w:b/>
          <w:bCs/>
          <w:sz w:val="28"/>
          <w:szCs w:val="28"/>
        </w:rPr>
        <w:t>（三）关于机关运行经费支出说明</w:t>
      </w:r>
    </w:p>
    <w:p>
      <w:pPr>
        <w:shd w:val="clear" w:color="auto" w:fill="FFFFFF"/>
        <w:spacing w:line="360" w:lineRule="auto"/>
        <w:ind w:firstLine="560" w:firstLineChars="200"/>
        <w:rPr>
          <w:rFonts w:ascii="宋体" w:cs="仿宋"/>
          <w:bCs/>
          <w:color w:val="000000"/>
          <w:sz w:val="28"/>
          <w:szCs w:val="28"/>
        </w:rPr>
      </w:pPr>
      <w:r>
        <w:rPr>
          <w:rFonts w:hint="eastAsia" w:ascii="宋体" w:hAnsi="宋体" w:cs="仿宋"/>
          <w:bCs/>
          <w:color w:val="000000"/>
          <w:sz w:val="28"/>
          <w:szCs w:val="28"/>
        </w:rPr>
        <w:t>本部门机关运行经费本年支出</w:t>
      </w:r>
      <w:r>
        <w:rPr>
          <w:rFonts w:ascii="宋体" w:hAnsi="宋体" w:cs="仿宋"/>
          <w:bCs/>
          <w:color w:val="000000"/>
          <w:sz w:val="28"/>
          <w:szCs w:val="28"/>
        </w:rPr>
        <w:t>73.72</w:t>
      </w:r>
      <w:r>
        <w:rPr>
          <w:rFonts w:hint="eastAsia" w:ascii="宋体" w:hAnsi="宋体" w:cs="仿宋"/>
          <w:bCs/>
          <w:color w:val="000000"/>
          <w:sz w:val="28"/>
          <w:szCs w:val="28"/>
        </w:rPr>
        <w:t>万元，去年支出为</w:t>
      </w:r>
      <w:r>
        <w:rPr>
          <w:rFonts w:ascii="宋体" w:hAnsi="宋体" w:cs="仿宋"/>
          <w:bCs/>
          <w:color w:val="000000"/>
          <w:sz w:val="28"/>
          <w:szCs w:val="28"/>
        </w:rPr>
        <w:t>141.33</w:t>
      </w:r>
      <w:r>
        <w:rPr>
          <w:rFonts w:hint="eastAsia" w:ascii="宋体" w:hAnsi="宋体" w:cs="仿宋"/>
          <w:bCs/>
          <w:color w:val="000000"/>
          <w:sz w:val="28"/>
          <w:szCs w:val="28"/>
        </w:rPr>
        <w:t>万元，比去年减少</w:t>
      </w:r>
      <w:r>
        <w:rPr>
          <w:rFonts w:ascii="宋体" w:hAnsi="宋体" w:cs="仿宋"/>
          <w:bCs/>
          <w:color w:val="000000"/>
          <w:sz w:val="28"/>
          <w:szCs w:val="28"/>
        </w:rPr>
        <w:t>67.61</w:t>
      </w:r>
      <w:r>
        <w:rPr>
          <w:rFonts w:hint="eastAsia" w:ascii="宋体" w:hAnsi="宋体" w:cs="仿宋"/>
          <w:bCs/>
          <w:color w:val="000000"/>
          <w:sz w:val="28"/>
          <w:szCs w:val="28"/>
        </w:rPr>
        <w:t>万元，减幅</w:t>
      </w:r>
      <w:r>
        <w:rPr>
          <w:rFonts w:ascii="宋体" w:hAnsi="宋体" w:cs="仿宋"/>
          <w:bCs/>
          <w:color w:val="000000"/>
          <w:sz w:val="28"/>
          <w:szCs w:val="28"/>
        </w:rPr>
        <w:t>47.84%</w:t>
      </w:r>
      <w:r>
        <w:rPr>
          <w:rFonts w:hint="eastAsia" w:ascii="宋体" w:hAnsi="宋体" w:cs="仿宋"/>
          <w:bCs/>
          <w:color w:val="000000"/>
          <w:sz w:val="28"/>
          <w:szCs w:val="28"/>
        </w:rPr>
        <w:t>，主要原因为信访维稳事务减少所致。</w:t>
      </w:r>
    </w:p>
    <w:p>
      <w:pPr>
        <w:widowControl/>
        <w:shd w:val="clear" w:color="auto" w:fill="FFFFFF"/>
        <w:ind w:firstLine="281" w:firstLineChars="100"/>
        <w:jc w:val="left"/>
        <w:rPr>
          <w:rFonts w:ascii="宋体" w:cs="宋体"/>
          <w:b/>
          <w:bCs/>
          <w:sz w:val="28"/>
          <w:szCs w:val="28"/>
        </w:rPr>
      </w:pPr>
      <w:r>
        <w:rPr>
          <w:rFonts w:hint="eastAsia" w:ascii="宋体" w:hAnsi="宋体" w:cs="宋体"/>
          <w:b/>
          <w:bCs/>
          <w:sz w:val="28"/>
          <w:szCs w:val="28"/>
        </w:rPr>
        <w:t>（四）关于政府采购支出说明</w:t>
      </w:r>
    </w:p>
    <w:p>
      <w:pPr>
        <w:ind w:firstLine="560" w:firstLineChars="200"/>
        <w:rPr>
          <w:rFonts w:ascii="宋体" w:cs="仿宋"/>
          <w:sz w:val="28"/>
          <w:szCs w:val="28"/>
        </w:rPr>
      </w:pPr>
      <w:r>
        <w:rPr>
          <w:rFonts w:hint="eastAsia" w:ascii="宋体" w:hAnsi="宋体" w:cs="仿宋"/>
          <w:bCs/>
          <w:sz w:val="28"/>
          <w:szCs w:val="28"/>
        </w:rPr>
        <w:t>本部门本年度政府采购总支出</w:t>
      </w:r>
      <w:r>
        <w:rPr>
          <w:rFonts w:ascii="宋体" w:hAnsi="宋体" w:cs="仿宋"/>
          <w:bCs/>
          <w:sz w:val="28"/>
          <w:szCs w:val="28"/>
        </w:rPr>
        <w:t>0.24</w:t>
      </w:r>
      <w:r>
        <w:rPr>
          <w:rFonts w:hint="eastAsia" w:ascii="宋体" w:hAnsi="宋体" w:cs="仿宋"/>
          <w:bCs/>
          <w:sz w:val="28"/>
          <w:szCs w:val="28"/>
        </w:rPr>
        <w:t>万元，其中采购货物支出</w:t>
      </w:r>
      <w:r>
        <w:rPr>
          <w:rFonts w:ascii="宋体" w:hAnsi="宋体" w:cs="仿宋"/>
          <w:bCs/>
          <w:sz w:val="28"/>
          <w:szCs w:val="28"/>
        </w:rPr>
        <w:t>0.24</w:t>
      </w:r>
      <w:r>
        <w:rPr>
          <w:rFonts w:hint="eastAsia" w:ascii="宋体" w:hAnsi="宋体" w:cs="仿宋"/>
          <w:bCs/>
          <w:sz w:val="28"/>
          <w:szCs w:val="28"/>
        </w:rPr>
        <w:t>万元。</w:t>
      </w:r>
    </w:p>
    <w:p>
      <w:pPr>
        <w:widowControl/>
        <w:shd w:val="clear" w:color="auto" w:fill="FFFFFF"/>
        <w:ind w:firstLine="281" w:firstLineChars="100"/>
        <w:jc w:val="left"/>
        <w:rPr>
          <w:rFonts w:ascii="宋体" w:cs="宋体"/>
          <w:b/>
          <w:bCs/>
          <w:sz w:val="28"/>
          <w:szCs w:val="28"/>
        </w:rPr>
      </w:pPr>
      <w:r>
        <w:rPr>
          <w:rFonts w:hint="eastAsia" w:ascii="宋体" w:hAnsi="宋体" w:cs="宋体"/>
          <w:b/>
          <w:bCs/>
          <w:sz w:val="28"/>
          <w:szCs w:val="28"/>
        </w:rPr>
        <w:t>（五）关于国有资产占用情况说明</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截至本年底，本部门无公务用车。</w:t>
      </w:r>
    </w:p>
    <w:p>
      <w:pPr>
        <w:pStyle w:val="6"/>
        <w:widowControl/>
        <w:spacing w:before="76" w:beforeAutospacing="0" w:after="76" w:afterAutospacing="0" w:line="450" w:lineRule="atLeast"/>
        <w:ind w:firstLine="420"/>
        <w:rPr>
          <w:rFonts w:ascii="宋体" w:cs="微软雅黑"/>
          <w:b/>
          <w:color w:val="333333"/>
          <w:sz w:val="28"/>
          <w:szCs w:val="28"/>
          <w:shd w:val="clear" w:color="auto" w:fill="FFFFFF"/>
        </w:rPr>
      </w:pPr>
      <w:r>
        <w:rPr>
          <w:rFonts w:hint="eastAsia" w:ascii="宋体" w:hAnsi="宋体" w:cs="微软雅黑"/>
          <w:b/>
          <w:color w:val="333333"/>
          <w:sz w:val="28"/>
          <w:szCs w:val="28"/>
          <w:shd w:val="clear" w:color="auto" w:fill="FFFFFF"/>
        </w:rPr>
        <w:t>（六）重点效绩评价结果等预算绩效情况说明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cs="仿宋"/>
          <w:bCs/>
          <w:sz w:val="28"/>
          <w:szCs w:val="28"/>
        </w:rPr>
      </w:pPr>
      <w:r>
        <w:rPr>
          <w:rFonts w:hint="eastAsia" w:ascii="宋体" w:hAnsi="宋体" w:cs="仿宋"/>
          <w:bCs/>
          <w:sz w:val="28"/>
          <w:szCs w:val="28"/>
          <w:highlight w:val="none"/>
        </w:rPr>
        <w:t>2020年</w:t>
      </w:r>
      <w:r>
        <w:rPr>
          <w:rFonts w:hint="eastAsia" w:ascii="宋体" w:hAnsi="宋体" w:cs="仿宋"/>
          <w:bCs/>
          <w:sz w:val="28"/>
          <w:szCs w:val="28"/>
          <w:highlight w:val="none"/>
          <w:lang w:eastAsia="zh-CN"/>
        </w:rPr>
        <w:t>，</w:t>
      </w:r>
      <w:r>
        <w:rPr>
          <w:rFonts w:hint="eastAsia" w:ascii="宋体" w:hAnsi="宋体" w:cs="仿宋"/>
          <w:bCs/>
          <w:sz w:val="28"/>
          <w:szCs w:val="28"/>
          <w:highlight w:val="none"/>
        </w:rPr>
        <w:t>根据预算绩效管理要求，我单位组织2020年度一般公共预算项目支出全面开展绩效自评，共涉及项目1个，资金132.82万元</w:t>
      </w:r>
      <w:r>
        <w:rPr>
          <w:rFonts w:hint="eastAsia" w:ascii="宋体" w:hAnsi="宋体" w:cs="仿宋"/>
          <w:bCs/>
          <w:sz w:val="28"/>
          <w:szCs w:val="28"/>
          <w:highlight w:val="none"/>
          <w:lang w:eastAsia="zh-CN"/>
        </w:rPr>
        <w:t>。</w:t>
      </w:r>
      <w:r>
        <w:rPr>
          <w:rFonts w:hint="eastAsia" w:ascii="宋体" w:hAnsi="宋体" w:cs="仿宋"/>
          <w:bCs/>
          <w:sz w:val="28"/>
          <w:szCs w:val="28"/>
          <w:highlight w:val="none"/>
          <w:lang w:val="en-US" w:eastAsia="zh-CN"/>
        </w:rPr>
        <w:t>2020</w:t>
      </w:r>
      <w:r>
        <w:rPr>
          <w:rFonts w:hint="eastAsia" w:ascii="宋体" w:hAnsi="宋体" w:cs="仿宋"/>
          <w:bCs/>
          <w:sz w:val="28"/>
          <w:szCs w:val="28"/>
          <w:highlight w:val="none"/>
        </w:rPr>
        <w:t>年项目资金投入132.82万元，已使用132.82万元</w:t>
      </w:r>
      <w:r>
        <w:rPr>
          <w:rFonts w:hint="eastAsia" w:ascii="宋体" w:hAnsi="宋体" w:cs="仿宋"/>
          <w:bCs/>
          <w:sz w:val="28"/>
          <w:szCs w:val="28"/>
          <w:highlight w:val="none"/>
          <w:lang w:eastAsia="zh-CN"/>
        </w:rPr>
        <w:t>，使用率达</w:t>
      </w:r>
      <w:r>
        <w:rPr>
          <w:rFonts w:hint="eastAsia" w:ascii="宋体" w:hAnsi="宋体" w:cs="仿宋"/>
          <w:bCs/>
          <w:sz w:val="28"/>
          <w:szCs w:val="28"/>
          <w:highlight w:val="none"/>
          <w:lang w:val="en-US" w:eastAsia="zh-CN"/>
        </w:rPr>
        <w:t>100%。</w:t>
      </w:r>
      <w:r>
        <w:rPr>
          <w:rFonts w:hint="eastAsia" w:ascii="宋体" w:hAnsi="宋体" w:cs="仿宋"/>
          <w:bCs/>
          <w:sz w:val="28"/>
          <w:szCs w:val="28"/>
          <w:highlight w:val="none"/>
        </w:rPr>
        <w:t>使用从评价结果看，项目立项程序完整、规范，预算执行及</w:t>
      </w:r>
      <w:r>
        <w:rPr>
          <w:rFonts w:hint="eastAsia" w:ascii="宋体" w:hAnsi="宋体" w:cs="仿宋"/>
          <w:bCs/>
          <w:sz w:val="28"/>
          <w:szCs w:val="28"/>
        </w:rPr>
        <w:t>时、有效，绩效目标得到较好实现，绩效管理水平不断提高，绩效指标体系建设逐渐丰富和完善。</w:t>
      </w:r>
    </w:p>
    <w:p>
      <w:pPr>
        <w:spacing w:line="440" w:lineRule="exact"/>
        <w:ind w:firstLine="562" w:firstLineChars="200"/>
        <w:rPr>
          <w:rFonts w:hint="eastAsia" w:ascii="宋体" w:hAnsi="宋体"/>
          <w:b/>
          <w:color w:val="FF6600"/>
          <w:spacing w:val="2"/>
          <w:sz w:val="28"/>
          <w:szCs w:val="28"/>
        </w:rPr>
      </w:pPr>
      <w:r>
        <w:rPr>
          <w:rFonts w:hint="eastAsia" w:ascii="宋体" w:hAnsi="宋体" w:cs="宋体"/>
          <w:b/>
          <w:bCs/>
          <w:sz w:val="28"/>
          <w:szCs w:val="28"/>
          <w:lang w:val="en-US" w:eastAsia="zh-CN"/>
        </w:rPr>
        <w:t>（七）</w:t>
      </w:r>
      <w:r>
        <w:rPr>
          <w:rFonts w:hint="eastAsia" w:ascii="宋体" w:hAnsi="宋体"/>
          <w:b/>
          <w:spacing w:val="2"/>
          <w:sz w:val="28"/>
          <w:szCs w:val="28"/>
        </w:rPr>
        <w:t>决算收支增减变化情况</w:t>
      </w:r>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1、收入增减变化情况</w:t>
      </w:r>
    </w:p>
    <w:p>
      <w:pPr>
        <w:widowControl/>
        <w:ind w:firstLine="568" w:firstLineChars="200"/>
        <w:rPr>
          <w:rFonts w:hint="eastAsia" w:ascii="宋体" w:hAnsi="宋体"/>
          <w:spacing w:val="2"/>
          <w:sz w:val="28"/>
          <w:szCs w:val="28"/>
        </w:rPr>
      </w:pPr>
      <w:r>
        <w:rPr>
          <w:rFonts w:hint="eastAsia" w:ascii="宋体" w:hAnsi="宋体"/>
          <w:spacing w:val="2"/>
          <w:sz w:val="28"/>
          <w:szCs w:val="28"/>
        </w:rPr>
        <w:t>2019年全年总收入</w:t>
      </w:r>
      <w:r>
        <w:rPr>
          <w:rFonts w:hint="eastAsia" w:ascii="宋体" w:hAnsi="宋体"/>
          <w:spacing w:val="2"/>
          <w:sz w:val="28"/>
          <w:szCs w:val="28"/>
          <w:lang w:val="en-US" w:eastAsia="zh-CN"/>
        </w:rPr>
        <w:t>324.1万</w:t>
      </w:r>
      <w:r>
        <w:rPr>
          <w:rFonts w:hint="eastAsia" w:ascii="宋体" w:hAnsi="宋体"/>
          <w:spacing w:val="2"/>
          <w:sz w:val="28"/>
          <w:szCs w:val="28"/>
        </w:rPr>
        <w:t>元,2020年全年总收入</w:t>
      </w:r>
      <w:r>
        <w:rPr>
          <w:rFonts w:hint="eastAsia" w:ascii="宋体" w:hAnsi="宋体"/>
          <w:spacing w:val="2"/>
          <w:sz w:val="28"/>
          <w:szCs w:val="28"/>
          <w:lang w:val="en-US" w:eastAsia="zh-CN"/>
        </w:rPr>
        <w:t>259.16万</w:t>
      </w:r>
      <w:r>
        <w:rPr>
          <w:rFonts w:hint="eastAsia" w:ascii="宋体" w:hAnsi="宋体"/>
          <w:spacing w:val="2"/>
          <w:sz w:val="28"/>
          <w:szCs w:val="28"/>
        </w:rPr>
        <w:t>元，同比上年</w:t>
      </w:r>
      <w:r>
        <w:rPr>
          <w:rFonts w:hint="eastAsia" w:ascii="宋体" w:hAnsi="宋体"/>
          <w:spacing w:val="2"/>
          <w:sz w:val="28"/>
          <w:szCs w:val="28"/>
          <w:lang w:eastAsia="zh-CN"/>
        </w:rPr>
        <w:t>减少</w:t>
      </w:r>
      <w:r>
        <w:rPr>
          <w:rFonts w:hint="eastAsia" w:ascii="宋体" w:hAnsi="宋体"/>
          <w:spacing w:val="2"/>
          <w:sz w:val="28"/>
          <w:szCs w:val="28"/>
          <w:lang w:val="en-US" w:eastAsia="zh-CN"/>
        </w:rPr>
        <w:t>64.94万</w:t>
      </w:r>
      <w:r>
        <w:rPr>
          <w:rFonts w:hint="eastAsia" w:ascii="宋体" w:hAnsi="宋体"/>
          <w:spacing w:val="2"/>
          <w:sz w:val="28"/>
          <w:szCs w:val="28"/>
        </w:rPr>
        <w:t>元，</w:t>
      </w:r>
      <w:r>
        <w:rPr>
          <w:rFonts w:hint="eastAsia" w:ascii="宋体" w:hAnsi="宋体"/>
          <w:spacing w:val="2"/>
          <w:sz w:val="28"/>
          <w:szCs w:val="28"/>
          <w:lang w:eastAsia="zh-CN"/>
        </w:rPr>
        <w:t>减少</w:t>
      </w:r>
      <w:r>
        <w:rPr>
          <w:rFonts w:hint="eastAsia" w:ascii="宋体" w:hAnsi="宋体"/>
          <w:spacing w:val="2"/>
          <w:sz w:val="28"/>
          <w:szCs w:val="28"/>
        </w:rPr>
        <w:t>幅度为</w:t>
      </w:r>
      <w:r>
        <w:rPr>
          <w:rFonts w:hint="eastAsia" w:ascii="宋体" w:hAnsi="宋体"/>
          <w:spacing w:val="2"/>
          <w:sz w:val="28"/>
          <w:szCs w:val="28"/>
          <w:lang w:val="en-US" w:eastAsia="zh-CN"/>
        </w:rPr>
        <w:t>20.04</w:t>
      </w:r>
      <w:r>
        <w:rPr>
          <w:rFonts w:hint="eastAsia" w:ascii="宋体" w:hAnsi="宋体"/>
          <w:spacing w:val="2"/>
          <w:sz w:val="28"/>
          <w:szCs w:val="28"/>
        </w:rPr>
        <w:t>%，原因是业务量</w:t>
      </w:r>
      <w:r>
        <w:rPr>
          <w:rFonts w:hint="eastAsia" w:ascii="宋体" w:hAnsi="宋体"/>
          <w:spacing w:val="2"/>
          <w:sz w:val="28"/>
          <w:szCs w:val="28"/>
          <w:lang w:eastAsia="zh-CN"/>
        </w:rPr>
        <w:t>减少</w:t>
      </w:r>
      <w:r>
        <w:rPr>
          <w:rFonts w:hint="eastAsia" w:ascii="宋体" w:hAnsi="宋体"/>
          <w:spacing w:val="2"/>
          <w:sz w:val="28"/>
          <w:szCs w:val="28"/>
        </w:rPr>
        <w:t>。</w:t>
      </w:r>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2、支出增减变化情况</w:t>
      </w:r>
    </w:p>
    <w:p>
      <w:pPr>
        <w:widowControl/>
        <w:ind w:firstLine="568" w:firstLineChars="200"/>
        <w:rPr>
          <w:rFonts w:hint="eastAsia" w:ascii="宋体" w:hAnsi="宋体"/>
          <w:spacing w:val="2"/>
          <w:sz w:val="28"/>
          <w:szCs w:val="28"/>
        </w:rPr>
      </w:pPr>
      <w:r>
        <w:rPr>
          <w:rFonts w:hint="eastAsia" w:ascii="宋体" w:hAnsi="宋体"/>
          <w:spacing w:val="2"/>
          <w:sz w:val="28"/>
          <w:szCs w:val="28"/>
        </w:rPr>
        <w:t>2019年全年总</w:t>
      </w:r>
      <w:r>
        <w:rPr>
          <w:rFonts w:hint="eastAsia" w:ascii="宋体" w:hAnsi="宋体"/>
          <w:spacing w:val="2"/>
          <w:sz w:val="28"/>
          <w:szCs w:val="28"/>
          <w:lang w:eastAsia="zh-CN"/>
        </w:rPr>
        <w:t>支出</w:t>
      </w:r>
      <w:r>
        <w:rPr>
          <w:rFonts w:hint="eastAsia" w:ascii="宋体" w:hAnsi="宋体"/>
          <w:spacing w:val="2"/>
          <w:sz w:val="28"/>
          <w:szCs w:val="28"/>
          <w:lang w:val="en-US" w:eastAsia="zh-CN"/>
        </w:rPr>
        <w:t>324.1万</w:t>
      </w:r>
      <w:r>
        <w:rPr>
          <w:rFonts w:hint="eastAsia" w:ascii="宋体" w:hAnsi="宋体"/>
          <w:spacing w:val="2"/>
          <w:sz w:val="28"/>
          <w:szCs w:val="28"/>
        </w:rPr>
        <w:t>元,2020年全年总</w:t>
      </w:r>
      <w:r>
        <w:rPr>
          <w:rFonts w:hint="eastAsia" w:ascii="宋体" w:hAnsi="宋体"/>
          <w:spacing w:val="2"/>
          <w:sz w:val="28"/>
          <w:szCs w:val="28"/>
          <w:lang w:eastAsia="zh-CN"/>
        </w:rPr>
        <w:t>支出</w:t>
      </w:r>
      <w:bookmarkStart w:id="0" w:name="_GoBack"/>
      <w:bookmarkEnd w:id="0"/>
      <w:r>
        <w:rPr>
          <w:rFonts w:hint="eastAsia" w:ascii="宋体" w:hAnsi="宋体"/>
          <w:spacing w:val="2"/>
          <w:sz w:val="28"/>
          <w:szCs w:val="28"/>
          <w:lang w:val="en-US" w:eastAsia="zh-CN"/>
        </w:rPr>
        <w:t>259.16万</w:t>
      </w:r>
      <w:r>
        <w:rPr>
          <w:rFonts w:hint="eastAsia" w:ascii="宋体" w:hAnsi="宋体"/>
          <w:spacing w:val="2"/>
          <w:sz w:val="28"/>
          <w:szCs w:val="28"/>
        </w:rPr>
        <w:t>元，同比上年</w:t>
      </w:r>
      <w:r>
        <w:rPr>
          <w:rFonts w:hint="eastAsia" w:ascii="宋体" w:hAnsi="宋体"/>
          <w:spacing w:val="2"/>
          <w:sz w:val="28"/>
          <w:szCs w:val="28"/>
          <w:lang w:eastAsia="zh-CN"/>
        </w:rPr>
        <w:t>减少</w:t>
      </w:r>
      <w:r>
        <w:rPr>
          <w:rFonts w:hint="eastAsia" w:ascii="宋体" w:hAnsi="宋体"/>
          <w:spacing w:val="2"/>
          <w:sz w:val="28"/>
          <w:szCs w:val="28"/>
          <w:lang w:val="en-US" w:eastAsia="zh-CN"/>
        </w:rPr>
        <w:t>64.94万</w:t>
      </w:r>
      <w:r>
        <w:rPr>
          <w:rFonts w:hint="eastAsia" w:ascii="宋体" w:hAnsi="宋体"/>
          <w:spacing w:val="2"/>
          <w:sz w:val="28"/>
          <w:szCs w:val="28"/>
        </w:rPr>
        <w:t>元，</w:t>
      </w:r>
      <w:r>
        <w:rPr>
          <w:rFonts w:hint="eastAsia" w:ascii="宋体" w:hAnsi="宋体"/>
          <w:spacing w:val="2"/>
          <w:sz w:val="28"/>
          <w:szCs w:val="28"/>
          <w:lang w:eastAsia="zh-CN"/>
        </w:rPr>
        <w:t>减少</w:t>
      </w:r>
      <w:r>
        <w:rPr>
          <w:rFonts w:hint="eastAsia" w:ascii="宋体" w:hAnsi="宋体"/>
          <w:spacing w:val="2"/>
          <w:sz w:val="28"/>
          <w:szCs w:val="28"/>
        </w:rPr>
        <w:t>幅度为</w:t>
      </w:r>
      <w:r>
        <w:rPr>
          <w:rFonts w:hint="eastAsia" w:ascii="宋体" w:hAnsi="宋体"/>
          <w:spacing w:val="2"/>
          <w:sz w:val="28"/>
          <w:szCs w:val="28"/>
          <w:lang w:val="en-US" w:eastAsia="zh-CN"/>
        </w:rPr>
        <w:t>20.04</w:t>
      </w:r>
      <w:r>
        <w:rPr>
          <w:rFonts w:hint="eastAsia" w:ascii="宋体" w:hAnsi="宋体"/>
          <w:spacing w:val="2"/>
          <w:sz w:val="28"/>
          <w:szCs w:val="28"/>
        </w:rPr>
        <w:t>%，原因是业务量</w:t>
      </w:r>
      <w:r>
        <w:rPr>
          <w:rFonts w:hint="eastAsia" w:ascii="宋体" w:hAnsi="宋体"/>
          <w:spacing w:val="2"/>
          <w:sz w:val="28"/>
          <w:szCs w:val="28"/>
          <w:lang w:eastAsia="zh-CN"/>
        </w:rPr>
        <w:t>减少</w:t>
      </w:r>
      <w:r>
        <w:rPr>
          <w:rFonts w:hint="eastAsia" w:ascii="宋体" w:hAnsi="宋体"/>
          <w:spacing w:val="2"/>
          <w:sz w:val="28"/>
          <w:szCs w:val="28"/>
        </w:rPr>
        <w:t>。</w:t>
      </w:r>
    </w:p>
    <w:p>
      <w:pPr>
        <w:pStyle w:val="12"/>
        <w:spacing w:line="540" w:lineRule="exact"/>
        <w:rPr>
          <w:rFonts w:hint="eastAsia" w:ascii="仿宋_GB2312" w:hAnsi="宋体" w:eastAsia="仿宋_GB2312"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宋体" w:hAnsi="宋体" w:cs="仿宋"/>
          <w:bCs/>
          <w:sz w:val="28"/>
          <w:szCs w:val="28"/>
        </w:rPr>
      </w:pPr>
    </w:p>
    <w:p>
      <w:pPr>
        <w:spacing w:line="560" w:lineRule="exact"/>
        <w:ind w:firstLine="560" w:firstLineChars="200"/>
        <w:rPr>
          <w:rFonts w:ascii="宋体" w:cs="宋体"/>
          <w:color w:val="000000"/>
          <w:sz w:val="28"/>
          <w:szCs w:val="28"/>
        </w:rPr>
      </w:pPr>
    </w:p>
    <w:p>
      <w:pPr>
        <w:pStyle w:val="6"/>
        <w:widowControl/>
        <w:spacing w:before="76" w:beforeAutospacing="0" w:after="76" w:afterAutospacing="0" w:line="450" w:lineRule="atLeast"/>
        <w:ind w:firstLine="240" w:firstLineChars="100"/>
        <w:rPr>
          <w:rFonts w:ascii="微软雅黑" w:hAnsi="微软雅黑" w:eastAsia="微软雅黑" w:cs="微软雅黑"/>
          <w:b/>
          <w:color w:val="333333"/>
        </w:rPr>
      </w:pPr>
      <w:r>
        <w:rPr>
          <w:rStyle w:val="9"/>
          <w:rFonts w:hint="eastAsia" w:ascii="微软雅黑" w:hAnsi="微软雅黑" w:eastAsia="微软雅黑" w:cs="微软雅黑"/>
          <w:color w:val="333333"/>
          <w:shd w:val="clear" w:color="auto" w:fill="FFFFFF"/>
        </w:rPr>
        <w:t>第四部分</w:t>
      </w:r>
      <w:r>
        <w:rPr>
          <w:rStyle w:val="9"/>
          <w:rFonts w:ascii="微软雅黑" w:hAnsi="微软雅黑" w:eastAsia="微软雅黑" w:cs="微软雅黑"/>
          <w:color w:val="333333"/>
          <w:shd w:val="clear" w:color="auto" w:fill="FFFFFF"/>
        </w:rPr>
        <w:t xml:space="preserve"> </w:t>
      </w:r>
      <w:r>
        <w:rPr>
          <w:rStyle w:val="9"/>
          <w:rFonts w:hint="eastAsia" w:ascii="微软雅黑" w:hAnsi="微软雅黑" w:eastAsia="微软雅黑" w:cs="微软雅黑"/>
          <w:color w:val="333333"/>
          <w:shd w:val="clear" w:color="auto" w:fill="FFFFFF"/>
        </w:rPr>
        <w:t>名词解释</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一、财政补助收入：指县级财政当年拨付的资金。</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二、其他收入：指除“财政拨款收入”、“上级补助收入”、“事业收入”、“经营收入”等以外的收入。主要是存款利息收入等。</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三、年初结转和结余：指以前年度尚未完成、结转到本年按有关规定继续使用的资金。</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四、一般公共服务（类）行政运行（项）：指县行政单位及参照公务员管理事业单位用于保障机构正常运行、开展日常工作的基本支出。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五、一般公共服务（类）一般行政管理事务（项）：指县行政单位及参照公务员管理事业单位用于开展立法调研、财政信息宣传、非税收入征管等未单独设置项级科目的专门性财政管理工作的项目支出。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六、一般公共服务（类）机关服务（项）：指黄石港区信访局服务中心为机关提供办公楼日常维修、维护等后勤保障服务的支出。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七、一般公共服务（类）其他一般公共服务支出（款）其他一般公共服务支出（项）：指用于其他一般公共服务方面的支出。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八、教育（类）普通教育（款）高等教育（项）：指支持地方高校的重点发展和特色办学，组织专家对省属院校申报的建设规划和项目预算进行评审等相关工作的支出。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九、社会保障和就业</w:t>
      </w:r>
      <w:r>
        <w:rPr>
          <w:rFonts w:ascii="宋体" w:hAnsi="宋体" w:cs="宋体"/>
          <w:color w:val="333333"/>
          <w:sz w:val="28"/>
          <w:szCs w:val="28"/>
        </w:rPr>
        <w:t>(</w:t>
      </w:r>
      <w:r>
        <w:rPr>
          <w:rFonts w:hint="eastAsia" w:ascii="宋体" w:hAnsi="宋体" w:cs="宋体"/>
          <w:color w:val="333333"/>
          <w:sz w:val="28"/>
          <w:szCs w:val="28"/>
        </w:rPr>
        <w:t>类</w:t>
      </w:r>
      <w:r>
        <w:rPr>
          <w:rFonts w:ascii="宋体" w:hAnsi="宋体" w:cs="宋体"/>
          <w:color w:val="333333"/>
          <w:sz w:val="28"/>
          <w:szCs w:val="28"/>
        </w:rPr>
        <w:t>)</w:t>
      </w:r>
      <w:r>
        <w:rPr>
          <w:rFonts w:hint="eastAsia" w:ascii="宋体" w:hAnsi="宋体" w:cs="宋体"/>
          <w:color w:val="333333"/>
          <w:sz w:val="28"/>
          <w:szCs w:val="28"/>
        </w:rPr>
        <w:t>行政事业单位离退休（款）归口管理的行政单位离退休（项）：指用于离退休人员的支出、退休人员支出，以及提供管理服务工作的离退休干部处的支出。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十、社会保障和就业</w:t>
      </w:r>
      <w:r>
        <w:rPr>
          <w:rFonts w:ascii="宋体" w:hAnsi="宋体" w:cs="宋体"/>
          <w:color w:val="333333"/>
          <w:sz w:val="28"/>
          <w:szCs w:val="28"/>
        </w:rPr>
        <w:t>(</w:t>
      </w:r>
      <w:r>
        <w:rPr>
          <w:rFonts w:hint="eastAsia" w:ascii="宋体" w:hAnsi="宋体" w:cs="宋体"/>
          <w:color w:val="333333"/>
          <w:sz w:val="28"/>
          <w:szCs w:val="28"/>
        </w:rPr>
        <w:t>类</w:t>
      </w:r>
      <w:r>
        <w:rPr>
          <w:rFonts w:ascii="宋体" w:hAnsi="宋体" w:cs="宋体"/>
          <w:color w:val="333333"/>
          <w:sz w:val="28"/>
          <w:szCs w:val="28"/>
        </w:rPr>
        <w:t>)</w:t>
      </w:r>
      <w:r>
        <w:rPr>
          <w:rFonts w:hint="eastAsia" w:ascii="宋体" w:hAnsi="宋体" w:cs="宋体"/>
          <w:color w:val="333333"/>
          <w:sz w:val="28"/>
          <w:szCs w:val="28"/>
        </w:rPr>
        <w:t>行政事业单位离退休（款）其他行政事业单位离退休支出（项）：指用于离退休方面的其他支出。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十一、医疗卫生与计划生育（类）医疗保障（款）行政单位医疗（项）：指用于机关干部职工及离退休人员医疗方面的支出。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十二、住房保障（类）住房改革支出（款）购房补贴（项）：指按照相关住房分配货币化改革的政策规定和标准，对无房和住房未达标职工发放的住房分配货币化补贴资金。</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十三、年末结转和结余：指本年度或以前年度预算安排、因客观条件发生变化无法按原计划实施，需要延迟到以后年度按有关规定继续使用的资金。</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十四、基本支出：指为保障机构正常运转、完成日常工作任务而发生的人员支出（包括基本工资、津贴补贴等）和公用支出（包括办公费、水电费、邮电费、交通费、差旅费等）。</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十五、项目支出：指在基本支出之外为完成特定行政任务和事业发展目标所发生的支出。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十六、“三公”经费：是指用财政拨款安排的因公出国（境）费、公务用车购置及运行维护费、公务接待费。</w:t>
      </w:r>
    </w:p>
    <w:p>
      <w:pPr>
        <w:spacing w:line="560" w:lineRule="exact"/>
        <w:rPr>
          <w:rFonts w:ascii="宋体" w:cs="宋体"/>
          <w:color w:val="000000"/>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AF"/>
    <w:rsid w:val="00071AE6"/>
    <w:rsid w:val="00090B03"/>
    <w:rsid w:val="000B479B"/>
    <w:rsid w:val="000E5333"/>
    <w:rsid w:val="000E77F8"/>
    <w:rsid w:val="001B145A"/>
    <w:rsid w:val="00233444"/>
    <w:rsid w:val="00275020"/>
    <w:rsid w:val="002807C3"/>
    <w:rsid w:val="002C3F29"/>
    <w:rsid w:val="00303099"/>
    <w:rsid w:val="003211F8"/>
    <w:rsid w:val="0049285E"/>
    <w:rsid w:val="004C552A"/>
    <w:rsid w:val="005266C5"/>
    <w:rsid w:val="00540FB5"/>
    <w:rsid w:val="00582F2A"/>
    <w:rsid w:val="005C3BE9"/>
    <w:rsid w:val="0062554F"/>
    <w:rsid w:val="008211AF"/>
    <w:rsid w:val="0085273F"/>
    <w:rsid w:val="008675F7"/>
    <w:rsid w:val="00886280"/>
    <w:rsid w:val="008C491D"/>
    <w:rsid w:val="008E6025"/>
    <w:rsid w:val="008F6181"/>
    <w:rsid w:val="00953A5F"/>
    <w:rsid w:val="009F4BD6"/>
    <w:rsid w:val="00A73224"/>
    <w:rsid w:val="00A77BA8"/>
    <w:rsid w:val="00AE6C8F"/>
    <w:rsid w:val="00AF1AA0"/>
    <w:rsid w:val="00BC7737"/>
    <w:rsid w:val="00C4003E"/>
    <w:rsid w:val="00C74D48"/>
    <w:rsid w:val="00C85D01"/>
    <w:rsid w:val="00CC0C3A"/>
    <w:rsid w:val="00D13647"/>
    <w:rsid w:val="00D31989"/>
    <w:rsid w:val="00DC5EDC"/>
    <w:rsid w:val="00E12FAB"/>
    <w:rsid w:val="00E234DD"/>
    <w:rsid w:val="00F02DAB"/>
    <w:rsid w:val="0664587B"/>
    <w:rsid w:val="0BCE09EC"/>
    <w:rsid w:val="0E836A5F"/>
    <w:rsid w:val="1AB1641C"/>
    <w:rsid w:val="228A65CA"/>
    <w:rsid w:val="23EB7AFF"/>
    <w:rsid w:val="255E033E"/>
    <w:rsid w:val="272551FC"/>
    <w:rsid w:val="289C3E82"/>
    <w:rsid w:val="2A0A5BBE"/>
    <w:rsid w:val="2B590432"/>
    <w:rsid w:val="2C203A0A"/>
    <w:rsid w:val="310E7D0E"/>
    <w:rsid w:val="32BD01BE"/>
    <w:rsid w:val="35FF1291"/>
    <w:rsid w:val="38203263"/>
    <w:rsid w:val="3C2D5DD2"/>
    <w:rsid w:val="3D3B74DC"/>
    <w:rsid w:val="46EE714E"/>
    <w:rsid w:val="4FE04455"/>
    <w:rsid w:val="559C04C3"/>
    <w:rsid w:val="5DBA7B19"/>
    <w:rsid w:val="692B2102"/>
    <w:rsid w:val="6B236211"/>
    <w:rsid w:val="6DF9629B"/>
    <w:rsid w:val="70A32328"/>
    <w:rsid w:val="70A87000"/>
    <w:rsid w:val="746766E2"/>
    <w:rsid w:val="78186405"/>
    <w:rsid w:val="7A412433"/>
    <w:rsid w:val="7C4500F8"/>
    <w:rsid w:val="7ED07DD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10"/>
    <w:qFormat/>
    <w:uiPriority w:val="99"/>
    <w:pPr>
      <w:spacing w:beforeAutospacing="1" w:afterAutospacing="1"/>
      <w:jc w:val="left"/>
      <w:outlineLvl w:val="4"/>
    </w:pPr>
    <w:rPr>
      <w:rFonts w:ascii="宋体" w:hAnsi="宋体"/>
      <w:b/>
      <w:kern w:val="0"/>
      <w:sz w:val="20"/>
      <w:szCs w:val="20"/>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1"/>
    <w:qFormat/>
    <w:uiPriority w:val="99"/>
    <w:rPr>
      <w:rFonts w:ascii="宋体" w:hAnsi="Courier New" w:cs="Courier New"/>
      <w:szCs w:val="21"/>
    </w:r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rPr>
  </w:style>
  <w:style w:type="character" w:styleId="9">
    <w:name w:val="Strong"/>
    <w:basedOn w:val="8"/>
    <w:qFormat/>
    <w:uiPriority w:val="99"/>
    <w:rPr>
      <w:rFonts w:cs="Times New Roman"/>
      <w:b/>
    </w:rPr>
  </w:style>
  <w:style w:type="character" w:customStyle="1" w:styleId="10">
    <w:name w:val="Heading 5 Char"/>
    <w:basedOn w:val="8"/>
    <w:link w:val="2"/>
    <w:semiHidden/>
    <w:qFormat/>
    <w:locked/>
    <w:uiPriority w:val="99"/>
    <w:rPr>
      <w:rFonts w:ascii="Calibri" w:hAnsi="Calibri" w:cs="Times New Roman"/>
      <w:b/>
      <w:bCs/>
      <w:sz w:val="28"/>
      <w:szCs w:val="28"/>
    </w:rPr>
  </w:style>
  <w:style w:type="character" w:customStyle="1" w:styleId="11">
    <w:name w:val="Plain Text Char"/>
    <w:basedOn w:val="8"/>
    <w:link w:val="3"/>
    <w:semiHidden/>
    <w:qFormat/>
    <w:locked/>
    <w:uiPriority w:val="99"/>
    <w:rPr>
      <w:rFonts w:ascii="宋体" w:hAnsi="Courier New" w:cs="Courier New"/>
      <w:sz w:val="21"/>
      <w:szCs w:val="21"/>
    </w:rPr>
  </w:style>
  <w:style w:type="paragraph" w:customStyle="1" w:styleId="12">
    <w:name w:val="正文缩进 + 首行缩进:  2 字符"/>
    <w:basedOn w:val="1"/>
    <w:qFormat/>
    <w:uiPriority w:val="99"/>
    <w:pPr>
      <w:spacing w:line="560" w:lineRule="exact"/>
      <w:ind w:firstLine="640"/>
    </w:pPr>
    <w:rPr>
      <w:rFonts w:ascii="仿宋" w:hAnsi="仿宋" w:cs="宋体"/>
      <w:sz w:val="32"/>
      <w:szCs w:val="32"/>
    </w:rPr>
  </w:style>
  <w:style w:type="character" w:customStyle="1" w:styleId="13">
    <w:name w:val="ca-2"/>
    <w:basedOn w:val="8"/>
    <w:qFormat/>
    <w:uiPriority w:val="99"/>
    <w:rPr>
      <w:rFonts w:cs="Times New Roman"/>
    </w:rPr>
  </w:style>
  <w:style w:type="paragraph" w:customStyle="1" w:styleId="14">
    <w:name w:val="Normal (Web)1"/>
    <w:basedOn w:val="1"/>
    <w:qFormat/>
    <w:uiPriority w:val="99"/>
    <w:pPr>
      <w:widowControl/>
      <w:spacing w:before="100" w:beforeAutospacing="1" w:after="100" w:afterAutospacing="1"/>
      <w:jc w:val="left"/>
    </w:pPr>
    <w:rPr>
      <w:rFonts w:ascii="宋体" w:hAnsi="宋体" w:cs="宋体"/>
      <w:kern w:val="0"/>
      <w:sz w:val="24"/>
    </w:rPr>
  </w:style>
  <w:style w:type="character" w:customStyle="1" w:styleId="15">
    <w:name w:val="Header Char"/>
    <w:basedOn w:val="8"/>
    <w:link w:val="5"/>
    <w:semiHidden/>
    <w:qFormat/>
    <w:locked/>
    <w:uiPriority w:val="99"/>
    <w:rPr>
      <w:rFonts w:ascii="Calibri" w:hAnsi="Calibri" w:cs="Times New Roman"/>
      <w:sz w:val="18"/>
      <w:szCs w:val="18"/>
    </w:rPr>
  </w:style>
  <w:style w:type="character" w:customStyle="1" w:styleId="16">
    <w:name w:val="Footer Char"/>
    <w:basedOn w:val="8"/>
    <w:link w:val="4"/>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16</Pages>
  <Words>407</Words>
  <Characters>2321</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盼</cp:lastModifiedBy>
  <dcterms:modified xsi:type="dcterms:W3CDTF">2021-09-15T02:27:45Z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