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黄石港区信访办</w:t>
      </w:r>
      <w:r>
        <w:rPr>
          <w:rFonts w:hint="eastAsia" w:ascii="微软雅黑" w:hAnsi="微软雅黑" w:eastAsia="微软雅黑" w:cs="微软雅黑"/>
          <w:color w:val="BC1010"/>
          <w:sz w:val="40"/>
          <w:szCs w:val="40"/>
          <w:shd w:val="clear" w:color="auto" w:fill="FFFFFF"/>
          <w:lang w:eastAsia="zh-CN"/>
        </w:rPr>
        <w:t>2022年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黄石港区信访办</w:t>
      </w:r>
      <w:r>
        <w:rPr>
          <w:rFonts w:hint="eastAsia" w:ascii="黑体" w:hAnsi="黑体" w:eastAsia="黑体" w:cs="宋体"/>
          <w:kern w:val="2"/>
          <w:sz w:val="40"/>
          <w:szCs w:val="40"/>
          <w:lang w:eastAsia="zh-CN"/>
        </w:rPr>
        <w:t>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ind w:firstLine="560" w:firstLineChars="200"/>
        <w:jc w:val="left"/>
        <w:rPr>
          <w:rFonts w:asciiTheme="minorEastAsia" w:hAnsiTheme="minorEastAsia" w:cstheme="minorEastAsia"/>
          <w:color w:val="000000"/>
          <w:sz w:val="28"/>
          <w:szCs w:val="28"/>
        </w:rPr>
      </w:pPr>
      <w:r>
        <w:rPr>
          <w:rFonts w:hint="eastAsia" w:asciiTheme="minorEastAsia" w:hAnsiTheme="minorEastAsia" w:eastAsiaTheme="minorEastAsia" w:cstheme="minorEastAsia"/>
          <w:color w:val="000000"/>
          <w:sz w:val="28"/>
          <w:szCs w:val="28"/>
        </w:rPr>
        <w:t>受理、交办、转送信访人提出的信访事项；承办上级和本机人民政府交由处理的信访事项；协调处理重要信访事项；督促检查信访事项的处理；研究、分析信访情况，开展调查研究，及时向本级人民政府提出完善政策和改进工作的建议；对本级人民政府其他工作部门和下级人民政府信访工作机构的信访工作进行指导。</w:t>
      </w:r>
    </w:p>
    <w:p>
      <w:pPr>
        <w:widowControl/>
        <w:shd w:val="clear" w:color="auto" w:fill="FFFFFF"/>
        <w:snapToGrid w:val="0"/>
        <w:spacing w:line="560" w:lineRule="atLeast"/>
        <w:ind w:firstLine="562"/>
        <w:jc w:val="left"/>
        <w:rPr>
          <w:rFonts w:ascii="宋体" w:hAnsi="宋体" w:cs="宋体"/>
          <w:color w:val="333333"/>
          <w:kern w:val="0"/>
          <w:sz w:val="28"/>
          <w:szCs w:val="28"/>
        </w:rPr>
      </w:pP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二、部门预算单位构成</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eastAsiaTheme="minorEastAsia" w:cstheme="minorEastAsia"/>
          <w:color w:val="000000"/>
          <w:sz w:val="28"/>
          <w:szCs w:val="28"/>
        </w:rPr>
        <w:t>局（办）下设或内设机构为：群众接访中心、网络信访中心、办信室、复查复核（督办）室及局办公室。</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黄石港区信访办</w:t>
            </w:r>
            <w:r>
              <w:rPr>
                <w:rFonts w:hint="eastAsia" w:ascii="微软雅黑" w:hAnsi="微软雅黑" w:eastAsia="微软雅黑" w:cs="微软雅黑"/>
                <w:b/>
                <w:bCs/>
                <w:color w:val="333333"/>
                <w:kern w:val="0"/>
                <w:sz w:val="28"/>
                <w:szCs w:val="28"/>
                <w:shd w:val="clear" w:color="auto" w:fill="FFFFFF"/>
                <w:lang w:eastAsia="zh-CN"/>
              </w:rPr>
              <w:t>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黄石港区信访办</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1106483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 w:eastAsia="zh-CN"/>
              </w:rPr>
              <w:t xml:space="preserve">1106483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val="en" w:eastAsia="zh-CN"/>
              </w:rPr>
            </w:pPr>
            <w:r>
              <w:rPr>
                <w:rFonts w:hint="eastAsia" w:ascii="宋体" w:hAnsi="宋体" w:cs="宋体"/>
                <w:kern w:val="0"/>
                <w:sz w:val="24"/>
                <w:lang w:val="en" w:eastAsia="zh-CN"/>
              </w:rPr>
              <w:t xml:space="preserve">1106483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1106483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黄石港区信访办</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c>
          <w:tcPr>
            <w:tcW w:w="103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c>
          <w:tcPr>
            <w:tcW w:w="1005"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ind w:firstLine="210" w:firstLineChars="100"/>
              <w:jc w:val="left"/>
            </w:pPr>
            <w:r>
              <w:rPr>
                <w:rFonts w:hint="eastAsia"/>
              </w:rPr>
              <w:t>一般公共服务支出</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c>
          <w:tcPr>
            <w:tcW w:w="103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c>
          <w:tcPr>
            <w:tcW w:w="1005"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20103</w:t>
            </w:r>
          </w:p>
        </w:tc>
        <w:tc>
          <w:tcPr>
            <w:tcW w:w="1710" w:type="dxa"/>
            <w:vAlign w:val="center"/>
          </w:tcPr>
          <w:p>
            <w:pPr>
              <w:widowControl/>
              <w:ind w:firstLine="480" w:firstLineChars="200"/>
              <w:jc w:val="left"/>
            </w:pPr>
            <w:r>
              <w:rPr>
                <w:rFonts w:hint="eastAsia" w:ascii="宋体" w:hAnsi="宋体" w:cs="宋体"/>
                <w:kern w:val="0"/>
                <w:sz w:val="24"/>
              </w:rPr>
              <w:t>政府办公厅（室）及相关机构事务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c>
          <w:tcPr>
            <w:tcW w:w="103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c>
          <w:tcPr>
            <w:tcW w:w="1005"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0301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 xml:space="preserve">1106483 </w:t>
            </w:r>
          </w:p>
        </w:tc>
        <w:tc>
          <w:tcPr>
            <w:tcW w:w="1035"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 xml:space="preserve">1106483 </w:t>
            </w:r>
          </w:p>
        </w:tc>
        <w:tc>
          <w:tcPr>
            <w:tcW w:w="1005"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黄石港区信访办</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黄石港区信访办</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c>
          <w:tcPr>
            <w:tcW w:w="1815"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ind w:firstLine="210" w:firstLineChars="100"/>
              <w:jc w:val="left"/>
            </w:pPr>
            <w:r>
              <w:rPr>
                <w:rFonts w:hint="eastAsia"/>
              </w:rPr>
              <w:t>一般公共服务支出</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c>
          <w:tcPr>
            <w:tcW w:w="1815"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 xml:space="preserve">1106483 </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20103</w:t>
            </w:r>
          </w:p>
        </w:tc>
        <w:tc>
          <w:tcPr>
            <w:tcW w:w="2100" w:type="dxa"/>
            <w:vAlign w:val="center"/>
          </w:tcPr>
          <w:p>
            <w:pPr>
              <w:widowControl/>
              <w:ind w:firstLine="480" w:firstLineChars="200"/>
              <w:jc w:val="left"/>
            </w:pPr>
            <w:r>
              <w:rPr>
                <w:rFonts w:hint="eastAsia" w:ascii="宋体" w:hAnsi="宋体" w:cs="宋体"/>
                <w:kern w:val="0"/>
                <w:sz w:val="24"/>
              </w:rPr>
              <w:t>政府办公厅（室）及相关机构事务</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c>
          <w:tcPr>
            <w:tcW w:w="181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1106483 </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0301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val="en" w:eastAsia="zh-CN"/>
              </w:rPr>
            </w:pPr>
            <w:r>
              <w:rPr>
                <w:rFonts w:hint="eastAsia" w:ascii="宋体" w:hAnsi="宋体" w:cs="宋体"/>
                <w:kern w:val="0"/>
                <w:sz w:val="24"/>
                <w:lang w:val="en" w:eastAsia="zh-CN"/>
              </w:rPr>
              <w:t xml:space="preserve">1106483 </w:t>
            </w:r>
          </w:p>
        </w:tc>
        <w:tc>
          <w:tcPr>
            <w:tcW w:w="1815" w:type="dxa"/>
            <w:vAlign w:val="center"/>
          </w:tcPr>
          <w:p>
            <w:pPr>
              <w:widowControl/>
              <w:jc w:val="center"/>
              <w:rPr>
                <w:rFonts w:hint="eastAsia" w:ascii="宋体" w:hAnsi="宋体" w:eastAsia="宋体" w:cs="宋体"/>
                <w:kern w:val="0"/>
                <w:sz w:val="24"/>
                <w:lang w:val="en" w:eastAsia="zh-CN"/>
              </w:rPr>
            </w:pPr>
            <w:r>
              <w:rPr>
                <w:rFonts w:hint="eastAsia" w:ascii="宋体" w:hAnsi="宋体" w:cs="宋体"/>
                <w:kern w:val="0"/>
                <w:sz w:val="24"/>
                <w:lang w:val="en" w:eastAsia="zh-CN"/>
              </w:rPr>
              <w:t xml:space="preserve">1106483 </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黄石港区信访办</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lang w:val="en" w:eastAsia="zh-CN"/>
              </w:rPr>
              <w:t xml:space="preserve">1106483 </w:t>
            </w:r>
            <w:r>
              <w:rPr>
                <w:rFonts w:hint="eastAsia" w:asciiTheme="minorEastAsia" w:hAnsiTheme="minorEastAsia" w:eastAsiaTheme="minorEastAsia"/>
                <w:b/>
                <w:bCs/>
                <w:color w:val="000000"/>
                <w:sz w:val="24"/>
              </w:rPr>
              <w:t xml:space="preserve"> </w:t>
            </w:r>
          </w:p>
        </w:tc>
        <w:tc>
          <w:tcPr>
            <w:tcW w:w="1260" w:type="dxa"/>
            <w:shd w:val="clear" w:color="auto" w:fill="D7D7D7" w:themeFill="background1" w:themeFillShade="D8"/>
            <w:vAlign w:val="center"/>
          </w:tcPr>
          <w:p>
            <w:pPr>
              <w:jc w:val="center"/>
              <w:rPr>
                <w:rFonts w:hint="default" w:cs="Calibri" w:asciiTheme="minorEastAsia" w:hAnsiTheme="minorEastAsia" w:eastAsiaTheme="minorEastAsia"/>
                <w:color w:val="000000"/>
                <w:sz w:val="24"/>
                <w:lang w:val="en-US" w:eastAsia="zh-CN"/>
              </w:rPr>
            </w:pPr>
            <w:r>
              <w:rPr>
                <w:rFonts w:cs="Calibri" w:asciiTheme="minorEastAsia" w:hAnsiTheme="minorEastAsia" w:eastAsiaTheme="minorEastAsia"/>
                <w:b/>
                <w:bCs/>
                <w:color w:val="000000"/>
                <w:sz w:val="24"/>
              </w:rPr>
              <w:t>　</w:t>
            </w:r>
            <w:r>
              <w:rPr>
                <w:rFonts w:hint="eastAsia" w:cs="Calibri" w:asciiTheme="minorEastAsia" w:hAnsiTheme="minorEastAsia" w:eastAsiaTheme="minorEastAsia"/>
                <w:b/>
                <w:bCs/>
                <w:color w:val="000000"/>
                <w:sz w:val="24"/>
                <w:lang w:val="en-US" w:eastAsia="zh-CN"/>
              </w:rPr>
              <w:t>976852</w:t>
            </w:r>
          </w:p>
        </w:tc>
        <w:tc>
          <w:tcPr>
            <w:tcW w:w="1522" w:type="dxa"/>
            <w:shd w:val="clear" w:color="auto" w:fill="D7D7D7" w:themeFill="background1" w:themeFillShade="D8"/>
            <w:vAlign w:val="center"/>
          </w:tcPr>
          <w:p>
            <w:pPr>
              <w:jc w:val="center"/>
              <w:rPr>
                <w:rFonts w:cs="Calibri" w:asciiTheme="minorEastAsia" w:hAnsiTheme="minorEastAsia" w:eastAsiaTheme="minorEastAsia"/>
                <w:color w:val="000000"/>
                <w:sz w:val="24"/>
              </w:rPr>
            </w:pPr>
            <w:r>
              <w:rPr>
                <w:rFonts w:hint="eastAsia" w:cs="Calibri" w:asciiTheme="minorEastAsia" w:hAnsiTheme="minorEastAsia" w:eastAsiaTheme="minorEastAsia"/>
                <w:b/>
                <w:bCs/>
                <w:color w:val="000000"/>
                <w:sz w:val="24"/>
                <w:lang w:val="en-US" w:eastAsia="zh-CN"/>
              </w:rPr>
              <w:t>74620</w:t>
            </w:r>
            <w:r>
              <w:rPr>
                <w:rFonts w:cs="Calibri"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941118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941118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232956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232956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531752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531752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6433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6433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110022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110022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59955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59955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hint="default" w:cs="宋体" w:asciiTheme="minorEastAsia" w:hAnsiTheme="minorEastAsia" w:eastAsiaTheme="minorEastAsia"/>
                <w:color w:val="000000"/>
                <w:sz w:val="24"/>
                <w:lang w:val="en"/>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74620 </w:t>
            </w:r>
          </w:p>
        </w:tc>
        <w:tc>
          <w:tcPr>
            <w:tcW w:w="1260" w:type="dxa"/>
            <w:vAlign w:val="center"/>
          </w:tcPr>
          <w:p>
            <w:pPr>
              <w:jc w:val="center"/>
              <w:rPr>
                <w:rFonts w:hint="default" w:cs="宋体" w:asciiTheme="minorEastAsia" w:hAnsiTheme="minorEastAsia" w:eastAsiaTheme="minorEastAsia"/>
                <w:color w:val="000000"/>
                <w:sz w:val="24"/>
                <w:lang w:val="en"/>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74620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 w:eastAsia="zh-CN" w:bidi="ar-SA"/>
              </w:rPr>
            </w:pPr>
            <w:r>
              <w:rPr>
                <w:rFonts w:hint="eastAsia" w:cs="宋体" w:asciiTheme="minorEastAsia" w:hAnsiTheme="minorEastAsia" w:eastAsiaTheme="minorEastAsia"/>
                <w:color w:val="000000"/>
                <w:sz w:val="24"/>
                <w:lang w:val="en-US" w:eastAsia="zh-CN"/>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4200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 w:eastAsia="zh-CN" w:bidi="ar-SA"/>
              </w:rPr>
            </w:pPr>
            <w:r>
              <w:rPr>
                <w:rFonts w:hint="eastAsia" w:cs="宋体" w:asciiTheme="minorEastAsia" w:hAnsiTheme="minorEastAsia" w:eastAsiaTheme="minorEastAsia"/>
                <w:color w:val="000000"/>
                <w:sz w:val="24"/>
                <w:lang w:val="en-US" w:eastAsia="zh-CN"/>
              </w:rPr>
              <w:t>4200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 w:eastAsia="zh-CN" w:bidi="ar-SA"/>
              </w:rPr>
            </w:pPr>
            <w:r>
              <w:rPr>
                <w:rFonts w:hint="eastAsia" w:cs="宋体" w:asciiTheme="minorEastAsia" w:hAnsiTheme="minorEastAsia" w:eastAsiaTheme="minorEastAsia"/>
                <w:color w:val="000000"/>
                <w:sz w:val="24"/>
                <w:lang w:val="en-US" w:eastAsia="zh-CN"/>
              </w:rPr>
              <w:t>300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6120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 w:eastAsia="zh-CN" w:bidi="ar-SA"/>
              </w:rPr>
            </w:pPr>
            <w:r>
              <w:rPr>
                <w:rFonts w:hint="eastAsia" w:cs="宋体" w:asciiTheme="minorEastAsia" w:hAnsiTheme="minorEastAsia" w:eastAsiaTheme="minorEastAsia"/>
                <w:color w:val="000000"/>
                <w:sz w:val="24"/>
                <w:lang w:val="en-US" w:eastAsia="zh-CN"/>
              </w:rPr>
              <w:t>6120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5640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 w:eastAsia="zh-CN" w:bidi="ar-SA"/>
              </w:rPr>
            </w:pPr>
            <w:r>
              <w:rPr>
                <w:rFonts w:hint="eastAsia" w:cs="宋体" w:asciiTheme="minorEastAsia" w:hAnsiTheme="minorEastAsia" w:eastAsiaTheme="minorEastAsia"/>
                <w:color w:val="000000"/>
                <w:sz w:val="24"/>
                <w:lang w:val="en-US" w:eastAsia="zh-CN"/>
              </w:rPr>
              <w:t>5640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600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6876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6876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7500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15423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15423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11461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11461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7500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hint="default" w:cs="宋体" w:asciiTheme="minorEastAsia" w:hAnsiTheme="minorEastAsia" w:eastAsiaTheme="minorEastAsia"/>
                <w:b/>
                <w:color w:val="000000"/>
                <w:sz w:val="24"/>
                <w:lang w:val="en-US" w:eastAsia="zh-CN"/>
              </w:rPr>
            </w:pPr>
            <w:r>
              <w:rPr>
                <w:rFonts w:hint="eastAsia" w:cs="宋体" w:asciiTheme="minorEastAsia" w:hAnsiTheme="minorEastAsia" w:eastAsiaTheme="minorEastAsia"/>
                <w:b/>
                <w:color w:val="000000"/>
                <w:sz w:val="24"/>
                <w:lang w:val="en-US" w:eastAsia="zh-CN"/>
              </w:rPr>
              <w:t>35734</w:t>
            </w:r>
          </w:p>
        </w:tc>
        <w:tc>
          <w:tcPr>
            <w:tcW w:w="1260" w:type="dxa"/>
            <w:vAlign w:val="center"/>
          </w:tcPr>
          <w:p>
            <w:pPr>
              <w:jc w:val="center"/>
              <w:rPr>
                <w:rFonts w:hint="default" w:cs="宋体" w:asciiTheme="minorEastAsia" w:hAnsiTheme="minorEastAsia" w:eastAsiaTheme="minorEastAsia"/>
                <w:b/>
                <w:color w:val="000000"/>
                <w:kern w:val="2"/>
                <w:sz w:val="24"/>
                <w:szCs w:val="24"/>
                <w:lang w:val="en-US" w:eastAsia="zh-CN" w:bidi="ar-SA"/>
              </w:rPr>
            </w:pPr>
            <w:r>
              <w:rPr>
                <w:rFonts w:hint="eastAsia" w:cs="宋体" w:asciiTheme="minorEastAsia" w:hAnsiTheme="minorEastAsia" w:eastAsiaTheme="minorEastAsia"/>
                <w:b/>
                <w:color w:val="000000"/>
                <w:sz w:val="24"/>
                <w:lang w:val="en-US" w:eastAsia="zh-CN"/>
              </w:rPr>
              <w:t>35734</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35734</w:t>
            </w:r>
          </w:p>
        </w:tc>
        <w:tc>
          <w:tcPr>
            <w:tcW w:w="1260" w:type="dxa"/>
            <w:vAlign w:val="center"/>
          </w:tcPr>
          <w:p>
            <w:pPr>
              <w:jc w:val="center"/>
              <w:rPr>
                <w:rFonts w:hint="default"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35734</w:t>
            </w:r>
          </w:p>
        </w:tc>
        <w:tc>
          <w:tcPr>
            <w:tcW w:w="1522"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黄石港区信访办</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ascii="宋体" w:hAnsi="宋体" w:cs="宋体"/>
                <w:color w:val="000000"/>
                <w:sz w:val="24"/>
              </w:rPr>
            </w:pPr>
            <w:r>
              <w:rPr>
                <w:rFonts w:hint="eastAsia"/>
                <w:color w:val="000000"/>
              </w:rPr>
              <w:t>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vAlign w:val="center"/>
          </w:tcPr>
          <w:p>
            <w:pPr>
              <w:widowControl/>
              <w:ind w:firstLine="480" w:firstLineChars="200"/>
            </w:pPr>
            <w:r>
              <w:rPr>
                <w:rFonts w:hint="eastAsia" w:ascii="宋体" w:hAnsi="宋体" w:cs="宋体"/>
                <w:kern w:val="0"/>
                <w:sz w:val="24"/>
              </w:rPr>
              <w:t>因公出国（境）费</w:t>
            </w:r>
          </w:p>
        </w:tc>
        <w:tc>
          <w:tcPr>
            <w:tcW w:w="3675" w:type="dxa"/>
            <w:vAlign w:val="center"/>
          </w:tcPr>
          <w:p>
            <w:pPr>
              <w:jc w:val="center"/>
              <w:rPr>
                <w:rFonts w:ascii="宋体" w:hAnsi="宋体" w:cs="宋体"/>
                <w:color w:val="000000"/>
                <w:sz w:val="24"/>
              </w:rPr>
            </w:pPr>
            <w:r>
              <w:rPr>
                <w:rFonts w:hint="eastAsia"/>
                <w:color w:val="00000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ascii="宋体" w:hAnsi="宋体" w:cs="宋体"/>
                <w:color w:val="000000"/>
                <w:sz w:val="24"/>
              </w:rPr>
            </w:pPr>
            <w:r>
              <w:rPr>
                <w:rFonts w:hint="eastAsia"/>
                <w:color w:val="000000"/>
              </w:rPr>
              <w:t>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ascii="宋体" w:hAnsi="宋体" w:cs="宋体"/>
                <w:color w:val="000000"/>
                <w:sz w:val="24"/>
              </w:rPr>
            </w:pPr>
            <w:r>
              <w:rPr>
                <w:rFonts w:hint="eastAsia"/>
                <w:color w:val="00000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ascii="宋体" w:hAnsi="宋体" w:cs="宋体"/>
                <w:color w:val="000000"/>
                <w:sz w:val="24"/>
              </w:rPr>
            </w:pPr>
            <w:r>
              <w:rPr>
                <w:rFonts w:hint="eastAsia"/>
                <w:color w:val="00000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 xml:space="preserve">                 公务用车购置费</w:t>
            </w:r>
          </w:p>
        </w:tc>
        <w:tc>
          <w:tcPr>
            <w:tcW w:w="3675" w:type="dxa"/>
            <w:vAlign w:val="center"/>
          </w:tcPr>
          <w:p>
            <w:pPr>
              <w:jc w:val="center"/>
              <w:rPr>
                <w:rFonts w:ascii="宋体" w:hAnsi="宋体" w:cs="宋体"/>
                <w:color w:val="000000"/>
                <w:sz w:val="24"/>
              </w:rPr>
            </w:pPr>
            <w:r>
              <w:rPr>
                <w:rFonts w:hint="eastAsia"/>
                <w:color w:val="000000"/>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1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
        <w:gridCol w:w="1305"/>
        <w:gridCol w:w="75"/>
        <w:gridCol w:w="1740"/>
        <w:gridCol w:w="630"/>
        <w:gridCol w:w="360"/>
        <w:gridCol w:w="1020"/>
        <w:gridCol w:w="150"/>
        <w:gridCol w:w="345"/>
        <w:gridCol w:w="495"/>
        <w:gridCol w:w="495"/>
        <w:gridCol w:w="360"/>
        <w:gridCol w:w="135"/>
        <w:gridCol w:w="495"/>
        <w:gridCol w:w="495"/>
        <w:gridCol w:w="495"/>
        <w:gridCol w:w="4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黄石港区信访办</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trHeight w:val="432" w:hRule="atLeast"/>
          <w:jc w:val="center"/>
        </w:trPr>
        <w:tc>
          <w:tcPr>
            <w:tcW w:w="9000" w:type="dxa"/>
            <w:gridSpan w:val="16"/>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3750" w:type="dxa"/>
            <w:gridSpan w:val="4"/>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gridSpan w:val="3"/>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9"/>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gridSpan w:val="2"/>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gridSpan w:val="3"/>
            <w:vMerge w:val="continue"/>
            <w:shd w:val="clear" w:color="auto" w:fill="D7D7D7" w:themeFill="background1" w:themeFillShade="D8"/>
            <w:vAlign w:val="center"/>
          </w:tcPr>
          <w:p>
            <w:pPr>
              <w:jc w:val="center"/>
              <w:rPr>
                <w:rFonts w:ascii="宋体"/>
                <w:sz w:val="24"/>
              </w:rPr>
            </w:pPr>
          </w:p>
        </w:tc>
        <w:tc>
          <w:tcPr>
            <w:tcW w:w="1695" w:type="dxa"/>
            <w:gridSpan w:val="4"/>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gridSpan w:val="5"/>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gridSpan w:val="4"/>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gridSpan w:val="5"/>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jc w:val="left"/>
            </w:pPr>
            <w:r>
              <w:rPr>
                <w:rFonts w:hint="eastAsia" w:ascii="宋体" w:hAnsi="宋体" w:cs="宋体"/>
                <w:kern w:val="0"/>
                <w:sz w:val="24"/>
              </w:rPr>
              <w:t>　　</w:t>
            </w:r>
            <w:r>
              <w:rPr>
                <w:rFonts w:hint="eastAsia" w:ascii="宋体" w:hAnsi="宋体" w:cs="宋体"/>
                <w:kern w:val="0"/>
                <w:sz w:val="24"/>
                <w:highlight w:val="none"/>
              </w:rPr>
              <w:t>　</w:t>
            </w:r>
            <w:r>
              <w:rPr>
                <w:rFonts w:hint="eastAsia" w:ascii="宋体" w:hAnsi="宋体" w:cs="宋体"/>
                <w:kern w:val="0"/>
                <w:sz w:val="24"/>
                <w:highlight w:val="none"/>
                <w:lang w:eastAsia="zh-CN"/>
              </w:rPr>
              <w:t>说明：本单位无政府性基金预算</w:t>
            </w:r>
            <w:r>
              <w:rPr>
                <w:rFonts w:hint="eastAsia" w:ascii="宋体" w:hAnsi="宋体" w:cs="宋体"/>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5" w:type="dxa"/>
          <w:trHeight w:val="380" w:hRule="atLeast"/>
        </w:trPr>
        <w:tc>
          <w:tcPr>
            <w:tcW w:w="1320"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81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5" w:type="dxa"/>
          <w:trHeight w:val="400" w:hRule="atLeast"/>
        </w:trPr>
        <w:tc>
          <w:tcPr>
            <w:tcW w:w="861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5" w:type="dxa"/>
          <w:trHeight w:val="180" w:hRule="atLeast"/>
        </w:trPr>
        <w:tc>
          <w:tcPr>
            <w:tcW w:w="132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815"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02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0"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5" w:type="dxa"/>
          <w:trHeight w:val="42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90" w:type="dxa"/>
            <w:gridSpan w:val="2"/>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0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5" w:type="dxa"/>
          <w:trHeight w:val="84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5" w:type="dxa"/>
          <w:trHeight w:val="615"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5" w:type="dxa"/>
          <w:trHeight w:val="400"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5" w:type="dxa"/>
          <w:trHeight w:val="255"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bl>
    <w:p>
      <w:pPr>
        <w:pStyle w:val="5"/>
        <w:widowControl/>
        <w:spacing w:before="0" w:beforeAutospacing="0" w:after="0" w:afterAutospacing="0" w:line="585" w:lineRule="atLeast"/>
        <w:rPr>
          <w:rStyle w:val="8"/>
          <w:rFonts w:hint="eastAsia" w:ascii="微软雅黑" w:hAnsi="微软雅黑" w:eastAsia="微软雅黑" w:cs="微软雅黑"/>
          <w:b w:val="0"/>
          <w:bCs/>
          <w:color w:val="333333"/>
          <w:shd w:val="clear" w:color="auto" w:fill="FFFFFF"/>
          <w:lang w:eastAsia="zh-CN"/>
        </w:rPr>
      </w:pPr>
      <w:r>
        <w:rPr>
          <w:rStyle w:val="8"/>
          <w:rFonts w:hint="eastAsia" w:ascii="微软雅黑" w:hAnsi="微软雅黑" w:eastAsia="微软雅黑" w:cs="微软雅黑"/>
          <w:b w:val="0"/>
          <w:bCs/>
          <w:color w:val="333333"/>
          <w:shd w:val="clear" w:color="auto" w:fill="FFFFFF"/>
          <w:lang w:eastAsia="zh-CN"/>
        </w:rPr>
        <w:t>说明：本单位无项目支出</w:t>
      </w:r>
    </w:p>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2022年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s="宋体"/>
          <w:sz w:val="28"/>
          <w:szCs w:val="28"/>
          <w:highlight w:val="none"/>
          <w:lang w:val="en" w:eastAsia="zh-CN"/>
        </w:rPr>
        <w:t xml:space="preserve">1106483 </w:t>
      </w:r>
      <w:r>
        <w:rPr>
          <w:rFonts w:hint="eastAsia" w:ascii="宋体" w:hAnsi="宋体"/>
          <w:color w:val="000000"/>
          <w:spacing w:val="2"/>
          <w:kern w:val="2"/>
          <w:sz w:val="28"/>
          <w:szCs w:val="28"/>
          <w:highlight w:val="none"/>
        </w:rPr>
        <w:t>元，其中财政拨款收入</w:t>
      </w:r>
      <w:r>
        <w:rPr>
          <w:rFonts w:hint="eastAsia" w:ascii="宋体" w:hAnsi="宋体" w:cs="宋体"/>
          <w:sz w:val="28"/>
          <w:szCs w:val="28"/>
          <w:highlight w:val="none"/>
          <w:lang w:val="en" w:eastAsia="zh-CN"/>
        </w:rPr>
        <w:t xml:space="preserve">1106483 </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default" w:ascii="宋体" w:hAnsi="宋体"/>
          <w:color w:val="000000"/>
          <w:spacing w:val="2"/>
          <w:kern w:val="2"/>
          <w:sz w:val="28"/>
          <w:szCs w:val="28"/>
          <w:highlight w:val="none"/>
          <w:lang w:val="en-US" w:eastAsia="zh-CN"/>
        </w:rPr>
      </w:pPr>
      <w:r>
        <w:rPr>
          <w:rFonts w:hint="eastAsia" w:ascii="宋体" w:hAnsi="宋体"/>
          <w:color w:val="000000"/>
          <w:spacing w:val="2"/>
          <w:kern w:val="2"/>
          <w:sz w:val="28"/>
          <w:szCs w:val="28"/>
          <w:highlight w:val="none"/>
          <w:lang w:val="en-US" w:eastAsia="zh-CN"/>
        </w:rPr>
        <w:t>2022年初预算支出</w:t>
      </w:r>
      <w:r>
        <w:rPr>
          <w:rFonts w:hint="eastAsia" w:ascii="宋体" w:hAnsi="宋体" w:cs="宋体"/>
          <w:sz w:val="28"/>
          <w:szCs w:val="28"/>
          <w:highlight w:val="none"/>
          <w:lang w:val="en" w:eastAsia="zh-CN"/>
        </w:rPr>
        <w:t xml:space="preserve">1106483 </w:t>
      </w:r>
      <w:r>
        <w:rPr>
          <w:rFonts w:hint="eastAsia" w:ascii="宋体" w:hAnsi="宋体"/>
          <w:color w:val="000000"/>
          <w:spacing w:val="2"/>
          <w:kern w:val="2"/>
          <w:sz w:val="28"/>
          <w:szCs w:val="28"/>
          <w:highlight w:val="none"/>
          <w:lang w:val="en-US" w:eastAsia="zh-CN"/>
        </w:rPr>
        <w:t>元，其中基本支出</w:t>
      </w:r>
      <w:r>
        <w:rPr>
          <w:rFonts w:hint="eastAsia" w:ascii="宋体" w:hAnsi="宋体" w:cs="宋体"/>
          <w:sz w:val="28"/>
          <w:szCs w:val="28"/>
          <w:highlight w:val="none"/>
          <w:lang w:val="en" w:eastAsia="zh-CN"/>
        </w:rPr>
        <w:t xml:space="preserve">1106483 </w:t>
      </w:r>
      <w:r>
        <w:rPr>
          <w:rFonts w:hint="eastAsia" w:ascii="宋体" w:hAnsi="宋体"/>
          <w:color w:val="000000"/>
          <w:spacing w:val="2"/>
          <w:kern w:val="2"/>
          <w:sz w:val="28"/>
          <w:szCs w:val="28"/>
          <w:highlight w:val="none"/>
          <w:lang w:val="en-US" w:eastAsia="zh-CN"/>
        </w:rPr>
        <w:t>元，占比100%。</w:t>
      </w:r>
    </w:p>
    <w:p>
      <w:pPr>
        <w:numPr>
          <w:numId w:val="0"/>
        </w:numPr>
        <w:ind w:leftChars="0" w:firstLine="562" w:firstLineChars="200"/>
        <w:rPr>
          <w:rFonts w:hint="eastAsia" w:ascii="宋体" w:hAnsi="宋体" w:cs="宋体"/>
          <w:b/>
          <w:kern w:val="0"/>
          <w:sz w:val="28"/>
          <w:szCs w:val="28"/>
        </w:rPr>
      </w:pPr>
      <w:r>
        <w:rPr>
          <w:rFonts w:hint="eastAsia" w:ascii="宋体" w:hAnsi="宋体" w:cs="宋体"/>
          <w:b/>
          <w:kern w:val="0"/>
          <w:sz w:val="28"/>
          <w:szCs w:val="28"/>
          <w:lang w:eastAsia="zh-CN"/>
        </w:rPr>
        <w:t>二、</w:t>
      </w:r>
      <w:r>
        <w:rPr>
          <w:rFonts w:hint="eastAsia" w:ascii="宋体" w:hAnsi="宋体" w:cs="宋体"/>
          <w:b/>
          <w:kern w:val="0"/>
          <w:sz w:val="28"/>
          <w:szCs w:val="28"/>
        </w:rPr>
        <w:t>预算收支增减变化说明</w:t>
      </w:r>
    </w:p>
    <w:p>
      <w:pPr>
        <w:numPr>
          <w:ilvl w:val="0"/>
          <w:numId w:val="0"/>
        </w:numPr>
        <w:ind w:leftChars="0" w:firstLine="560" w:firstLineChars="200"/>
        <w:rPr>
          <w:rFonts w:hint="eastAsia" w:ascii="宋体" w:hAnsi="宋体" w:eastAsia="宋体" w:cs="宋体"/>
          <w:b w:val="0"/>
          <w:bCs/>
          <w:kern w:val="0"/>
          <w:sz w:val="28"/>
          <w:szCs w:val="28"/>
          <w:highlight w:val="none"/>
          <w:lang w:val="en-US" w:eastAsia="zh-CN"/>
        </w:rPr>
      </w:pPr>
      <w:r>
        <w:rPr>
          <w:rFonts w:hint="eastAsia" w:ascii="宋体" w:hAnsi="宋体" w:cs="宋体"/>
          <w:b w:val="0"/>
          <w:bCs/>
          <w:kern w:val="0"/>
          <w:sz w:val="28"/>
          <w:szCs w:val="28"/>
          <w:highlight w:val="none"/>
          <w:lang w:val="en-US" w:eastAsia="zh-CN"/>
        </w:rPr>
        <w:t>（一）收入预算</w:t>
      </w:r>
    </w:p>
    <w:p>
      <w:pPr>
        <w:pStyle w:val="5"/>
        <w:widowControl/>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sz w:val="28"/>
          <w:szCs w:val="28"/>
          <w:highlight w:val="none"/>
          <w:lang w:val="en" w:eastAsia="zh-CN"/>
        </w:rPr>
        <w:t xml:space="preserve">1106483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2021年预算收入716614元增加389869元，增加原因：2022年度本单位工资提标，按新标准列入预算发生增加。</w:t>
      </w: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pStyle w:val="5"/>
        <w:widowControl/>
        <w:numPr>
          <w:ilvl w:val="0"/>
          <w:numId w:val="0"/>
        </w:numPr>
        <w:spacing w:before="0" w:beforeAutospacing="0" w:after="0" w:afterAutospacing="0" w:line="585" w:lineRule="atLeast"/>
        <w:rPr>
          <w:rFonts w:hint="eastAsia" w:ascii="宋体" w:hAnsi="宋体" w:cs="宋体"/>
          <w:b/>
          <w:kern w:val="0"/>
          <w:sz w:val="28"/>
          <w:szCs w:val="28"/>
          <w:highlight w:val="none"/>
        </w:rPr>
      </w:pPr>
      <w:r>
        <w:rPr>
          <w:rFonts w:hint="eastAsia" w:ascii="宋体" w:hAnsi="宋体" w:cs="宋体"/>
          <w:kern w:val="0"/>
          <w:sz w:val="28"/>
          <w:szCs w:val="28"/>
          <w:highlight w:val="none"/>
          <w:lang w:val="en-US" w:eastAsia="zh-CN"/>
        </w:rPr>
        <w:t xml:space="preserve">    本单位2022年预算支出合计</w:t>
      </w:r>
      <w:r>
        <w:rPr>
          <w:rFonts w:hint="eastAsia" w:ascii="宋体" w:hAnsi="宋体" w:cs="宋体"/>
          <w:sz w:val="28"/>
          <w:szCs w:val="28"/>
          <w:highlight w:val="none"/>
          <w:lang w:val="en" w:eastAsia="zh-CN"/>
        </w:rPr>
        <w:t xml:space="preserve">1106483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2021年预算支出716614元增加389869元，增加原因：2022年度本单位工资提标，按新标准列入预算发生增加。其中：工资福利支出</w:t>
      </w:r>
      <w:r>
        <w:rPr>
          <w:rFonts w:hint="eastAsia" w:ascii="宋体" w:hAnsi="宋体" w:cs="宋体"/>
          <w:sz w:val="28"/>
          <w:szCs w:val="28"/>
          <w:highlight w:val="none"/>
          <w:lang w:val="en-US" w:eastAsia="zh-CN"/>
        </w:rPr>
        <w:t>941118</w:t>
      </w:r>
      <w:r>
        <w:rPr>
          <w:rFonts w:hint="eastAsia" w:ascii="宋体" w:hAnsi="宋体" w:cs="宋体"/>
          <w:kern w:val="0"/>
          <w:sz w:val="28"/>
          <w:szCs w:val="28"/>
          <w:highlight w:val="none"/>
          <w:lang w:val="en-US" w:eastAsia="zh-CN"/>
        </w:rPr>
        <w:t>元，商品和服务支出</w:t>
      </w:r>
      <w:r>
        <w:rPr>
          <w:rFonts w:hint="eastAsia" w:ascii="宋体" w:hAnsi="宋体" w:cs="宋体"/>
          <w:sz w:val="28"/>
          <w:szCs w:val="28"/>
          <w:highlight w:val="none"/>
          <w:lang w:val="en-US" w:eastAsia="zh-CN"/>
        </w:rPr>
        <w:t>74620</w:t>
      </w:r>
      <w:r>
        <w:rPr>
          <w:rFonts w:hint="eastAsia" w:ascii="宋体" w:hAnsi="宋体" w:cs="宋体"/>
          <w:kern w:val="0"/>
          <w:sz w:val="28"/>
          <w:szCs w:val="28"/>
          <w:highlight w:val="none"/>
          <w:lang w:val="en-US" w:eastAsia="zh-CN"/>
        </w:rPr>
        <w:t>元，对个人和家庭补助支出</w:t>
      </w:r>
      <w:r>
        <w:rPr>
          <w:rFonts w:hint="eastAsia" w:ascii="宋体" w:hAnsi="宋体"/>
          <w:color w:val="000000"/>
          <w:spacing w:val="2"/>
          <w:sz w:val="28"/>
          <w:szCs w:val="28"/>
          <w:highlight w:val="none"/>
          <w:lang w:val="en-US" w:eastAsia="zh-CN"/>
        </w:rPr>
        <w:t>35734</w:t>
      </w:r>
      <w:r>
        <w:rPr>
          <w:rFonts w:hint="eastAsia" w:ascii="宋体" w:hAnsi="宋体" w:cs="宋体"/>
          <w:kern w:val="0"/>
          <w:sz w:val="28"/>
          <w:szCs w:val="28"/>
          <w:highlight w:val="none"/>
          <w:lang w:val="en-US" w:eastAsia="zh-CN"/>
        </w:rPr>
        <w:t>元。项目支出0元。</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、业务招待费按区信访办原核定的标准安排。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509"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12437</w:t>
            </w:r>
          </w:p>
          <w:p>
            <w:pPr>
              <w:keepNext w:val="0"/>
              <w:keepLines w:val="0"/>
              <w:widowControl/>
              <w:suppressLineNumbers w:val="0"/>
              <w:jc w:val="both"/>
              <w:textAlignment w:val="center"/>
              <w:rPr>
                <w:rFonts w:hint="default" w:ascii="宋体" w:hAnsi="宋体" w:cs="宋体"/>
                <w:i w:val="0"/>
                <w:color w:val="000000"/>
                <w:kern w:val="0"/>
                <w:sz w:val="24"/>
                <w:szCs w:val="24"/>
                <w:u w:val="none"/>
                <w:lang w:val="en-US" w:eastAsia="zh-CN" w:bidi="ar"/>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74620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6120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7560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12</w:t>
            </w: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 xml:space="preserve">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458424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6876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771141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15423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458424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11461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7500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“三公”经费预算0.75万元，与</w:t>
      </w:r>
      <w:r>
        <w:rPr>
          <w:rFonts w:hint="eastAsia" w:ascii="宋体" w:hAnsi="宋体" w:cs="宋体"/>
          <w:sz w:val="28"/>
          <w:szCs w:val="28"/>
          <w:lang w:eastAsia="zh-CN"/>
        </w:rPr>
        <w:t>2021年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2021年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rPr>
        <w:t>0车辆，与</w:t>
      </w:r>
      <w:r>
        <w:rPr>
          <w:rFonts w:hint="eastAsia" w:ascii="宋体" w:hAnsi="宋体" w:cs="宋体"/>
          <w:sz w:val="28"/>
          <w:szCs w:val="28"/>
          <w:lang w:eastAsia="zh-CN"/>
        </w:rPr>
        <w:t>2021年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、公务接待费预算0.75万元，与</w:t>
      </w:r>
      <w:r>
        <w:rPr>
          <w:rFonts w:hint="eastAsia" w:ascii="宋体" w:hAnsi="宋体" w:cs="宋体"/>
          <w:sz w:val="28"/>
          <w:szCs w:val="28"/>
          <w:lang w:eastAsia="zh-CN"/>
        </w:rPr>
        <w:t>2021年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4"/>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4"/>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default" w:ascii="宋体" w:hAnsi="宋体" w:cs="宋体"/>
          <w:b w:val="0"/>
          <w:bCs/>
          <w:sz w:val="28"/>
          <w:szCs w:val="28"/>
          <w:highlight w:val="none"/>
          <w:lang w:val="en-US" w:eastAsia="zh-CN"/>
        </w:rPr>
      </w:pPr>
      <w:r>
        <w:rPr>
          <w:rFonts w:hint="eastAsia" w:ascii="宋体" w:hAnsi="宋体" w:cs="宋体"/>
          <w:b w:val="0"/>
          <w:bCs/>
          <w:sz w:val="28"/>
          <w:szCs w:val="28"/>
          <w:highlight w:val="none"/>
          <w:lang w:val="en-US" w:eastAsia="zh-CN"/>
        </w:rPr>
        <w:t>（一）绩效工作开展情况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bookmarkStart w:id="0" w:name="_GoBack"/>
      <w:bookmarkEnd w:id="0"/>
    </w:p>
    <w:p>
      <w:pPr>
        <w:widowControl/>
        <w:numPr>
          <w:ilvl w:val="0"/>
          <w:numId w:val="0"/>
        </w:numPr>
        <w:shd w:val="clear" w:color="auto" w:fill="FFFFFF"/>
        <w:spacing w:line="560" w:lineRule="exact"/>
        <w:ind w:leftChars="200"/>
        <w:jc w:val="left"/>
        <w:rPr>
          <w:rFonts w:ascii="宋体" w:hAnsi="宋体" w:cs="宋体"/>
          <w:b/>
          <w:sz w:val="28"/>
          <w:szCs w:val="28"/>
          <w:highlight w:val="none"/>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p>
    <w:p>
      <w:pPr>
        <w:pStyle w:val="5"/>
        <w:widowControl/>
        <w:spacing w:before="0" w:beforeAutospacing="0" w:after="0" w:afterAutospacing="0" w:line="585" w:lineRule="atLeast"/>
        <w:ind w:firstLine="560" w:firstLineChars="200"/>
        <w:rPr>
          <w:rStyle w:val="8"/>
          <w:rFonts w:ascii="微软雅黑" w:hAnsi="微软雅黑" w:eastAsia="微软雅黑" w:cs="微软雅黑"/>
          <w:color w:val="333333"/>
          <w:kern w:val="0"/>
          <w:sz w:val="24"/>
          <w:shd w:val="clear" w:color="auto" w:fill="FFFFFF"/>
        </w:rPr>
      </w:pP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EA6A7"/>
    <w:multiLevelType w:val="singleLevel"/>
    <w:tmpl w:val="92CEA6A7"/>
    <w:lvl w:ilvl="0" w:tentative="0">
      <w:start w:val="1"/>
      <w:numFmt w:val="chineseCounting"/>
      <w:suff w:val="nothing"/>
      <w:lvlText w:val="%1、"/>
      <w:lvlJc w:val="left"/>
      <w:rPr>
        <w:rFonts w:hint="eastAsia"/>
      </w:rPr>
    </w:lvl>
  </w:abstractNum>
  <w:abstractNum w:abstractNumId="1">
    <w:nsid w:val="F5F2757F"/>
    <w:multiLevelType w:val="singleLevel"/>
    <w:tmpl w:val="F5F2757F"/>
    <w:lvl w:ilvl="0" w:tentative="0">
      <w:start w:val="2"/>
      <w:numFmt w:val="chineseCounting"/>
      <w:suff w:val="nothing"/>
      <w:lvlText w:val="（%1）"/>
      <w:lvlJc w:val="left"/>
      <w:rPr>
        <w:rFonts w:hint="eastAsia"/>
      </w:rPr>
    </w:lvl>
  </w:abstractNum>
  <w:abstractNum w:abstractNumId="2">
    <w:nsid w:val="3F828D1D"/>
    <w:multiLevelType w:val="singleLevel"/>
    <w:tmpl w:val="3F828D1D"/>
    <w:lvl w:ilvl="0" w:tentative="0">
      <w:start w:val="1"/>
      <w:numFmt w:val="chineseCounting"/>
      <w:suff w:val="nothing"/>
      <w:lvlText w:val="%1、"/>
      <w:lvlJc w:val="left"/>
      <w:rPr>
        <w:rFonts w:hint="eastAsia"/>
      </w:rPr>
    </w:lvl>
  </w:abstractNum>
  <w:abstractNum w:abstractNumId="3">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36F66"/>
    <w:rsid w:val="00037130"/>
    <w:rsid w:val="00040F87"/>
    <w:rsid w:val="0004375B"/>
    <w:rsid w:val="00044F52"/>
    <w:rsid w:val="0005426C"/>
    <w:rsid w:val="000642D8"/>
    <w:rsid w:val="000F5C47"/>
    <w:rsid w:val="00101BE1"/>
    <w:rsid w:val="00111F12"/>
    <w:rsid w:val="00134302"/>
    <w:rsid w:val="00160079"/>
    <w:rsid w:val="00177A50"/>
    <w:rsid w:val="00183B02"/>
    <w:rsid w:val="001903D2"/>
    <w:rsid w:val="00195C90"/>
    <w:rsid w:val="001A36F1"/>
    <w:rsid w:val="001A3839"/>
    <w:rsid w:val="001B3819"/>
    <w:rsid w:val="001D080A"/>
    <w:rsid w:val="001D7AA5"/>
    <w:rsid w:val="001E5DFD"/>
    <w:rsid w:val="0022746B"/>
    <w:rsid w:val="0024107E"/>
    <w:rsid w:val="002548C4"/>
    <w:rsid w:val="002577A1"/>
    <w:rsid w:val="002635D7"/>
    <w:rsid w:val="002865A3"/>
    <w:rsid w:val="002A0349"/>
    <w:rsid w:val="002A64C5"/>
    <w:rsid w:val="002A6854"/>
    <w:rsid w:val="002B35A9"/>
    <w:rsid w:val="002B6DCF"/>
    <w:rsid w:val="002C1A37"/>
    <w:rsid w:val="002C7D87"/>
    <w:rsid w:val="002E4E14"/>
    <w:rsid w:val="002E769A"/>
    <w:rsid w:val="002F2D80"/>
    <w:rsid w:val="002F530D"/>
    <w:rsid w:val="00342611"/>
    <w:rsid w:val="0037390F"/>
    <w:rsid w:val="00383D1F"/>
    <w:rsid w:val="0039283A"/>
    <w:rsid w:val="00392DCF"/>
    <w:rsid w:val="003C5494"/>
    <w:rsid w:val="003C62AB"/>
    <w:rsid w:val="003F73F3"/>
    <w:rsid w:val="004126C4"/>
    <w:rsid w:val="004603AF"/>
    <w:rsid w:val="00463A77"/>
    <w:rsid w:val="00475940"/>
    <w:rsid w:val="00476DB6"/>
    <w:rsid w:val="004919C9"/>
    <w:rsid w:val="00495756"/>
    <w:rsid w:val="004B0008"/>
    <w:rsid w:val="004B13F9"/>
    <w:rsid w:val="004B394C"/>
    <w:rsid w:val="004B4606"/>
    <w:rsid w:val="004C1900"/>
    <w:rsid w:val="004D7DB5"/>
    <w:rsid w:val="004E60C4"/>
    <w:rsid w:val="00504DA6"/>
    <w:rsid w:val="00505352"/>
    <w:rsid w:val="00523282"/>
    <w:rsid w:val="0054199D"/>
    <w:rsid w:val="0054487B"/>
    <w:rsid w:val="005A7369"/>
    <w:rsid w:val="005C7B97"/>
    <w:rsid w:val="005F1C46"/>
    <w:rsid w:val="00635C6E"/>
    <w:rsid w:val="0064732A"/>
    <w:rsid w:val="00652FF5"/>
    <w:rsid w:val="006759D3"/>
    <w:rsid w:val="0068113B"/>
    <w:rsid w:val="006A3FBE"/>
    <w:rsid w:val="006C7A42"/>
    <w:rsid w:val="006D383D"/>
    <w:rsid w:val="006F13E4"/>
    <w:rsid w:val="007277F3"/>
    <w:rsid w:val="00741C86"/>
    <w:rsid w:val="00746E24"/>
    <w:rsid w:val="007474FB"/>
    <w:rsid w:val="00764CC6"/>
    <w:rsid w:val="0076521F"/>
    <w:rsid w:val="00792B28"/>
    <w:rsid w:val="007A7FB6"/>
    <w:rsid w:val="007B3C24"/>
    <w:rsid w:val="007B4BAE"/>
    <w:rsid w:val="007D71D1"/>
    <w:rsid w:val="007E2AB2"/>
    <w:rsid w:val="007E6952"/>
    <w:rsid w:val="007F6801"/>
    <w:rsid w:val="00847760"/>
    <w:rsid w:val="0085298B"/>
    <w:rsid w:val="008549D6"/>
    <w:rsid w:val="008858E2"/>
    <w:rsid w:val="00886357"/>
    <w:rsid w:val="008A260F"/>
    <w:rsid w:val="008A3D62"/>
    <w:rsid w:val="008B5B7C"/>
    <w:rsid w:val="008B776D"/>
    <w:rsid w:val="008C65D5"/>
    <w:rsid w:val="008D5649"/>
    <w:rsid w:val="008D7FC9"/>
    <w:rsid w:val="008E11AC"/>
    <w:rsid w:val="009200C6"/>
    <w:rsid w:val="00926A8F"/>
    <w:rsid w:val="00933189"/>
    <w:rsid w:val="00972D98"/>
    <w:rsid w:val="00990CB9"/>
    <w:rsid w:val="009B2384"/>
    <w:rsid w:val="009C2041"/>
    <w:rsid w:val="009F1A4A"/>
    <w:rsid w:val="00A12D1A"/>
    <w:rsid w:val="00A34CFD"/>
    <w:rsid w:val="00A53C33"/>
    <w:rsid w:val="00A57822"/>
    <w:rsid w:val="00AA6B7D"/>
    <w:rsid w:val="00AA7CA2"/>
    <w:rsid w:val="00AB6928"/>
    <w:rsid w:val="00AC46E0"/>
    <w:rsid w:val="00B309C6"/>
    <w:rsid w:val="00B35E06"/>
    <w:rsid w:val="00B65974"/>
    <w:rsid w:val="00B931B2"/>
    <w:rsid w:val="00B94DFE"/>
    <w:rsid w:val="00B9780B"/>
    <w:rsid w:val="00BA7485"/>
    <w:rsid w:val="00BC77F3"/>
    <w:rsid w:val="00BF697C"/>
    <w:rsid w:val="00C05975"/>
    <w:rsid w:val="00C136F5"/>
    <w:rsid w:val="00C1680C"/>
    <w:rsid w:val="00C17661"/>
    <w:rsid w:val="00C33AF8"/>
    <w:rsid w:val="00C3422E"/>
    <w:rsid w:val="00C373AA"/>
    <w:rsid w:val="00C47445"/>
    <w:rsid w:val="00C55A7D"/>
    <w:rsid w:val="00C56B12"/>
    <w:rsid w:val="00C63849"/>
    <w:rsid w:val="00C907E9"/>
    <w:rsid w:val="00CA07CE"/>
    <w:rsid w:val="00CA67A9"/>
    <w:rsid w:val="00CC70FC"/>
    <w:rsid w:val="00CD1786"/>
    <w:rsid w:val="00CD3AE2"/>
    <w:rsid w:val="00CF525C"/>
    <w:rsid w:val="00D1186E"/>
    <w:rsid w:val="00D148E8"/>
    <w:rsid w:val="00D157F7"/>
    <w:rsid w:val="00D44255"/>
    <w:rsid w:val="00D71AAA"/>
    <w:rsid w:val="00D80C5F"/>
    <w:rsid w:val="00DE4741"/>
    <w:rsid w:val="00E14D5D"/>
    <w:rsid w:val="00E30992"/>
    <w:rsid w:val="00E34F36"/>
    <w:rsid w:val="00E4729B"/>
    <w:rsid w:val="00E564DB"/>
    <w:rsid w:val="00E62E0E"/>
    <w:rsid w:val="00E94088"/>
    <w:rsid w:val="00E97481"/>
    <w:rsid w:val="00ED6AFD"/>
    <w:rsid w:val="00EE181C"/>
    <w:rsid w:val="00EE74D1"/>
    <w:rsid w:val="00EF76CA"/>
    <w:rsid w:val="00F200AC"/>
    <w:rsid w:val="00F25ECC"/>
    <w:rsid w:val="00FB0164"/>
    <w:rsid w:val="00FB36B7"/>
    <w:rsid w:val="05DC521B"/>
    <w:rsid w:val="11F87009"/>
    <w:rsid w:val="15E37A96"/>
    <w:rsid w:val="1AFC74FE"/>
    <w:rsid w:val="38AA0644"/>
    <w:rsid w:val="3E9424BB"/>
    <w:rsid w:val="45FD5195"/>
    <w:rsid w:val="55403DF7"/>
    <w:rsid w:val="5FAA5B11"/>
    <w:rsid w:val="667112F5"/>
    <w:rsid w:val="68296DB4"/>
    <w:rsid w:val="6D807C9F"/>
    <w:rsid w:val="6E91586E"/>
    <w:rsid w:val="6EEBF0D7"/>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3683</Words>
  <Characters>4493</Characters>
  <Lines>43</Lines>
  <Paragraphs>12</Paragraphs>
  <TotalTime>0</TotalTime>
  <ScaleCrop>false</ScaleCrop>
  <LinksUpToDate>false</LinksUpToDate>
  <CharactersWithSpaces>5315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2019-10-25T15:43:00Z</dcterms:created>
  <dc:creator>侒靜啲喧嘩</dc:creator>
  <cp:lastModifiedBy>WPS_1614561328</cp:lastModifiedBy>
  <cp:lastPrinted>2019-10-24T16:46:00Z</cp:lastPrinted>
  <dcterms:modified xsi:type="dcterms:W3CDTF">2023-04-28T08:48:00Z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49679CD070E44C9086FD4AFE0D16DA1E</vt:lpwstr>
  </property>
</Properties>
</file>