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信访局</w:t>
      </w:r>
      <w:r>
        <w:rPr>
          <w:rFonts w:ascii="微软雅黑" w:hAnsi="微软雅黑" w:eastAsia="微软雅黑" w:cs="微软雅黑"/>
          <w:color w:val="BC1010"/>
          <w:sz w:val="40"/>
          <w:szCs w:val="40"/>
          <w:shd w:val="clear" w:color="auto" w:fill="FFFFFF"/>
        </w:rPr>
        <w:t>2021</w:t>
      </w:r>
      <w:r>
        <w:rPr>
          <w:rFonts w:hint="eastAsia" w:ascii="微软雅黑" w:hAnsi="微软雅黑" w:eastAsia="微软雅黑" w:cs="微软雅黑"/>
          <w:color w:val="BC1010"/>
          <w:sz w:val="40"/>
          <w:szCs w:val="40"/>
          <w:shd w:val="clear" w:color="auto" w:fill="FFFFFF"/>
        </w:rPr>
        <w:t>年决算公开</w:t>
      </w:r>
    </w:p>
    <w:p>
      <w:pPr>
        <w:pStyle w:val="6"/>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黄石港区信访局</w:t>
      </w:r>
      <w:r>
        <w:rPr>
          <w:rStyle w:val="9"/>
          <w:rFonts w:ascii="微软雅黑" w:hAnsi="微软雅黑" w:eastAsia="微软雅黑" w:cs="微软雅黑"/>
          <w:color w:val="333333"/>
          <w:shd w:val="clear" w:color="auto" w:fill="FFFFFF"/>
        </w:rPr>
        <w:t>2021</w:t>
      </w:r>
      <w:r>
        <w:rPr>
          <w:rStyle w:val="9"/>
          <w:rFonts w:hint="eastAsia" w:ascii="微软雅黑" w:hAnsi="微软雅黑" w:eastAsia="微软雅黑" w:cs="微软雅黑"/>
          <w:color w:val="333333"/>
          <w:shd w:val="clear" w:color="auto" w:fill="FFFFFF"/>
        </w:rPr>
        <w:t>年决算公开</w:t>
      </w:r>
    </w:p>
    <w:p>
      <w:pPr>
        <w:pStyle w:val="6"/>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w:t>
      </w:r>
      <w:r>
        <w:rPr>
          <w:rFonts w:ascii="微软雅黑" w:hAnsi="微软雅黑" w:eastAsia="微软雅黑" w:cs="微软雅黑"/>
          <w:color w:val="333333"/>
          <w:shd w:val="clear" w:color="090000" w:fill="FFFFFF"/>
        </w:rPr>
        <w:t>:</w:t>
      </w:r>
      <w:r>
        <w:rPr>
          <w:rFonts w:hint="eastAsia" w:ascii="微软雅黑" w:hAnsi="微软雅黑" w:eastAsia="微软雅黑" w:cs="微软雅黑"/>
          <w:color w:val="333333"/>
          <w:shd w:val="clear" w:color="090000" w:fill="FFFFFF"/>
        </w:rPr>
        <w:t>部门基本情况</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6"/>
        <w:spacing w:before="76" w:beforeAutospacing="0" w:after="76" w:afterAutospacing="0" w:line="450" w:lineRule="atLeast"/>
        <w:ind w:firstLine="420"/>
        <w:rPr>
          <w:rFonts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二、部门决算单位构成</w:t>
      </w:r>
      <w:r>
        <w:rPr>
          <w:rFonts w:ascii="微软雅黑" w:hAnsi="微软雅黑" w:eastAsia="微软雅黑" w:cs="微软雅黑"/>
          <w:color w:val="333333"/>
          <w:shd w:val="clear" w:color="090000" w:fill="FFFFFF"/>
        </w:rPr>
        <w:t xml:space="preserve"> </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w:t>
      </w:r>
      <w:r>
        <w:rPr>
          <w:rFonts w:ascii="微软雅黑" w:hAnsi="微软雅黑" w:eastAsia="微软雅黑" w:cs="微软雅黑"/>
          <w:color w:val="333333"/>
          <w:shd w:val="clear" w:color="090000" w:fill="FFFFFF"/>
        </w:rPr>
        <w:t xml:space="preserve">: </w:t>
      </w:r>
      <w:r>
        <w:rPr>
          <w:rFonts w:hint="eastAsia" w:ascii="微软雅黑" w:hAnsi="微软雅黑" w:eastAsia="微软雅黑" w:cs="微软雅黑"/>
          <w:color w:val="333333"/>
          <w:shd w:val="clear" w:color="090000" w:fill="FFFFFF"/>
        </w:rPr>
        <w:t>部门</w:t>
      </w:r>
      <w:r>
        <w:rPr>
          <w:rFonts w:ascii="微软雅黑" w:hAnsi="微软雅黑" w:eastAsia="微软雅黑" w:cs="微软雅黑"/>
          <w:color w:val="333333"/>
          <w:shd w:val="clear" w:color="090000" w:fill="FFFFFF"/>
        </w:rPr>
        <w:t>2021</w:t>
      </w:r>
      <w:r>
        <w:rPr>
          <w:rFonts w:hint="eastAsia" w:ascii="微软雅黑" w:hAnsi="微软雅黑" w:eastAsia="微软雅黑" w:cs="微软雅黑"/>
          <w:color w:val="333333"/>
          <w:shd w:val="clear" w:color="090000" w:fill="FFFFFF"/>
        </w:rPr>
        <w:t>年部门决算表</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w:t>
      </w:r>
      <w:r>
        <w:rPr>
          <w:rFonts w:ascii="微软雅黑" w:hAnsi="微软雅黑" w:eastAsia="微软雅黑" w:cs="微软雅黑"/>
          <w:color w:val="333333"/>
          <w:shd w:val="clear" w:color="090000" w:fill="FFFFFF"/>
        </w:rPr>
        <w:t>1</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w:t>
      </w:r>
      <w:r>
        <w:rPr>
          <w:rFonts w:ascii="微软雅黑" w:hAnsi="微软雅黑" w:eastAsia="微软雅黑" w:cs="微软雅黑"/>
          <w:color w:val="333333"/>
          <w:shd w:val="clear" w:color="090000" w:fill="FFFFFF"/>
        </w:rPr>
        <w:t>2</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w:t>
      </w:r>
      <w:r>
        <w:rPr>
          <w:rFonts w:ascii="微软雅黑" w:hAnsi="微软雅黑" w:eastAsia="微软雅黑" w:cs="微软雅黑"/>
          <w:color w:val="333333"/>
          <w:shd w:val="clear" w:color="090000" w:fill="FFFFFF"/>
        </w:rPr>
        <w:t>3</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w:t>
      </w:r>
      <w:r>
        <w:rPr>
          <w:rFonts w:ascii="微软雅黑" w:hAnsi="微软雅黑" w:eastAsia="微软雅黑" w:cs="微软雅黑"/>
          <w:color w:val="333333"/>
          <w:shd w:val="clear" w:color="090000" w:fill="FFFFFF"/>
        </w:rPr>
        <w:t>4</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w:t>
      </w:r>
      <w:r>
        <w:rPr>
          <w:rFonts w:ascii="微软雅黑" w:hAnsi="微软雅黑" w:eastAsia="微软雅黑" w:cs="微软雅黑"/>
          <w:color w:val="333333"/>
          <w:shd w:val="clear" w:color="090000" w:fill="FFFFFF"/>
        </w:rPr>
        <w:t>5</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w:t>
      </w:r>
      <w:r>
        <w:rPr>
          <w:rFonts w:ascii="微软雅黑" w:hAnsi="微软雅黑" w:eastAsia="微软雅黑" w:cs="微软雅黑"/>
          <w:color w:val="333333"/>
          <w:shd w:val="clear" w:color="090000" w:fill="FFFFFF"/>
        </w:rPr>
        <w:t>6</w:t>
      </w:r>
      <w:r>
        <w:rPr>
          <w:rFonts w:hint="eastAsia" w:ascii="微软雅黑" w:hAnsi="微软雅黑" w:eastAsia="微软雅黑" w:cs="微软雅黑"/>
          <w:color w:val="333333"/>
          <w:shd w:val="clear" w:color="090000" w:fill="FFFFFF"/>
        </w:rPr>
        <w:t>）</w:t>
      </w:r>
    </w:p>
    <w:p>
      <w:pPr>
        <w:pStyle w:val="16"/>
        <w:spacing w:before="76" w:beforeAutospacing="0" w:after="76" w:afterAutospacing="0" w:line="450" w:lineRule="atLeast"/>
        <w:ind w:firstLine="420"/>
        <w:rPr>
          <w:rFonts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w:t>
      </w:r>
      <w:r>
        <w:rPr>
          <w:rFonts w:ascii="微软雅黑" w:hAnsi="微软雅黑" w:eastAsia="微软雅黑" w:cs="微软雅黑"/>
          <w:color w:val="333333"/>
          <w:shd w:val="clear" w:color="090000" w:fill="FFFFFF"/>
        </w:rPr>
        <w:t>7</w:t>
      </w:r>
      <w:r>
        <w:rPr>
          <w:rFonts w:hint="eastAsia" w:ascii="微软雅黑" w:hAnsi="微软雅黑" w:eastAsia="微软雅黑" w:cs="微软雅黑"/>
          <w:color w:val="333333"/>
          <w:shd w:val="clear" w:color="090000" w:fill="FFFFFF"/>
        </w:rPr>
        <w:t>）</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八、政府性基金预算财政拨款收入支出决算表（表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九、国有资本经营预算财政拨款支出决算表（表</w:t>
      </w:r>
      <w:r>
        <w:rPr>
          <w:rFonts w:ascii="微软雅黑" w:hAnsi="微软雅黑" w:eastAsia="微软雅黑" w:cs="微软雅黑"/>
          <w:color w:val="333333"/>
          <w:shd w:val="clear" w:color="auto" w:fill="FFFFFF"/>
        </w:rPr>
        <w:t>9</w:t>
      </w:r>
      <w:r>
        <w:rPr>
          <w:rFonts w:hint="eastAsia" w:ascii="微软雅黑" w:hAnsi="微软雅黑" w:eastAsia="微软雅黑" w:cs="微软雅黑"/>
          <w:color w:val="333333"/>
          <w:shd w:val="clear" w:color="auto" w:fill="FFFFFF"/>
        </w:rPr>
        <w:t>）</w:t>
      </w:r>
    </w:p>
    <w:p>
      <w:pPr>
        <w:pStyle w:val="16"/>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090000" w:fill="FFFFFF"/>
        </w:rPr>
        <w:t>第三部分：部门</w:t>
      </w:r>
      <w:r>
        <w:rPr>
          <w:rFonts w:ascii="微软雅黑" w:hAnsi="微软雅黑" w:eastAsia="微软雅黑" w:cs="微软雅黑"/>
          <w:color w:val="333333"/>
          <w:shd w:val="clear" w:color="090000" w:fill="FFFFFF"/>
        </w:rPr>
        <w:t>2021</w:t>
      </w:r>
      <w:r>
        <w:rPr>
          <w:rFonts w:hint="eastAsia" w:ascii="微软雅黑" w:hAnsi="微软雅黑" w:eastAsia="微软雅黑" w:cs="微软雅黑"/>
          <w:color w:val="333333"/>
          <w:shd w:val="clear" w:color="090000" w:fill="FFFFFF"/>
        </w:rPr>
        <w:t>年部门决算情况说明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七、决算收支增减变化情况</w:t>
      </w:r>
    </w:p>
    <w:p>
      <w:pPr>
        <w:pStyle w:val="16"/>
        <w:spacing w:before="76" w:beforeAutospacing="0" w:after="76" w:afterAutospacing="0" w:line="450" w:lineRule="atLeast"/>
        <w:ind w:firstLine="240" w:firstLineChars="100"/>
        <w:rPr>
          <w:color w:val="333333"/>
        </w:rPr>
      </w:pPr>
      <w:r>
        <w:rPr>
          <w:rFonts w:hint="eastAsia" w:ascii="微软雅黑" w:hAnsi="微软雅黑" w:eastAsia="微软雅黑" w:cs="微软雅黑"/>
          <w:color w:val="333333"/>
          <w:shd w:val="clear" w:color="090000" w:fill="FFFFFF"/>
        </w:rPr>
        <w:t>第四部分：名词解释</w:t>
      </w:r>
      <w:r>
        <w:rPr>
          <w:rFonts w:ascii="微软雅黑" w:hAnsi="微软雅黑" w:eastAsia="微软雅黑" w:cs="微软雅黑"/>
          <w:color w:val="333333"/>
          <w:shd w:val="clear" w:color="090000" w:fill="FFFFFF"/>
        </w:rPr>
        <w:t> </w:t>
      </w: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2021</w:t>
      </w:r>
      <w:r>
        <w:rPr>
          <w:rStyle w:val="9"/>
          <w:rFonts w:hint="eastAsia" w:ascii="微软雅黑" w:hAnsi="微软雅黑" w:eastAsia="微软雅黑" w:cs="微软雅黑"/>
          <w:color w:val="333333"/>
          <w:shd w:val="clear" w:color="auto" w:fill="FFFFFF"/>
        </w:rPr>
        <w:t>年部门决算</w:t>
      </w:r>
    </w:p>
    <w:p>
      <w:pPr>
        <w:pStyle w:val="16"/>
        <w:spacing w:before="76" w:beforeAutospacing="0" w:after="76" w:afterAutospacing="0" w:line="450" w:lineRule="atLeast"/>
        <w:ind w:firstLine="420"/>
        <w:rPr>
          <w:rFonts w:eastAsia="微软雅黑"/>
          <w:b/>
          <w:color w:val="333333"/>
        </w:rPr>
      </w:pPr>
      <w:r>
        <w:rPr>
          <w:rFonts w:hint="eastAsia" w:ascii="微软雅黑" w:hAnsi="微软雅黑" w:eastAsia="微软雅黑" w:cs="微软雅黑"/>
          <w:b/>
          <w:color w:val="333333"/>
          <w:shd w:val="clear" w:color="090000" w:fill="FFFFFF"/>
        </w:rPr>
        <w:t>第一部分</w:t>
      </w:r>
      <w:r>
        <w:rPr>
          <w:rFonts w:ascii="微软雅黑" w:hAnsi="微软雅黑" w:eastAsia="微软雅黑" w:cs="微软雅黑"/>
          <w:b/>
          <w:color w:val="333333"/>
          <w:shd w:val="clear" w:color="090000" w:fill="FFFFFF"/>
        </w:rPr>
        <w:t>:</w:t>
      </w:r>
      <w:r>
        <w:rPr>
          <w:rFonts w:hint="eastAsia" w:ascii="微软雅黑" w:hAnsi="微软雅黑" w:eastAsia="微软雅黑" w:cs="微软雅黑"/>
          <w:b/>
          <w:color w:val="333333"/>
          <w:shd w:val="clear" w:color="090000" w:fill="FFFFFF"/>
        </w:rPr>
        <w:t>部门基本情况</w:t>
      </w:r>
      <w:r>
        <w:rPr>
          <w:rFonts w:ascii="微软雅黑" w:hAnsi="微软雅黑" w:eastAsia="微软雅黑" w:cs="微软雅黑"/>
          <w:b/>
          <w:color w:val="333333"/>
          <w:shd w:val="clear" w:color="090000" w:fill="FFFFFF"/>
        </w:rPr>
        <w:t xml:space="preserve">  </w:t>
      </w:r>
    </w:p>
    <w:p>
      <w:pPr>
        <w:shd w:val="clear" w:color="auto" w:fill="FFFFFF"/>
        <w:snapToGrid w:val="0"/>
        <w:spacing w:line="560" w:lineRule="atLeast"/>
        <w:ind w:firstLine="562"/>
        <w:rPr>
          <w:rFonts w:ascii="宋体" w:cs="宋体"/>
          <w:b/>
          <w:bCs/>
          <w:sz w:val="28"/>
          <w:szCs w:val="28"/>
        </w:rPr>
      </w:pPr>
      <w:r>
        <w:rPr>
          <w:rFonts w:ascii="宋体" w:hAnsi="宋体" w:cs="宋体"/>
          <w:b/>
          <w:bCs/>
          <w:sz w:val="28"/>
          <w:szCs w:val="28"/>
        </w:rPr>
        <w:t>1</w:t>
      </w:r>
      <w:r>
        <w:rPr>
          <w:rFonts w:hint="eastAsia" w:ascii="宋体" w:hAnsi="宋体" w:cs="宋体"/>
          <w:b/>
          <w:bCs/>
          <w:sz w:val="28"/>
          <w:szCs w:val="28"/>
        </w:rPr>
        <w:t>、基本职能</w:t>
      </w:r>
      <w:r>
        <w:rPr>
          <w:rFonts w:ascii="宋体" w:hAnsi="宋体" w:cs="宋体"/>
          <w:b/>
          <w:bCs/>
          <w:sz w:val="28"/>
          <w:szCs w:val="28"/>
        </w:rPr>
        <w:t xml:space="preserve"> </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（一）受理人民群众给区委、区政府及其领导同志的来信</w:t>
      </w:r>
      <w:r>
        <w:rPr>
          <w:rFonts w:ascii="宋体" w:hAnsi="宋体" w:cs="Arial"/>
          <w:color w:val="333333"/>
          <w:sz w:val="28"/>
          <w:szCs w:val="28"/>
        </w:rPr>
        <w:t>;</w:t>
      </w:r>
      <w:r>
        <w:rPr>
          <w:rFonts w:hint="eastAsia" w:ascii="宋体" w:hAnsi="宋体" w:cs="Arial"/>
          <w:color w:val="333333"/>
          <w:sz w:val="28"/>
          <w:szCs w:val="28"/>
        </w:rPr>
        <w:t>协助区委、区政府领导做好接访和约访工作。</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（二）承办上级国家机关及其信访工作机构向区委、区政府及其领导同志交办的信访事项，并要求及时回复、报告办理结果。</w:t>
      </w:r>
    </w:p>
    <w:p>
      <w:pPr>
        <w:pStyle w:val="6"/>
        <w:shd w:val="clear" w:color="auto" w:fill="FFFFFF"/>
        <w:tabs>
          <w:tab w:val="right" w:pos="13958"/>
        </w:tabs>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（三）统筹、督办、分析、通报全区网上信访工作情况。</w:t>
      </w:r>
      <w:r>
        <w:rPr>
          <w:rFonts w:ascii="宋体" w:cs="Arial"/>
          <w:color w:val="333333"/>
          <w:sz w:val="28"/>
          <w:szCs w:val="28"/>
        </w:rPr>
        <w:tab/>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（四）向区委、区政府及其领导同志提供群众来信来访及网上信访中的重要信息，及时反映倾向性、动态性问题和影响社会稳定的事件。</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（五）综合分析人民来信来访及网上信访情况，筛选论证群众的批评和建议，提出解决问题的意见和建议，为</w:t>
      </w:r>
      <w:r>
        <w:rPr>
          <w:rFonts w:ascii="宋体" w:cs="Arial"/>
          <w:color w:val="333333"/>
          <w:sz w:val="28"/>
          <w:szCs w:val="28"/>
        </w:rPr>
        <w:tab/>
      </w:r>
      <w:r>
        <w:rPr>
          <w:rFonts w:hint="eastAsia" w:ascii="宋体" w:hAnsi="宋体" w:cs="Arial"/>
          <w:color w:val="333333"/>
          <w:sz w:val="28"/>
          <w:szCs w:val="28"/>
        </w:rPr>
        <w:t>区委、区政府领导决策当好参谋。</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（六）按照</w:t>
      </w:r>
      <w:r>
        <w:rPr>
          <w:rFonts w:ascii="宋体" w:hAnsi="宋体" w:cs="Arial"/>
          <w:color w:val="333333"/>
          <w:sz w:val="28"/>
          <w:szCs w:val="28"/>
        </w:rPr>
        <w:t>"</w:t>
      </w:r>
      <w:r>
        <w:rPr>
          <w:rFonts w:hint="eastAsia" w:ascii="宋体" w:hAnsi="宋体" w:cs="Arial"/>
          <w:color w:val="333333"/>
          <w:sz w:val="28"/>
          <w:szCs w:val="28"/>
        </w:rPr>
        <w:t>属地管理、分级负责</w:t>
      </w:r>
      <w:r>
        <w:rPr>
          <w:rFonts w:ascii="宋体" w:hAnsi="宋体" w:cs="Arial"/>
          <w:color w:val="333333"/>
          <w:sz w:val="28"/>
          <w:szCs w:val="28"/>
        </w:rPr>
        <w:t>"</w:t>
      </w:r>
      <w:r>
        <w:rPr>
          <w:rFonts w:hint="eastAsia" w:ascii="宋体" w:hAnsi="宋体" w:cs="Arial"/>
          <w:color w:val="333333"/>
          <w:sz w:val="28"/>
          <w:szCs w:val="28"/>
        </w:rPr>
        <w:t>、</w:t>
      </w:r>
      <w:r>
        <w:rPr>
          <w:rFonts w:ascii="宋体" w:hAnsi="宋体" w:cs="Arial"/>
          <w:color w:val="333333"/>
          <w:sz w:val="28"/>
          <w:szCs w:val="28"/>
        </w:rPr>
        <w:t>"</w:t>
      </w:r>
      <w:r>
        <w:rPr>
          <w:rFonts w:hint="eastAsia" w:ascii="宋体" w:hAnsi="宋体" w:cs="Arial"/>
          <w:color w:val="333333"/>
          <w:sz w:val="28"/>
          <w:szCs w:val="28"/>
        </w:rPr>
        <w:t>谁主管、谁负责</w:t>
      </w:r>
      <w:r>
        <w:rPr>
          <w:rFonts w:ascii="宋体" w:hAnsi="宋体" w:cs="Arial"/>
          <w:color w:val="333333"/>
          <w:sz w:val="28"/>
          <w:szCs w:val="28"/>
        </w:rPr>
        <w:t>"</w:t>
      </w:r>
      <w:r>
        <w:rPr>
          <w:rFonts w:hint="eastAsia" w:ascii="宋体" w:hAnsi="宋体" w:cs="Arial"/>
          <w:color w:val="333333"/>
          <w:sz w:val="28"/>
          <w:szCs w:val="28"/>
        </w:rPr>
        <w:t>的原则，向有关街道（管理区）和区直部门转送、交办来信来访及网上信访事项，并督促检查落实情况，协调处理重要信访问题。</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（七）对来信来访及网上信访中反映的政策性问题进行调查研究，协助区委、区政府和有关部门研究制定有关政策规定。</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（八）负责全区信访工作的综合管理。协助区委、区政府部署、检查和指导全区的信访工作，发现和解决问题</w:t>
      </w:r>
      <w:r>
        <w:rPr>
          <w:rFonts w:ascii="宋体" w:hAnsi="宋体" w:cs="Arial"/>
          <w:color w:val="333333"/>
          <w:sz w:val="28"/>
          <w:szCs w:val="28"/>
        </w:rPr>
        <w:t>;</w:t>
      </w:r>
      <w:r>
        <w:rPr>
          <w:rFonts w:hint="eastAsia" w:ascii="宋体" w:hAnsi="宋体" w:cs="Arial"/>
          <w:color w:val="333333"/>
          <w:sz w:val="28"/>
          <w:szCs w:val="28"/>
        </w:rPr>
        <w:t>组织交流和推广经验</w:t>
      </w:r>
      <w:r>
        <w:rPr>
          <w:rFonts w:ascii="宋体" w:hAnsi="宋体" w:cs="Arial"/>
          <w:color w:val="333333"/>
          <w:sz w:val="28"/>
          <w:szCs w:val="28"/>
        </w:rPr>
        <w:t>;</w:t>
      </w:r>
      <w:r>
        <w:rPr>
          <w:rFonts w:hint="eastAsia" w:ascii="宋体" w:hAnsi="宋体" w:cs="Arial"/>
          <w:color w:val="333333"/>
          <w:sz w:val="28"/>
          <w:szCs w:val="28"/>
        </w:rPr>
        <w:t>培训信访干部</w:t>
      </w:r>
      <w:r>
        <w:rPr>
          <w:rFonts w:ascii="宋体" w:hAnsi="宋体" w:cs="Arial"/>
          <w:color w:val="333333"/>
          <w:sz w:val="28"/>
          <w:szCs w:val="28"/>
        </w:rPr>
        <w:t>;</w:t>
      </w:r>
      <w:r>
        <w:rPr>
          <w:rFonts w:hint="eastAsia" w:ascii="宋体" w:hAnsi="宋体" w:cs="Arial"/>
          <w:color w:val="333333"/>
          <w:sz w:val="28"/>
          <w:szCs w:val="28"/>
        </w:rPr>
        <w:t>制定信访工作管理规定。</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（九）负责指导全区信访工作的组织建设和理论建设，制定并组织实施工作发展规划。</w:t>
      </w:r>
    </w:p>
    <w:p>
      <w:pPr>
        <w:pStyle w:val="6"/>
        <w:shd w:val="clear" w:color="auto" w:fill="FFFFFF"/>
        <w:adjustRightInd w:val="0"/>
        <w:snapToGrid w:val="0"/>
        <w:spacing w:beforeAutospacing="0" w:afterAutospacing="0" w:line="560" w:lineRule="exact"/>
        <w:ind w:firstLine="280" w:firstLineChars="100"/>
        <w:rPr>
          <w:rFonts w:ascii="宋体" w:cs="Arial"/>
          <w:color w:val="333333"/>
          <w:sz w:val="28"/>
          <w:szCs w:val="28"/>
        </w:rPr>
      </w:pPr>
      <w:r>
        <w:rPr>
          <w:rFonts w:hint="eastAsia" w:ascii="宋体" w:hAnsi="宋体" w:cs="Arial"/>
          <w:color w:val="333333"/>
          <w:sz w:val="28"/>
          <w:szCs w:val="28"/>
        </w:rPr>
        <w:t>（十）完成上级交办的其他事项。</w:t>
      </w:r>
    </w:p>
    <w:p>
      <w:pPr>
        <w:wordWrap w:val="0"/>
        <w:spacing w:line="600" w:lineRule="atLeast"/>
        <w:ind w:firstLine="422" w:firstLineChars="150"/>
        <w:rPr>
          <w:rFonts w:ascii="宋体" w:cs="宋体"/>
          <w:b/>
          <w:bCs/>
          <w:color w:val="333333"/>
          <w:sz w:val="28"/>
          <w:szCs w:val="28"/>
        </w:rPr>
      </w:pPr>
      <w:r>
        <w:rPr>
          <w:rFonts w:ascii="宋体" w:hAnsi="宋体"/>
          <w:b/>
          <w:bCs/>
          <w:color w:val="333333"/>
          <w:sz w:val="28"/>
          <w:szCs w:val="28"/>
        </w:rPr>
        <w:t>2</w:t>
      </w:r>
      <w:r>
        <w:rPr>
          <w:rFonts w:hint="eastAsia" w:ascii="宋体" w:hAnsi="宋体"/>
          <w:b/>
          <w:bCs/>
          <w:color w:val="333333"/>
          <w:sz w:val="28"/>
          <w:szCs w:val="28"/>
        </w:rPr>
        <w:t>、</w:t>
      </w:r>
      <w:r>
        <w:rPr>
          <w:rFonts w:ascii="宋体"/>
          <w:b/>
          <w:bCs/>
          <w:color w:val="333333"/>
          <w:sz w:val="28"/>
          <w:szCs w:val="28"/>
        </w:rPr>
        <w:t> </w:t>
      </w:r>
      <w:r>
        <w:rPr>
          <w:rFonts w:hint="eastAsia" w:ascii="宋体" w:hAnsi="宋体" w:cs="宋体"/>
          <w:b/>
          <w:bCs/>
          <w:sz w:val="28"/>
          <w:szCs w:val="28"/>
        </w:rPr>
        <w:t>部门机构情况</w:t>
      </w:r>
    </w:p>
    <w:p>
      <w:pPr>
        <w:shd w:val="clear" w:color="auto" w:fill="FFFFFF"/>
        <w:snapToGrid w:val="0"/>
        <w:spacing w:line="560" w:lineRule="atLeast"/>
        <w:ind w:firstLine="280" w:firstLineChars="100"/>
        <w:rPr>
          <w:rFonts w:ascii="宋体" w:cs="Arial"/>
          <w:color w:val="333333"/>
          <w:kern w:val="0"/>
          <w:sz w:val="28"/>
          <w:szCs w:val="28"/>
        </w:rPr>
      </w:pPr>
      <w:r>
        <w:rPr>
          <w:rFonts w:hint="eastAsia" w:ascii="宋体" w:hAnsi="宋体" w:cs="Arial"/>
          <w:color w:val="333333"/>
          <w:kern w:val="0"/>
          <w:sz w:val="28"/>
          <w:szCs w:val="28"/>
        </w:rPr>
        <w:t>设有机构：办公室、接访科、综合督查科、办信和复查复核科、网络信访中心</w:t>
      </w:r>
    </w:p>
    <w:p>
      <w:pPr>
        <w:shd w:val="clear" w:color="auto" w:fill="FFFFFF"/>
        <w:spacing w:line="560" w:lineRule="atLeast"/>
        <w:ind w:firstLine="281" w:firstLineChars="100"/>
        <w:rPr>
          <w:rFonts w:ascii="宋体" w:cs="宋体"/>
          <w:b/>
          <w:bCs/>
          <w:sz w:val="28"/>
          <w:szCs w:val="28"/>
        </w:rPr>
      </w:pPr>
      <w:r>
        <w:rPr>
          <w:rFonts w:ascii="宋体" w:hAnsi="宋体" w:cs="宋体"/>
          <w:b/>
          <w:bCs/>
          <w:sz w:val="28"/>
          <w:szCs w:val="28"/>
        </w:rPr>
        <w:t>3</w:t>
      </w:r>
      <w:r>
        <w:rPr>
          <w:rFonts w:hint="eastAsia" w:ascii="宋体" w:hAnsi="宋体" w:cs="宋体"/>
          <w:b/>
          <w:bCs/>
          <w:sz w:val="28"/>
          <w:szCs w:val="28"/>
        </w:rPr>
        <w:t>、人员情况</w:t>
      </w:r>
    </w:p>
    <w:p>
      <w:pPr>
        <w:ind w:firstLine="280" w:firstLineChars="100"/>
        <w:rPr>
          <w:rFonts w:ascii="宋体"/>
          <w:color w:val="000000"/>
          <w:sz w:val="28"/>
          <w:szCs w:val="28"/>
        </w:rPr>
      </w:pPr>
      <w:r>
        <w:rPr>
          <w:rFonts w:hint="eastAsia" w:ascii="宋体" w:hAnsi="宋体" w:cs="仿宋"/>
          <w:color w:val="000000"/>
          <w:sz w:val="28"/>
          <w:szCs w:val="28"/>
        </w:rPr>
        <w:t>本部门年末实有人数</w:t>
      </w:r>
      <w:r>
        <w:rPr>
          <w:rFonts w:ascii="宋体" w:hAnsi="宋体" w:cs="仿宋"/>
          <w:color w:val="000000"/>
          <w:sz w:val="28"/>
          <w:szCs w:val="28"/>
        </w:rPr>
        <w:t>6</w:t>
      </w:r>
      <w:r>
        <w:rPr>
          <w:rFonts w:hint="eastAsia" w:ascii="宋体" w:hAnsi="宋体" w:cs="仿宋"/>
          <w:color w:val="000000"/>
          <w:sz w:val="28"/>
          <w:szCs w:val="28"/>
        </w:rPr>
        <w:t>人，与去年相比无变化。</w:t>
      </w:r>
    </w:p>
    <w:p>
      <w:pPr>
        <w:pStyle w:val="6"/>
        <w:widowControl/>
        <w:spacing w:before="76" w:beforeAutospacing="0" w:after="76" w:afterAutospacing="0" w:line="450" w:lineRule="atLeast"/>
        <w:rPr>
          <w:rFonts w:ascii="微软雅黑" w:hAnsi="微软雅黑" w:eastAsia="微软雅黑"/>
          <w:b/>
        </w:rPr>
      </w:pPr>
    </w:p>
    <w:p>
      <w:pPr>
        <w:pStyle w:val="6"/>
        <w:widowControl/>
        <w:spacing w:before="76" w:beforeAutospacing="0" w:after="76" w:afterAutospacing="0" w:line="450" w:lineRule="atLeast"/>
        <w:rPr>
          <w:rFonts w:ascii="微软雅黑" w:hAnsi="微软雅黑" w:eastAsia="微软雅黑"/>
          <w:b/>
        </w:rPr>
      </w:pPr>
    </w:p>
    <w:p>
      <w:pPr>
        <w:pStyle w:val="6"/>
        <w:widowControl/>
        <w:spacing w:before="76" w:beforeAutospacing="0" w:after="76" w:afterAutospacing="0" w:line="450" w:lineRule="atLeast"/>
        <w:rPr>
          <w:rFonts w:ascii="微软雅黑" w:hAnsi="微软雅黑" w:eastAsia="微软雅黑"/>
          <w:b/>
        </w:rPr>
      </w:pPr>
    </w:p>
    <w:p>
      <w:pPr>
        <w:pStyle w:val="6"/>
        <w:widowControl/>
        <w:spacing w:before="76" w:beforeAutospacing="0" w:after="76" w:afterAutospacing="0" w:line="450" w:lineRule="atLeast"/>
        <w:rPr>
          <w:rFonts w:ascii="微软雅黑" w:hAnsi="微软雅黑" w:eastAsia="微软雅黑"/>
          <w:b/>
        </w:rPr>
      </w:pPr>
      <w:r>
        <w:rPr>
          <w:rFonts w:hint="eastAsia" w:ascii="微软雅黑" w:hAnsi="微软雅黑" w:eastAsia="微软雅黑"/>
          <w:b/>
        </w:rPr>
        <w:t>第二部分：部门</w:t>
      </w:r>
      <w:r>
        <w:rPr>
          <w:rFonts w:ascii="微软雅黑" w:hAnsi="微软雅黑" w:eastAsia="微软雅黑"/>
          <w:b/>
        </w:rPr>
        <w:t>2021</w:t>
      </w:r>
      <w:r>
        <w:rPr>
          <w:rFonts w:hint="eastAsia" w:ascii="微软雅黑" w:hAnsi="微软雅黑" w:eastAsia="微软雅黑"/>
          <w:b/>
        </w:rPr>
        <w:t>年部门决算表</w:t>
      </w:r>
    </w:p>
    <w:p>
      <w:pPr>
        <w:pStyle w:val="6"/>
        <w:widowControl/>
        <w:spacing w:before="76" w:beforeAutospacing="0" w:after="76" w:afterAutospacing="0" w:line="450" w:lineRule="atLeast"/>
        <w:rPr>
          <w:rFonts w:ascii="微软雅黑" w:hAnsi="微软雅黑" w:eastAsia="微软雅黑"/>
          <w:b/>
        </w:rPr>
      </w:pPr>
    </w:p>
    <w:p>
      <w:pPr>
        <w:pStyle w:val="6"/>
        <w:widowControl/>
        <w:spacing w:before="76" w:beforeAutospacing="0" w:after="76" w:afterAutospacing="0" w:line="450" w:lineRule="atLeast"/>
        <w:rPr>
          <w:rFonts w:ascii="微软雅黑" w:hAnsi="微软雅黑" w:eastAsia="微软雅黑"/>
          <w:b/>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567" w:right="1440" w:bottom="1800" w:left="1440" w:header="851" w:footer="992" w:gutter="0"/>
          <w:cols w:space="425" w:num="1"/>
          <w:docGrid w:type="lines" w:linePitch="312" w:charSpace="0"/>
        </w:sectPr>
      </w:pPr>
      <w:r>
        <w:pict>
          <v:shape id="_x0000_i1025" o:spt="75" type="#_x0000_t75" style="height:366pt;width:639pt;" filled="f" o:preferrelative="t" stroked="f" coordsize="21600,21600">
            <v:path/>
            <v:fill on="f" focussize="0,0"/>
            <v:stroke on="f" joinstyle="miter"/>
            <v:imagedata r:id="rId10" o:title=""/>
            <o:lock v:ext="edit" aspectratio="t"/>
            <w10:wrap type="none"/>
            <w10:anchorlock/>
          </v:shape>
        </w:pict>
      </w:r>
    </w:p>
    <w:p>
      <w:pPr>
        <w:widowControl/>
        <w:jc w:val="left"/>
      </w:pPr>
    </w:p>
    <w:p>
      <w:pPr>
        <w:widowControl/>
        <w:jc w:val="left"/>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26" o:spt="75" type="#_x0000_t75" style="height:215.25pt;width:693.75pt;" filled="f" o:preferrelative="t" stroked="f" coordsize="21600,21600">
            <v:path/>
            <v:fill on="f" focussize="0,0"/>
            <v:stroke on="f" joinstyle="miter"/>
            <v:imagedata r:id="rId11" o:title=""/>
            <o:lock v:ext="edit" aspectratio="t"/>
            <w10:wrap type="none"/>
            <w10:anchorlock/>
          </v:shape>
        </w:pict>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27" o:spt="75" type="#_x0000_t75" style="height:243pt;width:695.25pt;" filled="f" o:preferrelative="t" stroked="f" coordsize="21600,21600">
            <v:path/>
            <v:fill on="f" focussize="0,0"/>
            <v:stroke on="f" joinstyle="miter"/>
            <v:imagedata r:id="rId12" o:title=""/>
            <o:lock v:ext="edit" aspectratio="t"/>
            <w10:wrap type="none"/>
            <w10:anchorlock/>
          </v:shape>
        </w:pict>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28" o:spt="75" type="#_x0000_t75" style="height:412.5pt;width:636pt;" filled="f" o:preferrelative="t" stroked="f" coordsize="21600,21600">
            <v:path/>
            <v:fill on="f" focussize="0,0"/>
            <v:stroke on="f" joinstyle="miter"/>
            <v:imagedata r:id="rId13" o:title=""/>
            <o:lock v:ext="edit" aspectratio="t"/>
            <w10:wrap type="none"/>
            <w10:anchorlock/>
          </v:shape>
        </w:pict>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29" o:spt="75" type="#_x0000_t75" style="height:194.25pt;width:697.5pt;" filled="f" o:preferrelative="t" stroked="f" coordsize="21600,21600">
            <v:path/>
            <v:fill on="f" focussize="0,0"/>
            <v:stroke on="f" joinstyle="miter"/>
            <v:imagedata r:id="rId14" o:title=""/>
            <o:lock v:ext="edit" aspectratio="t"/>
            <w10:wrap type="none"/>
            <w10:anchorlock/>
          </v:shape>
        </w:pict>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30" o:spt="75" type="#_x0000_t75" style="height:402pt;width:695.25pt;" filled="f" o:preferrelative="t" stroked="f" coordsize="21600,21600">
            <v:path/>
            <v:fill on="f" focussize="0,0"/>
            <v:stroke on="f" joinstyle="miter"/>
            <v:imagedata r:id="rId15" o:title=""/>
            <o:lock v:ext="edit" aspectratio="t"/>
            <w10:wrap type="none"/>
            <w10:anchorlock/>
          </v:shape>
        </w:pict>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pict>
          <v:shape id="_x0000_i1031" o:spt="75" type="#_x0000_t75" style="height:135pt;width:694.5pt;" filled="f" o:preferrelative="t" stroked="f" coordsize="21600,21600">
            <v:path/>
            <v:fill on="f" focussize="0,0"/>
            <v:stroke on="f" joinstyle="miter"/>
            <v:imagedata r:id="rId16" o:title=""/>
            <o:lock v:ext="edit" aspectratio="t"/>
            <w10:wrap type="none"/>
            <w10:anchorlock/>
          </v:shape>
        </w:pict>
      </w:r>
    </w:p>
    <w:tbl>
      <w:tblPr>
        <w:tblStyle w:val="7"/>
        <w:tblW w:w="13820" w:type="dxa"/>
        <w:tblInd w:w="93" w:type="dxa"/>
        <w:tblLayout w:type="autofit"/>
        <w:tblCellMar>
          <w:top w:w="0" w:type="dxa"/>
          <w:left w:w="108" w:type="dxa"/>
          <w:bottom w:w="0" w:type="dxa"/>
          <w:right w:w="108" w:type="dxa"/>
        </w:tblCellMar>
      </w:tblPr>
      <w:tblGrid>
        <w:gridCol w:w="3949"/>
        <w:gridCol w:w="285"/>
        <w:gridCol w:w="285"/>
        <w:gridCol w:w="1304"/>
        <w:gridCol w:w="1945"/>
        <w:gridCol w:w="859"/>
        <w:gridCol w:w="678"/>
        <w:gridCol w:w="859"/>
        <w:gridCol w:w="859"/>
        <w:gridCol w:w="2797"/>
      </w:tblGrid>
      <w:tr>
        <w:tblPrEx>
          <w:tblCellMar>
            <w:top w:w="0" w:type="dxa"/>
            <w:left w:w="108" w:type="dxa"/>
            <w:bottom w:w="0" w:type="dxa"/>
            <w:right w:w="108" w:type="dxa"/>
          </w:tblCellMar>
        </w:tblPrEx>
        <w:trPr>
          <w:trHeight w:val="680" w:hRule="atLeast"/>
        </w:trPr>
        <w:tc>
          <w:tcPr>
            <w:tcW w:w="13820" w:type="dxa"/>
            <w:gridSpan w:val="10"/>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40" w:hRule="atLeast"/>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部门：黄石市黄石港区信访局</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187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2481"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2604"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108" w:type="dxa"/>
            <w:bottom w:w="0" w:type="dxa"/>
            <w:right w:w="108" w:type="dxa"/>
          </w:tblCellMar>
        </w:tblPrEx>
        <w:trPr>
          <w:trHeight w:val="330" w:hRule="atLeast"/>
        </w:trPr>
        <w:tc>
          <w:tcPr>
            <w:tcW w:w="446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921"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p>
        </w:tc>
      </w:tr>
      <w:tr>
        <w:tblPrEx>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p>
        </w:tc>
      </w:tr>
      <w:tr>
        <w:tblPrEx>
          <w:tblCellMar>
            <w:top w:w="0" w:type="dxa"/>
            <w:left w:w="108" w:type="dxa"/>
            <w:bottom w:w="0" w:type="dxa"/>
            <w:right w:w="108" w:type="dxa"/>
          </w:tblCellMar>
        </w:tblPrEx>
        <w:trPr>
          <w:trHeight w:val="350" w:hRule="atLeast"/>
        </w:trPr>
        <w:tc>
          <w:tcPr>
            <w:tcW w:w="0" w:type="auto"/>
            <w:gridSpan w:val="10"/>
            <w:tcBorders>
              <w:top w:val="nil"/>
              <w:left w:val="nil"/>
              <w:bottom w:val="nil"/>
              <w:right w:val="nil"/>
            </w:tcBorders>
            <w:shd w:val="clear" w:color="auto" w:fill="FFFFFF"/>
            <w:noWrap/>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注：本表反映部门本年度政府性基金预算财政拨款收入、支出及结转和结余情况。</w:t>
            </w:r>
          </w:p>
          <w:p>
            <w:pPr>
              <w:widowControl/>
              <w:ind w:firstLine="400" w:firstLineChars="200"/>
              <w:jc w:val="left"/>
              <w:textAlignment w:val="center"/>
              <w:rPr>
                <w:rFonts w:ascii="宋体" w:cs="宋体"/>
                <w:color w:val="000000"/>
                <w:sz w:val="20"/>
                <w:szCs w:val="20"/>
              </w:rPr>
            </w:pPr>
            <w:r>
              <w:rPr>
                <w:rFonts w:hint="eastAsia" w:ascii="宋体" w:hAnsi="宋体" w:cs="仿宋"/>
                <w:sz w:val="20"/>
                <w:szCs w:val="20"/>
              </w:rPr>
              <w:t>我部门无此项内容，本表无数据。</w:t>
            </w:r>
          </w:p>
        </w:tc>
      </w:tr>
    </w:tbl>
    <w:p/>
    <w:p/>
    <w:p/>
    <w:tbl>
      <w:tblPr>
        <w:tblStyle w:val="7"/>
        <w:tblW w:w="13960" w:type="dxa"/>
        <w:tblInd w:w="93" w:type="dxa"/>
        <w:tblLayout w:type="autofit"/>
        <w:tblCellMar>
          <w:top w:w="0" w:type="dxa"/>
          <w:left w:w="108" w:type="dxa"/>
          <w:bottom w:w="0" w:type="dxa"/>
          <w:right w:w="108" w:type="dxa"/>
        </w:tblCellMar>
      </w:tblPr>
      <w:tblGrid>
        <w:gridCol w:w="4524"/>
        <w:gridCol w:w="326"/>
        <w:gridCol w:w="326"/>
        <w:gridCol w:w="1693"/>
        <w:gridCol w:w="1783"/>
        <w:gridCol w:w="1783"/>
        <w:gridCol w:w="3525"/>
      </w:tblGrid>
      <w:tr>
        <w:tblPrEx>
          <w:tblCellMar>
            <w:top w:w="0" w:type="dxa"/>
            <w:left w:w="108" w:type="dxa"/>
            <w:bottom w:w="0" w:type="dxa"/>
            <w:right w:w="108" w:type="dxa"/>
          </w:tblCellMar>
        </w:tblPrEx>
        <w:trPr>
          <w:trHeight w:val="658" w:hRule="atLeast"/>
        </w:trPr>
        <w:tc>
          <w:tcPr>
            <w:tcW w:w="13960" w:type="dxa"/>
            <w:gridSpan w:val="7"/>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国有资本经营预算财政拨款支出决算表</w:t>
            </w:r>
          </w:p>
        </w:tc>
      </w:tr>
      <w:tr>
        <w:tblPrEx>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22"/>
                <w:szCs w:val="22"/>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22"/>
                <w:szCs w:val="22"/>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r>
      <w:tr>
        <w:tblPrEx>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jc w:val="left"/>
              <w:rPr>
                <w:rFonts w:ascii="宋体" w:cs="宋体"/>
                <w:color w:val="000000"/>
                <w:sz w:val="18"/>
                <w:szCs w:val="18"/>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trHeight w:val="329" w:hRule="atLeast"/>
        </w:trPr>
        <w:tc>
          <w:tcPr>
            <w:tcW w:w="0" w:type="auto"/>
            <w:tcBorders>
              <w:top w:val="nil"/>
              <w:left w:val="nil"/>
              <w:bottom w:val="single" w:color="000000" w:sz="4" w:space="0"/>
              <w:right w:val="nil"/>
            </w:tcBorders>
            <w:shd w:val="clear" w:color="auto" w:fill="FFFFFF"/>
            <w:noWrap/>
            <w:vAlign w:val="center"/>
          </w:tcPr>
          <w:p>
            <w:pPr>
              <w:widowControl/>
              <w:jc w:val="left"/>
              <w:textAlignment w:val="center"/>
              <w:rPr>
                <w:rFonts w:ascii="宋体" w:cs="宋体"/>
                <w:color w:val="000000"/>
                <w:sz w:val="22"/>
                <w:szCs w:val="22"/>
              </w:rPr>
            </w:pPr>
            <w:r>
              <w:rPr>
                <w:rFonts w:hint="eastAsia" w:ascii="宋体" w:hAnsi="宋体" w:cs="宋体"/>
                <w:color w:val="000000"/>
                <w:kern w:val="0"/>
                <w:sz w:val="22"/>
                <w:szCs w:val="22"/>
              </w:rPr>
              <w:t>部门：黄石市黄石港区信访局</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年度</w:t>
            </w: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jc w:val="center"/>
              <w:rPr>
                <w:rFonts w:ascii="宋体" w:cs="宋体"/>
                <w:color w:val="000000"/>
                <w:sz w:val="18"/>
                <w:szCs w:val="18"/>
              </w:rPr>
            </w:pPr>
          </w:p>
        </w:tc>
        <w:tc>
          <w:tcPr>
            <w:tcW w:w="0" w:type="auto"/>
            <w:tcBorders>
              <w:top w:val="nil"/>
              <w:left w:val="nil"/>
              <w:bottom w:val="single" w:color="000000" w:sz="4" w:space="0"/>
              <w:right w:val="nil"/>
            </w:tcBorders>
            <w:shd w:val="clear" w:color="auto" w:fill="FFFFFF"/>
            <w:noWrap/>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w:t>
            </w:r>
          </w:p>
        </w:tc>
        <w:tc>
          <w:tcPr>
            <w:tcW w:w="6653" w:type="dxa"/>
            <w:gridSpan w:val="3"/>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0" w:type="dxa"/>
            <w:left w:w="108" w:type="dxa"/>
            <w:bottom w:w="0" w:type="dxa"/>
            <w:right w:w="108" w:type="dxa"/>
          </w:tblCellMar>
        </w:tblPrEx>
        <w:trPr>
          <w:trHeight w:val="319" w:hRule="atLeast"/>
        </w:trPr>
        <w:tc>
          <w:tcPr>
            <w:tcW w:w="531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808"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808"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037" w:type="dxa"/>
            <w:vMerge w:val="restart"/>
            <w:tcBorders>
              <w:top w:val="nil"/>
              <w:left w:val="nil"/>
              <w:bottom w:val="single" w:color="000000" w:sz="4" w:space="0"/>
              <w:right w:val="single" w:color="000000" w:sz="4" w:space="0"/>
            </w:tcBorders>
            <w:shd w:val="clear" w:color="auto" w:fill="C0C0C0"/>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0" w:type="dxa"/>
            <w:left w:w="108" w:type="dxa"/>
            <w:bottom w:w="0" w:type="dxa"/>
            <w:right w:w="108" w:type="dxa"/>
          </w:tblCellMar>
        </w:tblPrEx>
        <w:trPr>
          <w:trHeight w:val="319" w:hRule="atLeast"/>
        </w:trPr>
        <w:tc>
          <w:tcPr>
            <w:tcW w:w="53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037"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19" w:hRule="atLeast"/>
        </w:trPr>
        <w:tc>
          <w:tcPr>
            <w:tcW w:w="53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ascii="宋体" w:cs="宋体"/>
                <w:color w:val="000000"/>
                <w:sz w:val="20"/>
                <w:szCs w:val="20"/>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c>
          <w:tcPr>
            <w:tcW w:w="3037" w:type="dxa"/>
            <w:vMerge w:val="continue"/>
            <w:tcBorders>
              <w:top w:val="nil"/>
              <w:left w:val="nil"/>
              <w:bottom w:val="single" w:color="000000" w:sz="4" w:space="0"/>
              <w:right w:val="single" w:color="000000" w:sz="4" w:space="0"/>
            </w:tcBorders>
            <w:shd w:val="clear" w:color="auto" w:fill="C0C0C0"/>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0" w:type="auto"/>
            <w:tcBorders>
              <w:top w:val="nil"/>
              <w:left w:val="nil"/>
              <w:bottom w:val="single" w:color="000000" w:sz="4" w:space="0"/>
              <w:right w:val="single" w:color="000000" w:sz="4" w:space="0"/>
            </w:tcBorders>
            <w:shd w:val="clear" w:color="auto" w:fill="C0C0C0"/>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r>
              <w:rPr>
                <w:rFonts w:ascii="宋体" w:cs="宋体"/>
                <w:color w:val="000000"/>
                <w:sz w:val="20"/>
                <w:szCs w:val="20"/>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r>
              <w:rPr>
                <w:rFonts w:ascii="宋体" w:cs="宋体"/>
                <w:color w:val="000000"/>
                <w:sz w:val="20"/>
                <w:szCs w:val="20"/>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b/>
                <w:bCs/>
                <w:color w:val="000000"/>
                <w:sz w:val="20"/>
                <w:szCs w:val="20"/>
              </w:rPr>
            </w:pPr>
            <w:r>
              <w:rPr>
                <w:rFonts w:ascii="宋体" w:cs="宋体"/>
                <w:color w:val="000000"/>
                <w:sz w:val="20"/>
                <w:szCs w:val="20"/>
              </w:rPr>
              <w:t>0.00</w:t>
            </w:r>
          </w:p>
        </w:tc>
      </w:tr>
      <w:tr>
        <w:tblPrEx>
          <w:tblCellMar>
            <w:top w:w="0" w:type="dxa"/>
            <w:left w:w="108" w:type="dxa"/>
            <w:bottom w:w="0" w:type="dxa"/>
            <w:right w:w="108"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ascii="宋体" w:cs="宋体"/>
                <w:color w:val="000000"/>
                <w:sz w:val="20"/>
                <w:szCs w:val="20"/>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r>
              <w:rPr>
                <w:rFonts w:ascii="宋体" w:cs="宋体"/>
                <w:color w:val="000000"/>
                <w:sz w:val="20"/>
                <w:szCs w:val="20"/>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r>
              <w:rPr>
                <w:rFonts w:ascii="宋体" w:cs="宋体"/>
                <w:color w:val="000000"/>
                <w:sz w:val="20"/>
                <w:szCs w:val="20"/>
              </w:rPr>
              <w:t>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ascii="宋体" w:cs="宋体"/>
                <w:color w:val="000000"/>
                <w:sz w:val="20"/>
                <w:szCs w:val="20"/>
              </w:rPr>
            </w:pPr>
            <w:r>
              <w:rPr>
                <w:rFonts w:ascii="宋体" w:cs="宋体"/>
                <w:color w:val="000000"/>
                <w:sz w:val="20"/>
                <w:szCs w:val="20"/>
              </w:rPr>
              <w:t>0.00</w:t>
            </w:r>
          </w:p>
        </w:tc>
      </w:tr>
      <w:tr>
        <w:tblPrEx>
          <w:tblCellMar>
            <w:top w:w="0" w:type="dxa"/>
            <w:left w:w="108" w:type="dxa"/>
            <w:bottom w:w="0" w:type="dxa"/>
            <w:right w:w="108" w:type="dxa"/>
          </w:tblCellMar>
        </w:tblPrEx>
        <w:trPr>
          <w:trHeight w:val="339" w:hRule="atLeast"/>
        </w:trPr>
        <w:tc>
          <w:tcPr>
            <w:tcW w:w="0" w:type="auto"/>
            <w:gridSpan w:val="7"/>
            <w:tcBorders>
              <w:top w:val="nil"/>
              <w:left w:val="nil"/>
              <w:bottom w:val="nil"/>
              <w:right w:val="nil"/>
            </w:tcBorders>
            <w:shd w:val="clear" w:color="auto" w:fill="FFFFFF"/>
            <w:noWrap/>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注：本表反映部门本年度国有资本经营预算财政拨款支出情况。</w:t>
            </w:r>
          </w:p>
          <w:p>
            <w:pPr>
              <w:widowControl/>
              <w:ind w:firstLine="400" w:firstLineChars="200"/>
              <w:jc w:val="left"/>
              <w:textAlignment w:val="center"/>
              <w:rPr>
                <w:rFonts w:ascii="宋体" w:cs="宋体"/>
                <w:color w:val="000000"/>
                <w:sz w:val="20"/>
                <w:szCs w:val="20"/>
              </w:rPr>
            </w:pPr>
            <w:r>
              <w:rPr>
                <w:rFonts w:hint="eastAsia" w:ascii="宋体" w:hAnsi="宋体" w:cs="仿宋"/>
                <w:sz w:val="20"/>
                <w:szCs w:val="20"/>
              </w:rPr>
              <w:t>我部门无此项内容，本表无数据。</w:t>
            </w:r>
          </w:p>
        </w:tc>
      </w:tr>
    </w:tbl>
    <w:p/>
    <w:p/>
    <w:p/>
    <w:p>
      <w:pPr>
        <w:tabs>
          <w:tab w:val="left" w:pos="600"/>
        </w:tabs>
      </w:pPr>
      <w:r>
        <w:tab/>
      </w:r>
    </w:p>
    <w:p/>
    <w:p>
      <w:pPr>
        <w:pStyle w:val="6"/>
        <w:widowControl/>
        <w:spacing w:before="76" w:beforeAutospacing="0" w:after="76" w:afterAutospacing="0" w:line="450" w:lineRule="atLeast"/>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2021</w:t>
      </w:r>
      <w:r>
        <w:rPr>
          <w:rStyle w:val="9"/>
          <w:rFonts w:hint="eastAsia" w:ascii="微软雅黑" w:hAnsi="微软雅黑" w:eastAsia="微软雅黑" w:cs="微软雅黑"/>
          <w:color w:val="333333"/>
          <w:shd w:val="clear" w:color="auto" w:fill="FFFFFF"/>
        </w:rPr>
        <w:t>年部门决算情况说明</w:t>
      </w:r>
    </w:p>
    <w:p>
      <w:pPr>
        <w:widowControl/>
        <w:shd w:val="clear" w:color="auto" w:fill="FFFFFF"/>
        <w:ind w:firstLine="480"/>
        <w:jc w:val="left"/>
        <w:rPr>
          <w:rFonts w:ascii="宋体" w:cs="宋体"/>
          <w:b/>
          <w:bCs/>
          <w:sz w:val="28"/>
          <w:szCs w:val="28"/>
        </w:rPr>
      </w:pPr>
      <w:r>
        <w:rPr>
          <w:rFonts w:hint="eastAsia" w:ascii="宋体" w:hAnsi="宋体" w:cs="宋体"/>
          <w:b/>
          <w:bCs/>
          <w:sz w:val="28"/>
          <w:szCs w:val="28"/>
        </w:rPr>
        <w:t>（一）预算执行情况分析</w:t>
      </w:r>
    </w:p>
    <w:p>
      <w:pPr>
        <w:widowControl/>
        <w:ind w:firstLine="560" w:firstLineChars="200"/>
        <w:rPr>
          <w:rFonts w:ascii="宋体" w:cs="微软雅黑"/>
          <w:b/>
          <w:color w:val="333333"/>
          <w:sz w:val="28"/>
          <w:szCs w:val="28"/>
          <w:shd w:val="clear" w:color="auto" w:fill="FFFFFF"/>
        </w:rPr>
      </w:pPr>
      <w:r>
        <w:rPr>
          <w:rFonts w:ascii="宋体" w:hAnsi="宋体" w:cs="宋体"/>
          <w:color w:val="333333"/>
          <w:sz w:val="28"/>
          <w:szCs w:val="28"/>
        </w:rPr>
        <w:t xml:space="preserve"> </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69.98</w:t>
      </w:r>
      <w:r>
        <w:rPr>
          <w:rFonts w:hint="eastAsia" w:ascii="宋体" w:hAnsi="宋体"/>
          <w:sz w:val="28"/>
          <w:szCs w:val="28"/>
        </w:rPr>
        <w:t>万元，其中人员经费</w:t>
      </w:r>
      <w:r>
        <w:rPr>
          <w:rFonts w:ascii="宋体" w:hAnsi="宋体"/>
          <w:sz w:val="28"/>
          <w:szCs w:val="28"/>
        </w:rPr>
        <w:t>59.94</w:t>
      </w:r>
      <w:r>
        <w:rPr>
          <w:rFonts w:hint="eastAsia" w:ascii="宋体" w:hAnsi="宋体"/>
          <w:sz w:val="28"/>
          <w:szCs w:val="28"/>
        </w:rPr>
        <w:t>万元，公用经费</w:t>
      </w:r>
      <w:r>
        <w:rPr>
          <w:rFonts w:ascii="宋体" w:hAnsi="宋体"/>
          <w:sz w:val="28"/>
          <w:szCs w:val="28"/>
        </w:rPr>
        <w:t>10.04</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年度财政支出预算数</w:t>
      </w:r>
      <w:r>
        <w:rPr>
          <w:rFonts w:ascii="宋体" w:hAnsi="宋体"/>
          <w:sz w:val="28"/>
          <w:szCs w:val="28"/>
        </w:rPr>
        <w:t>69.98</w:t>
      </w:r>
      <w:r>
        <w:rPr>
          <w:rFonts w:hint="eastAsia" w:ascii="宋体" w:hAnsi="宋体"/>
          <w:sz w:val="28"/>
          <w:szCs w:val="28"/>
        </w:rPr>
        <w:t>万元，其中人员经费</w:t>
      </w:r>
      <w:r>
        <w:rPr>
          <w:rFonts w:ascii="宋体" w:hAnsi="宋体"/>
          <w:sz w:val="28"/>
          <w:szCs w:val="28"/>
        </w:rPr>
        <w:t>59.94</w:t>
      </w:r>
      <w:r>
        <w:rPr>
          <w:rFonts w:hint="eastAsia" w:ascii="宋体" w:hAnsi="宋体"/>
          <w:sz w:val="28"/>
          <w:szCs w:val="28"/>
        </w:rPr>
        <w:t>万元，公用经费</w:t>
      </w:r>
      <w:r>
        <w:rPr>
          <w:rFonts w:ascii="宋体" w:hAnsi="宋体"/>
          <w:sz w:val="28"/>
          <w:szCs w:val="28"/>
        </w:rPr>
        <w:t>10.04</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年度财政收入预算数</w:t>
      </w:r>
      <w:r>
        <w:rPr>
          <w:rFonts w:ascii="宋体" w:hAnsi="宋体"/>
          <w:sz w:val="28"/>
          <w:szCs w:val="28"/>
        </w:rPr>
        <w:t>70.83</w:t>
      </w:r>
      <w:r>
        <w:rPr>
          <w:rFonts w:hint="eastAsia" w:ascii="宋体" w:hAnsi="宋体"/>
          <w:sz w:val="28"/>
          <w:szCs w:val="28"/>
        </w:rPr>
        <w:t>万元，其中人员经费</w:t>
      </w:r>
      <w:r>
        <w:rPr>
          <w:rFonts w:ascii="宋体" w:hAnsi="宋体"/>
          <w:sz w:val="28"/>
          <w:szCs w:val="28"/>
        </w:rPr>
        <w:t>59.28</w:t>
      </w:r>
      <w:r>
        <w:rPr>
          <w:rFonts w:hint="eastAsia" w:ascii="宋体" w:hAnsi="宋体"/>
          <w:sz w:val="28"/>
          <w:szCs w:val="28"/>
        </w:rPr>
        <w:t>万元，公用经费</w:t>
      </w:r>
      <w:r>
        <w:rPr>
          <w:rFonts w:ascii="宋体" w:hAnsi="宋体"/>
          <w:sz w:val="28"/>
          <w:szCs w:val="28"/>
        </w:rPr>
        <w:t>11.54</w:t>
      </w:r>
      <w:r>
        <w:rPr>
          <w:rFonts w:hint="eastAsia" w:ascii="宋体" w:hAnsi="宋体"/>
          <w:sz w:val="28"/>
          <w:szCs w:val="28"/>
        </w:rPr>
        <w:t>万元；</w:t>
      </w:r>
      <w:r>
        <w:rPr>
          <w:rFonts w:ascii="宋体" w:hAnsi="宋体"/>
          <w:sz w:val="28"/>
          <w:szCs w:val="28"/>
        </w:rPr>
        <w:t>2020</w:t>
      </w:r>
      <w:r>
        <w:rPr>
          <w:rFonts w:hint="eastAsia" w:ascii="宋体" w:hAnsi="宋体"/>
          <w:sz w:val="28"/>
          <w:szCs w:val="28"/>
        </w:rPr>
        <w:t>年度财政支出预算数</w:t>
      </w:r>
      <w:r>
        <w:rPr>
          <w:rFonts w:ascii="宋体" w:hAnsi="宋体"/>
          <w:sz w:val="28"/>
          <w:szCs w:val="28"/>
        </w:rPr>
        <w:t>70.83</w:t>
      </w:r>
      <w:r>
        <w:rPr>
          <w:rFonts w:hint="eastAsia" w:ascii="宋体" w:hAnsi="宋体"/>
          <w:sz w:val="28"/>
          <w:szCs w:val="28"/>
        </w:rPr>
        <w:t>万元，其中人员经费</w:t>
      </w:r>
      <w:r>
        <w:rPr>
          <w:rFonts w:ascii="宋体" w:hAnsi="宋体"/>
          <w:sz w:val="28"/>
          <w:szCs w:val="28"/>
        </w:rPr>
        <w:t>59.28</w:t>
      </w:r>
      <w:r>
        <w:rPr>
          <w:rFonts w:hint="eastAsia" w:ascii="宋体" w:hAnsi="宋体"/>
          <w:sz w:val="28"/>
          <w:szCs w:val="28"/>
        </w:rPr>
        <w:t>万元，公用经费</w:t>
      </w:r>
      <w:r>
        <w:rPr>
          <w:rFonts w:ascii="宋体" w:hAnsi="宋体"/>
          <w:sz w:val="28"/>
          <w:szCs w:val="28"/>
        </w:rPr>
        <w:t>11.54</w:t>
      </w:r>
      <w:r>
        <w:rPr>
          <w:rFonts w:hint="eastAsia" w:ascii="宋体" w:hAnsi="宋体"/>
          <w:sz w:val="28"/>
          <w:szCs w:val="28"/>
        </w:rPr>
        <w:t>万元。</w:t>
      </w:r>
      <w:r>
        <w:rPr>
          <w:rFonts w:ascii="宋体" w:hAnsi="宋体"/>
          <w:sz w:val="28"/>
          <w:szCs w:val="28"/>
        </w:rPr>
        <w:t>2021</w:t>
      </w:r>
      <w:r>
        <w:rPr>
          <w:rFonts w:hint="eastAsia" w:ascii="宋体" w:hAnsi="宋体"/>
          <w:sz w:val="28"/>
          <w:szCs w:val="28"/>
        </w:rPr>
        <w:t>年收入预算数比上年减少</w:t>
      </w:r>
      <w:r>
        <w:rPr>
          <w:rFonts w:ascii="宋体" w:hAnsi="宋体"/>
          <w:sz w:val="28"/>
          <w:szCs w:val="28"/>
        </w:rPr>
        <w:t>0.85</w:t>
      </w:r>
      <w:r>
        <w:rPr>
          <w:rFonts w:hint="eastAsia" w:ascii="宋体" w:hAnsi="宋体"/>
          <w:sz w:val="28"/>
          <w:szCs w:val="28"/>
        </w:rPr>
        <w:t>万元，</w:t>
      </w:r>
      <w:r>
        <w:rPr>
          <w:rFonts w:ascii="宋体" w:hAnsi="宋体"/>
          <w:sz w:val="28"/>
          <w:szCs w:val="28"/>
        </w:rPr>
        <w:t>2021</w:t>
      </w:r>
      <w:r>
        <w:rPr>
          <w:rFonts w:hint="eastAsia" w:ascii="宋体" w:hAnsi="宋体"/>
          <w:sz w:val="28"/>
          <w:szCs w:val="28"/>
        </w:rPr>
        <w:t>支出预算数比上年减少</w:t>
      </w:r>
      <w:r>
        <w:rPr>
          <w:rFonts w:ascii="宋体" w:hAnsi="宋体"/>
          <w:sz w:val="28"/>
          <w:szCs w:val="28"/>
        </w:rPr>
        <w:t>0.85</w:t>
      </w:r>
      <w:r>
        <w:rPr>
          <w:rFonts w:hint="eastAsia" w:ascii="宋体" w:hAnsi="宋体"/>
          <w:sz w:val="28"/>
          <w:szCs w:val="28"/>
        </w:rPr>
        <w:t>万元。</w:t>
      </w:r>
      <w:r>
        <w:rPr>
          <w:rFonts w:ascii="宋体"/>
          <w:sz w:val="28"/>
          <w:szCs w:val="28"/>
        </w:rPr>
        <w:br w:type="textWrapping"/>
      </w:r>
      <w:r>
        <w:rPr>
          <w:rFonts w:ascii="宋体" w:hAnsi="宋体"/>
          <w:sz w:val="28"/>
          <w:szCs w:val="28"/>
        </w:rPr>
        <w:t>1</w:t>
      </w:r>
      <w:r>
        <w:rPr>
          <w:rFonts w:hint="eastAsia" w:ascii="宋体" w:hAnsi="宋体"/>
          <w:sz w:val="28"/>
          <w:szCs w:val="28"/>
        </w:rPr>
        <w:t>、收入与预算对比分析</w:t>
      </w:r>
      <w:r>
        <w:rPr>
          <w:rFonts w:ascii="宋体"/>
          <w:sz w:val="28"/>
          <w:szCs w:val="28"/>
        </w:rPr>
        <w:br w:type="textWrapping"/>
      </w:r>
      <w:r>
        <w:rPr>
          <w:rFonts w:ascii="宋体" w:hAnsi="宋体"/>
          <w:sz w:val="28"/>
          <w:szCs w:val="28"/>
        </w:rPr>
        <w:t>2021</w:t>
      </w:r>
      <w:r>
        <w:rPr>
          <w:rFonts w:hint="eastAsia" w:ascii="宋体" w:hAnsi="宋体"/>
          <w:sz w:val="28"/>
          <w:szCs w:val="28"/>
        </w:rPr>
        <w:t>年全年总收入</w:t>
      </w:r>
      <w:r>
        <w:rPr>
          <w:rFonts w:ascii="宋体" w:hAnsi="宋体"/>
          <w:sz w:val="28"/>
          <w:szCs w:val="28"/>
        </w:rPr>
        <w:t>249.17</w:t>
      </w:r>
      <w:r>
        <w:rPr>
          <w:rFonts w:hint="eastAsia" w:ascii="宋体" w:hAnsi="宋体"/>
          <w:sz w:val="28"/>
          <w:szCs w:val="28"/>
        </w:rPr>
        <w:t>万元。其中财政决算收入</w:t>
      </w:r>
      <w:r>
        <w:rPr>
          <w:rFonts w:ascii="宋体" w:hAnsi="宋体"/>
          <w:sz w:val="28"/>
          <w:szCs w:val="28"/>
        </w:rPr>
        <w:t>237.52</w:t>
      </w:r>
      <w:r>
        <w:rPr>
          <w:rFonts w:hint="eastAsia" w:ascii="宋体" w:hAnsi="宋体"/>
          <w:sz w:val="28"/>
          <w:szCs w:val="28"/>
        </w:rPr>
        <w:t>万元，其他收入</w:t>
      </w:r>
      <w:r>
        <w:rPr>
          <w:rFonts w:ascii="宋体" w:hAnsi="宋体"/>
          <w:sz w:val="28"/>
          <w:szCs w:val="28"/>
        </w:rPr>
        <w:t>11.66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249.17</w:t>
      </w:r>
      <w:r>
        <w:rPr>
          <w:rFonts w:hint="eastAsia" w:ascii="宋体" w:hAnsi="宋体"/>
          <w:sz w:val="28"/>
          <w:szCs w:val="28"/>
        </w:rPr>
        <w:t>万元，其中财政决算支出</w:t>
      </w:r>
      <w:r>
        <w:rPr>
          <w:rFonts w:ascii="宋体" w:hAnsi="宋体"/>
          <w:sz w:val="28"/>
          <w:szCs w:val="28"/>
        </w:rPr>
        <w:t>237.52</w:t>
      </w:r>
      <w:r>
        <w:rPr>
          <w:rFonts w:hint="eastAsia" w:ascii="宋体" w:hAnsi="宋体"/>
          <w:sz w:val="28"/>
          <w:szCs w:val="28"/>
        </w:rPr>
        <w:t>万元，其他资金支出</w:t>
      </w:r>
      <w:r>
        <w:rPr>
          <w:rFonts w:ascii="宋体" w:hAnsi="宋体"/>
          <w:sz w:val="28"/>
          <w:szCs w:val="28"/>
        </w:rPr>
        <w:t>11.66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年度财政收入预算数</w:t>
      </w:r>
      <w:r>
        <w:rPr>
          <w:rFonts w:ascii="宋体" w:hAnsi="宋体"/>
          <w:sz w:val="28"/>
          <w:szCs w:val="28"/>
        </w:rPr>
        <w:t>69.98</w:t>
      </w:r>
      <w:r>
        <w:rPr>
          <w:rFonts w:hint="eastAsia" w:ascii="宋体" w:hAnsi="宋体"/>
          <w:sz w:val="28"/>
          <w:szCs w:val="28"/>
        </w:rPr>
        <w:t>万元，财拔决算比预算多</w:t>
      </w:r>
      <w:r>
        <w:rPr>
          <w:rFonts w:ascii="宋体" w:hAnsi="宋体"/>
          <w:sz w:val="28"/>
          <w:szCs w:val="28"/>
        </w:rPr>
        <w:t>167.54</w:t>
      </w:r>
      <w:r>
        <w:rPr>
          <w:rFonts w:hint="eastAsia" w:ascii="宋体" w:hAnsi="宋体"/>
          <w:sz w:val="28"/>
          <w:szCs w:val="28"/>
        </w:rPr>
        <w:t>万元，增幅</w:t>
      </w:r>
      <w:r>
        <w:rPr>
          <w:rFonts w:ascii="宋体" w:hAnsi="宋体"/>
          <w:sz w:val="28"/>
          <w:szCs w:val="28"/>
        </w:rPr>
        <w:t>239.41%</w:t>
      </w:r>
      <w:r>
        <w:rPr>
          <w:rFonts w:hint="eastAsia" w:ascii="宋体" w:hAnsi="宋体"/>
          <w:sz w:val="28"/>
          <w:szCs w:val="28"/>
        </w:rPr>
        <w:t>，主要原因为本年度本部门人员支出增加及信访窗口维修事务增加。</w:t>
      </w:r>
      <w:r>
        <w:rPr>
          <w:rFonts w:ascii="宋体"/>
          <w:sz w:val="28"/>
          <w:szCs w:val="28"/>
        </w:rPr>
        <w:br w:type="textWrapping"/>
      </w:r>
      <w:r>
        <w:rPr>
          <w:rFonts w:ascii="宋体" w:hAnsi="宋体"/>
          <w:sz w:val="28"/>
          <w:szCs w:val="28"/>
        </w:rPr>
        <w:t>2</w:t>
      </w:r>
      <w:r>
        <w:rPr>
          <w:rFonts w:hint="eastAsia" w:ascii="宋体" w:hAnsi="宋体"/>
          <w:sz w:val="28"/>
          <w:szCs w:val="28"/>
        </w:rPr>
        <w:t>、收入支出结构分析</w:t>
      </w:r>
      <w:r>
        <w:rPr>
          <w:rFonts w:ascii="宋体"/>
          <w:sz w:val="28"/>
          <w:szCs w:val="28"/>
        </w:rPr>
        <w:br w:type="textWrapping"/>
      </w:r>
      <w:r>
        <w:rPr>
          <w:rFonts w:ascii="宋体" w:hAnsi="宋体"/>
          <w:sz w:val="28"/>
          <w:szCs w:val="28"/>
        </w:rPr>
        <w:t>2021</w:t>
      </w:r>
      <w:r>
        <w:rPr>
          <w:rFonts w:hint="eastAsia" w:ascii="宋体" w:hAnsi="宋体"/>
          <w:sz w:val="28"/>
          <w:szCs w:val="28"/>
        </w:rPr>
        <w:t>年全年总收入</w:t>
      </w:r>
      <w:r>
        <w:rPr>
          <w:rFonts w:ascii="宋体" w:hAnsi="宋体"/>
          <w:sz w:val="28"/>
          <w:szCs w:val="28"/>
        </w:rPr>
        <w:t>249.17</w:t>
      </w:r>
      <w:r>
        <w:rPr>
          <w:rFonts w:hint="eastAsia" w:ascii="宋体" w:hAnsi="宋体"/>
          <w:sz w:val="28"/>
          <w:szCs w:val="28"/>
        </w:rPr>
        <w:t>万元。其中财政决算收入</w:t>
      </w:r>
      <w:r>
        <w:rPr>
          <w:rFonts w:ascii="宋体" w:hAnsi="宋体"/>
          <w:sz w:val="28"/>
          <w:szCs w:val="28"/>
        </w:rPr>
        <w:t>237.52</w:t>
      </w:r>
      <w:r>
        <w:rPr>
          <w:rFonts w:hint="eastAsia" w:ascii="宋体" w:hAnsi="宋体"/>
          <w:sz w:val="28"/>
          <w:szCs w:val="28"/>
        </w:rPr>
        <w:t>万元，其他收入</w:t>
      </w:r>
      <w:r>
        <w:rPr>
          <w:rFonts w:ascii="宋体" w:hAnsi="宋体"/>
          <w:sz w:val="28"/>
          <w:szCs w:val="28"/>
        </w:rPr>
        <w:t>11.66</w:t>
      </w:r>
      <w:r>
        <w:rPr>
          <w:rFonts w:hint="eastAsia" w:ascii="宋体" w:hAnsi="宋体"/>
          <w:sz w:val="28"/>
          <w:szCs w:val="28"/>
        </w:rPr>
        <w:t>万元；</w:t>
      </w:r>
      <w:r>
        <w:rPr>
          <w:rFonts w:ascii="宋体" w:hAnsi="宋体"/>
          <w:sz w:val="28"/>
          <w:szCs w:val="28"/>
        </w:rPr>
        <w:t>2021</w:t>
      </w:r>
      <w:r>
        <w:rPr>
          <w:rFonts w:hint="eastAsia" w:ascii="宋体" w:hAnsi="宋体"/>
          <w:sz w:val="28"/>
          <w:szCs w:val="28"/>
        </w:rPr>
        <w:t>年全年决算总支出</w:t>
      </w:r>
      <w:r>
        <w:rPr>
          <w:rFonts w:ascii="宋体" w:hAnsi="宋体"/>
          <w:sz w:val="28"/>
          <w:szCs w:val="28"/>
        </w:rPr>
        <w:t>249.17</w:t>
      </w:r>
      <w:r>
        <w:rPr>
          <w:rFonts w:hint="eastAsia" w:ascii="宋体" w:hAnsi="宋体"/>
          <w:sz w:val="28"/>
          <w:szCs w:val="28"/>
        </w:rPr>
        <w:t>万元，其中财政决算支出</w:t>
      </w:r>
      <w:r>
        <w:rPr>
          <w:rFonts w:ascii="宋体" w:hAnsi="宋体"/>
          <w:sz w:val="28"/>
          <w:szCs w:val="28"/>
        </w:rPr>
        <w:t>237.52</w:t>
      </w:r>
      <w:r>
        <w:rPr>
          <w:rFonts w:hint="eastAsia" w:ascii="宋体" w:hAnsi="宋体"/>
          <w:sz w:val="28"/>
          <w:szCs w:val="28"/>
        </w:rPr>
        <w:t>万元。</w:t>
      </w:r>
      <w:r>
        <w:rPr>
          <w:rFonts w:hint="eastAsia" w:ascii="宋体" w:hAnsi="宋体" w:cs="宋体"/>
          <w:color w:val="333333"/>
          <w:sz w:val="28"/>
          <w:szCs w:val="28"/>
        </w:rPr>
        <w:t>比去年的</w:t>
      </w:r>
      <w:r>
        <w:rPr>
          <w:rFonts w:ascii="宋体" w:hAnsi="宋体" w:cs="宋体"/>
          <w:color w:val="333333"/>
          <w:sz w:val="28"/>
          <w:szCs w:val="28"/>
        </w:rPr>
        <w:t>177.15</w:t>
      </w:r>
      <w:r>
        <w:rPr>
          <w:rFonts w:hint="eastAsia" w:ascii="宋体" w:hAnsi="宋体" w:cs="宋体"/>
          <w:color w:val="333333"/>
          <w:sz w:val="28"/>
          <w:szCs w:val="28"/>
        </w:rPr>
        <w:t>万元增加</w:t>
      </w:r>
      <w:r>
        <w:rPr>
          <w:rFonts w:ascii="宋体" w:hAnsi="宋体" w:cs="宋体"/>
          <w:color w:val="333333"/>
          <w:sz w:val="28"/>
          <w:szCs w:val="28"/>
        </w:rPr>
        <w:t>60.37</w:t>
      </w:r>
      <w:r>
        <w:rPr>
          <w:rFonts w:hint="eastAsia" w:ascii="宋体" w:hAnsi="宋体" w:cs="宋体"/>
          <w:color w:val="333333"/>
          <w:sz w:val="28"/>
          <w:szCs w:val="28"/>
        </w:rPr>
        <w:t>万元，增幅</w:t>
      </w:r>
      <w:r>
        <w:rPr>
          <w:rFonts w:ascii="宋体" w:hAnsi="宋体" w:cs="宋体"/>
          <w:color w:val="333333"/>
          <w:sz w:val="28"/>
          <w:szCs w:val="28"/>
        </w:rPr>
        <w:t>34.08%</w:t>
      </w:r>
      <w:r>
        <w:rPr>
          <w:rFonts w:hint="eastAsia" w:ascii="宋体" w:hAnsi="宋体" w:cs="宋体"/>
          <w:color w:val="333333"/>
          <w:sz w:val="28"/>
          <w:szCs w:val="28"/>
        </w:rPr>
        <w:t>，其主要原因为</w:t>
      </w:r>
      <w:r>
        <w:rPr>
          <w:rFonts w:hint="eastAsia" w:ascii="宋体" w:hAnsi="宋体" w:cs="宋体"/>
          <w:color w:val="333333"/>
          <w:kern w:val="0"/>
          <w:sz w:val="28"/>
          <w:szCs w:val="28"/>
        </w:rPr>
        <w:t>本期信访窗口维修事务增加</w:t>
      </w:r>
      <w:r>
        <w:rPr>
          <w:rFonts w:hint="eastAsia" w:ascii="宋体" w:hAnsi="宋体" w:cs="宋体"/>
          <w:color w:val="333333"/>
          <w:sz w:val="28"/>
          <w:szCs w:val="28"/>
        </w:rPr>
        <w:t>所致。与年初预算数</w:t>
      </w:r>
      <w:r>
        <w:rPr>
          <w:rFonts w:ascii="宋体" w:hAnsi="宋体" w:cs="宋体"/>
          <w:color w:val="333333"/>
          <w:sz w:val="28"/>
          <w:szCs w:val="28"/>
        </w:rPr>
        <w:t>69.98</w:t>
      </w:r>
      <w:r>
        <w:rPr>
          <w:rFonts w:hint="eastAsia" w:ascii="宋体" w:hAnsi="宋体" w:cs="宋体"/>
          <w:color w:val="333333"/>
          <w:sz w:val="28"/>
          <w:szCs w:val="28"/>
        </w:rPr>
        <w:t>万元对比增加</w:t>
      </w:r>
      <w:r>
        <w:rPr>
          <w:rFonts w:ascii="宋体" w:hAnsi="宋体" w:cs="宋体"/>
          <w:color w:val="333333"/>
          <w:sz w:val="28"/>
          <w:szCs w:val="28"/>
        </w:rPr>
        <w:t>167.54</w:t>
      </w:r>
      <w:r>
        <w:rPr>
          <w:rFonts w:hint="eastAsia" w:ascii="宋体" w:hAnsi="宋体" w:cs="宋体"/>
          <w:color w:val="333333"/>
          <w:sz w:val="28"/>
          <w:szCs w:val="28"/>
        </w:rPr>
        <w:t>万元，增幅</w:t>
      </w:r>
      <w:r>
        <w:rPr>
          <w:rFonts w:ascii="宋体" w:hAnsi="宋体" w:cs="宋体"/>
          <w:color w:val="333333"/>
          <w:sz w:val="28"/>
          <w:szCs w:val="28"/>
        </w:rPr>
        <w:t>239.41%</w:t>
      </w:r>
      <w:r>
        <w:rPr>
          <w:rFonts w:hint="eastAsia" w:ascii="宋体" w:hAnsi="宋体" w:cs="宋体"/>
          <w:color w:val="333333"/>
          <w:sz w:val="28"/>
          <w:szCs w:val="28"/>
        </w:rPr>
        <w:t>，其主要原因为</w:t>
      </w:r>
      <w:r>
        <w:rPr>
          <w:rFonts w:hint="eastAsia" w:ascii="宋体" w:hAnsi="宋体" w:cs="宋体"/>
          <w:color w:val="333333"/>
          <w:kern w:val="0"/>
          <w:sz w:val="28"/>
          <w:szCs w:val="28"/>
        </w:rPr>
        <w:t>本部门本期信访窗口维修事务增加所致，</w:t>
      </w:r>
      <w:r>
        <w:rPr>
          <w:rFonts w:hint="eastAsia" w:ascii="宋体" w:hAnsi="宋体"/>
          <w:sz w:val="28"/>
          <w:szCs w:val="28"/>
        </w:rPr>
        <w:t>按以下分类说明</w:t>
      </w:r>
      <w:r>
        <w:rPr>
          <w:rFonts w:ascii="宋体"/>
          <w:sz w:val="28"/>
          <w:szCs w:val="28"/>
        </w:rPr>
        <w:br w:type="textWrapping"/>
      </w:r>
      <w:r>
        <w:rPr>
          <w:rFonts w:hint="eastAsia" w:ascii="宋体" w:hAnsi="宋体" w:cs="宋体"/>
          <w:sz w:val="28"/>
          <w:szCs w:val="28"/>
        </w:rPr>
        <w:t>①</w:t>
      </w:r>
      <w:r>
        <w:rPr>
          <w:rFonts w:hint="eastAsia" w:ascii="宋体" w:hAnsi="宋体"/>
          <w:sz w:val="28"/>
          <w:szCs w:val="28"/>
        </w:rPr>
        <w:t>支出功能分类：</w:t>
      </w:r>
      <w:r>
        <w:rPr>
          <w:rFonts w:ascii="宋体" w:hAnsi="宋体"/>
          <w:sz w:val="28"/>
          <w:szCs w:val="28"/>
        </w:rPr>
        <w:t>237.52</w:t>
      </w:r>
      <w:r>
        <w:rPr>
          <w:rFonts w:hint="eastAsia" w:ascii="宋体" w:hAnsi="宋体"/>
          <w:sz w:val="28"/>
          <w:szCs w:val="28"/>
        </w:rPr>
        <w:t>万元。</w:t>
      </w:r>
      <w:r>
        <w:rPr>
          <w:rFonts w:ascii="宋体"/>
          <w:sz w:val="28"/>
          <w:szCs w:val="28"/>
        </w:rPr>
        <w:br w:type="textWrapping"/>
      </w:r>
      <w:r>
        <w:rPr>
          <w:rFonts w:hint="eastAsia" w:ascii="宋体" w:hAnsi="宋体" w:cs="宋体"/>
          <w:sz w:val="28"/>
          <w:szCs w:val="28"/>
        </w:rPr>
        <w:t>②</w:t>
      </w:r>
      <w:r>
        <w:rPr>
          <w:rFonts w:hint="eastAsia" w:ascii="宋体" w:hAnsi="宋体"/>
          <w:sz w:val="28"/>
          <w:szCs w:val="28"/>
        </w:rPr>
        <w:t>支出性质分类：</w:t>
      </w:r>
      <w:r>
        <w:rPr>
          <w:rFonts w:ascii="宋体" w:hAnsi="宋体"/>
          <w:sz w:val="28"/>
          <w:szCs w:val="28"/>
        </w:rPr>
        <w:t>237.52</w:t>
      </w:r>
      <w:r>
        <w:rPr>
          <w:rFonts w:hint="eastAsia" w:ascii="宋体" w:hAnsi="宋体"/>
          <w:sz w:val="28"/>
          <w:szCs w:val="28"/>
        </w:rPr>
        <w:t>万元，其中人员经费</w:t>
      </w:r>
      <w:r>
        <w:rPr>
          <w:rFonts w:ascii="宋体" w:hAnsi="宋体"/>
          <w:sz w:val="28"/>
          <w:szCs w:val="28"/>
        </w:rPr>
        <w:t>103.17</w:t>
      </w:r>
      <w:r>
        <w:rPr>
          <w:rFonts w:hint="eastAsia" w:ascii="宋体" w:hAnsi="宋体"/>
          <w:sz w:val="28"/>
          <w:szCs w:val="28"/>
        </w:rPr>
        <w:t>万元；公用经费</w:t>
      </w:r>
      <w:r>
        <w:rPr>
          <w:rFonts w:ascii="宋体" w:hAnsi="宋体"/>
          <w:sz w:val="28"/>
          <w:szCs w:val="28"/>
        </w:rPr>
        <w:t>134.35</w:t>
      </w:r>
      <w:r>
        <w:rPr>
          <w:rFonts w:hint="eastAsia" w:ascii="宋体" w:hAnsi="宋体"/>
          <w:sz w:val="28"/>
          <w:szCs w:val="28"/>
        </w:rPr>
        <w:t>万元。</w:t>
      </w:r>
      <w:r>
        <w:rPr>
          <w:rFonts w:ascii="宋体"/>
          <w:sz w:val="28"/>
          <w:szCs w:val="28"/>
        </w:rPr>
        <w:br w:type="textWrapping"/>
      </w:r>
      <w:r>
        <w:rPr>
          <w:rFonts w:hint="eastAsia" w:ascii="宋体" w:hAnsi="宋体" w:cs="宋体"/>
          <w:sz w:val="28"/>
          <w:szCs w:val="28"/>
        </w:rPr>
        <w:t>③</w:t>
      </w:r>
      <w:r>
        <w:rPr>
          <w:rFonts w:hint="eastAsia" w:ascii="宋体" w:hAnsi="宋体"/>
          <w:sz w:val="28"/>
          <w:szCs w:val="28"/>
        </w:rPr>
        <w:t>支出经济分类：</w:t>
      </w:r>
      <w:r>
        <w:rPr>
          <w:rFonts w:ascii="宋体" w:hAnsi="宋体"/>
          <w:sz w:val="28"/>
          <w:szCs w:val="28"/>
        </w:rPr>
        <w:t>237.52</w:t>
      </w:r>
      <w:r>
        <w:rPr>
          <w:rFonts w:hint="eastAsia" w:ascii="宋体" w:hAnsi="宋体"/>
          <w:sz w:val="28"/>
          <w:szCs w:val="28"/>
        </w:rPr>
        <w:t>万元。</w:t>
      </w:r>
      <w:r>
        <w:rPr>
          <w:rFonts w:hint="eastAsia" w:ascii="宋体" w:hAnsi="宋体" w:cs="宋体"/>
          <w:color w:val="333333"/>
          <w:sz w:val="28"/>
          <w:szCs w:val="28"/>
        </w:rPr>
        <w:t>具体构成如下：</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103.17</w:t>
      </w:r>
      <w:r>
        <w:rPr>
          <w:rFonts w:hint="eastAsia" w:ascii="宋体" w:hAnsi="宋体" w:cs="宋体"/>
          <w:color w:val="333333"/>
          <w:sz w:val="28"/>
          <w:szCs w:val="28"/>
        </w:rPr>
        <w:t>万元。占比</w:t>
      </w:r>
      <w:r>
        <w:rPr>
          <w:rFonts w:ascii="宋体" w:hAnsi="宋体" w:cs="宋体"/>
          <w:color w:val="333333"/>
          <w:sz w:val="28"/>
          <w:szCs w:val="28"/>
        </w:rPr>
        <w:t>43.44%</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134.35</w:t>
      </w:r>
      <w:r>
        <w:rPr>
          <w:rFonts w:hint="eastAsia" w:ascii="宋体" w:hAnsi="宋体" w:cs="宋体"/>
          <w:color w:val="333333"/>
          <w:sz w:val="28"/>
          <w:szCs w:val="28"/>
        </w:rPr>
        <w:t>万元。占比</w:t>
      </w:r>
      <w:r>
        <w:rPr>
          <w:rFonts w:ascii="宋体" w:hAnsi="宋体" w:cs="宋体"/>
          <w:color w:val="333333"/>
          <w:sz w:val="28"/>
          <w:szCs w:val="28"/>
        </w:rPr>
        <w:t>56.56%</w:t>
      </w:r>
    </w:p>
    <w:p>
      <w:pPr>
        <w:shd w:val="clear" w:color="auto" w:fill="FFFFFF"/>
        <w:snapToGrid w:val="0"/>
        <w:spacing w:line="560" w:lineRule="atLeast"/>
        <w:ind w:firstLine="560" w:firstLineChars="200"/>
        <w:rPr>
          <w:rFonts w:ascii="宋体" w:cs="宋体"/>
          <w:color w:val="333333"/>
          <w:sz w:val="28"/>
          <w:szCs w:val="28"/>
        </w:rPr>
      </w:pPr>
    </w:p>
    <w:p>
      <w:pPr>
        <w:widowControl/>
        <w:shd w:val="clear" w:color="auto" w:fill="FFFFFF"/>
        <w:ind w:firstLine="422" w:firstLineChars="150"/>
        <w:jc w:val="left"/>
        <w:rPr>
          <w:rFonts w:ascii="宋体" w:cs="宋体"/>
          <w:b/>
          <w:bCs/>
          <w:sz w:val="28"/>
          <w:szCs w:val="28"/>
        </w:rPr>
      </w:pPr>
      <w:r>
        <w:rPr>
          <w:rFonts w:hint="eastAsia" w:ascii="宋体" w:hAnsi="宋体" w:cs="宋体"/>
          <w:b/>
          <w:bCs/>
          <w:sz w:val="28"/>
          <w:szCs w:val="28"/>
        </w:rPr>
        <w:t>（二）关于“三公”经费支出说明</w:t>
      </w:r>
    </w:p>
    <w:p>
      <w:pPr>
        <w:ind w:firstLine="709"/>
        <w:rPr>
          <w:rFonts w:ascii="宋体"/>
          <w:sz w:val="28"/>
          <w:szCs w:val="28"/>
        </w:rPr>
      </w:pPr>
      <w:r>
        <w:rPr>
          <w:rFonts w:ascii="宋体" w:hAnsi="宋体"/>
          <w:sz w:val="28"/>
          <w:szCs w:val="28"/>
        </w:rPr>
        <w:t>2021</w:t>
      </w:r>
      <w:r>
        <w:rPr>
          <w:rFonts w:hint="eastAsia" w:ascii="宋体" w:hAnsi="宋体"/>
          <w:sz w:val="28"/>
          <w:szCs w:val="28"/>
        </w:rPr>
        <w:t>年</w:t>
      </w:r>
      <w:r>
        <w:rPr>
          <w:rFonts w:hint="eastAsia" w:ascii="宋体"/>
          <w:sz w:val="28"/>
          <w:szCs w:val="28"/>
        </w:rPr>
        <w:t>“</w:t>
      </w:r>
      <w:r>
        <w:rPr>
          <w:rFonts w:hint="eastAsia" w:ascii="宋体" w:hAnsi="宋体"/>
          <w:sz w:val="28"/>
          <w:szCs w:val="28"/>
        </w:rPr>
        <w:t>三公</w:t>
      </w:r>
      <w:r>
        <w:rPr>
          <w:rFonts w:hint="eastAsia" w:ascii="宋体"/>
          <w:sz w:val="28"/>
          <w:szCs w:val="28"/>
        </w:rPr>
        <w:t>”</w:t>
      </w:r>
      <w:r>
        <w:rPr>
          <w:rFonts w:hint="eastAsia" w:ascii="宋体" w:hAnsi="宋体"/>
          <w:sz w:val="28"/>
          <w:szCs w:val="28"/>
        </w:rPr>
        <w:t>经费预算数</w:t>
      </w:r>
      <w:r>
        <w:rPr>
          <w:rFonts w:ascii="宋体" w:hAnsi="宋体"/>
          <w:sz w:val="28"/>
          <w:szCs w:val="28"/>
        </w:rPr>
        <w:t>7500</w:t>
      </w:r>
      <w:r>
        <w:rPr>
          <w:rFonts w:hint="eastAsia" w:ascii="宋体" w:hAnsi="宋体"/>
          <w:sz w:val="28"/>
          <w:szCs w:val="28"/>
        </w:rPr>
        <w:t>元，决算总支出</w:t>
      </w:r>
      <w:r>
        <w:rPr>
          <w:rFonts w:ascii="宋体" w:hAnsi="宋体"/>
          <w:sz w:val="28"/>
          <w:szCs w:val="28"/>
        </w:rPr>
        <w:t>990.00</w:t>
      </w:r>
      <w:r>
        <w:rPr>
          <w:rFonts w:hint="eastAsia" w:ascii="宋体" w:hAnsi="宋体"/>
          <w:sz w:val="28"/>
          <w:szCs w:val="28"/>
        </w:rPr>
        <w:t>元，其中：</w:t>
      </w:r>
      <w:r>
        <w:rPr>
          <w:rFonts w:ascii="宋体"/>
          <w:sz w:val="28"/>
          <w:szCs w:val="28"/>
        </w:rPr>
        <w:br w:type="textWrapping"/>
      </w:r>
      <w:r>
        <w:rPr>
          <w:rFonts w:hint="eastAsia" w:ascii="宋体" w:hAnsi="宋体"/>
          <w:sz w:val="28"/>
          <w:szCs w:val="28"/>
        </w:rPr>
        <w:t>公务车运行维护费</w:t>
      </w:r>
      <w:r>
        <w:rPr>
          <w:rFonts w:ascii="宋体"/>
          <w:sz w:val="28"/>
          <w:szCs w:val="28"/>
        </w:rPr>
        <w:t>0</w:t>
      </w:r>
      <w:r>
        <w:rPr>
          <w:rFonts w:hint="eastAsia" w:ascii="宋体" w:hAnsi="宋体"/>
          <w:sz w:val="28"/>
          <w:szCs w:val="28"/>
        </w:rPr>
        <w:t>元，年初预算数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w:t>
      </w:r>
    </w:p>
    <w:p>
      <w:pPr>
        <w:rPr>
          <w:rFonts w:ascii="宋体"/>
          <w:sz w:val="28"/>
          <w:szCs w:val="28"/>
        </w:rPr>
      </w:pPr>
      <w:r>
        <w:rPr>
          <w:rFonts w:hint="eastAsia" w:ascii="宋体" w:hAnsi="宋体"/>
          <w:sz w:val="28"/>
          <w:szCs w:val="28"/>
        </w:rPr>
        <w:t>公务用车购置数</w:t>
      </w:r>
      <w:r>
        <w:rPr>
          <w:rFonts w:ascii="宋体"/>
          <w:sz w:val="28"/>
          <w:szCs w:val="28"/>
        </w:rPr>
        <w:t>0</w:t>
      </w:r>
      <w:r>
        <w:rPr>
          <w:rFonts w:hint="eastAsia" w:ascii="宋体"/>
          <w:sz w:val="28"/>
          <w:szCs w:val="28"/>
        </w:rPr>
        <w:t>元</w:t>
      </w:r>
      <w:r>
        <w:rPr>
          <w:rFonts w:hint="eastAsia" w:ascii="宋体" w:hAnsi="宋体"/>
          <w:sz w:val="28"/>
          <w:szCs w:val="28"/>
        </w:rPr>
        <w:t>、年初预算数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，保有量</w:t>
      </w:r>
      <w:r>
        <w:rPr>
          <w:rFonts w:ascii="宋体"/>
          <w:sz w:val="28"/>
          <w:szCs w:val="28"/>
        </w:rPr>
        <w:t>0</w:t>
      </w:r>
      <w:r>
        <w:rPr>
          <w:rFonts w:hint="eastAsia" w:ascii="宋体" w:hAnsi="宋体"/>
          <w:sz w:val="28"/>
          <w:szCs w:val="28"/>
        </w:rPr>
        <w:t>。</w:t>
      </w:r>
      <w:r>
        <w:rPr>
          <w:rFonts w:ascii="宋体"/>
          <w:sz w:val="28"/>
          <w:szCs w:val="28"/>
        </w:rPr>
        <w:br w:type="textWrapping"/>
      </w:r>
      <w:r>
        <w:rPr>
          <w:rFonts w:hint="eastAsia" w:ascii="宋体" w:hAnsi="宋体"/>
          <w:sz w:val="28"/>
          <w:szCs w:val="28"/>
        </w:rPr>
        <w:t>公务接待费</w:t>
      </w:r>
      <w:r>
        <w:rPr>
          <w:rFonts w:ascii="宋体" w:hAnsi="宋体"/>
          <w:sz w:val="28"/>
          <w:szCs w:val="28"/>
        </w:rPr>
        <w:t>990</w:t>
      </w:r>
      <w:r>
        <w:rPr>
          <w:rFonts w:hint="eastAsia" w:ascii="宋体" w:hAnsi="宋体"/>
          <w:sz w:val="28"/>
          <w:szCs w:val="28"/>
        </w:rPr>
        <w:t>元，年初预算数</w:t>
      </w:r>
      <w:r>
        <w:rPr>
          <w:rFonts w:ascii="宋体" w:hAnsi="宋体"/>
          <w:sz w:val="28"/>
          <w:szCs w:val="28"/>
        </w:rPr>
        <w:t>7500.00</w:t>
      </w:r>
      <w:r>
        <w:rPr>
          <w:rFonts w:hint="eastAsia" w:ascii="宋体" w:hAnsi="宋体"/>
          <w:sz w:val="28"/>
          <w:szCs w:val="28"/>
        </w:rPr>
        <w:t>元，决算数比预算数减少</w:t>
      </w:r>
      <w:r>
        <w:rPr>
          <w:rFonts w:ascii="宋体" w:hAnsi="宋体"/>
          <w:sz w:val="28"/>
          <w:szCs w:val="28"/>
        </w:rPr>
        <w:t>6510.00</w:t>
      </w:r>
      <w:r>
        <w:rPr>
          <w:rFonts w:hint="eastAsia" w:ascii="宋体" w:hAnsi="宋体"/>
          <w:sz w:val="28"/>
          <w:szCs w:val="28"/>
        </w:rPr>
        <w:t>元，减少幅度为</w:t>
      </w:r>
      <w:r>
        <w:rPr>
          <w:rFonts w:ascii="宋体" w:hAnsi="宋体"/>
          <w:sz w:val="28"/>
          <w:szCs w:val="28"/>
        </w:rPr>
        <w:t>86.80%</w:t>
      </w:r>
      <w:r>
        <w:rPr>
          <w:rFonts w:hint="eastAsia" w:ascii="宋体" w:hAnsi="宋体"/>
          <w:sz w:val="28"/>
          <w:szCs w:val="28"/>
        </w:rPr>
        <w:t>，公务接待批次</w:t>
      </w:r>
      <w:r>
        <w:rPr>
          <w:rFonts w:ascii="宋体" w:hAnsi="宋体"/>
          <w:sz w:val="28"/>
          <w:szCs w:val="28"/>
        </w:rPr>
        <w:t>2</w:t>
      </w:r>
      <w:r>
        <w:rPr>
          <w:rFonts w:hint="eastAsia" w:ascii="宋体" w:hAnsi="宋体"/>
          <w:sz w:val="28"/>
          <w:szCs w:val="28"/>
        </w:rPr>
        <w:t>、人数</w:t>
      </w:r>
      <w:r>
        <w:rPr>
          <w:rFonts w:ascii="宋体" w:hAnsi="宋体"/>
          <w:sz w:val="28"/>
          <w:szCs w:val="28"/>
        </w:rPr>
        <w:t>14</w:t>
      </w:r>
      <w:r>
        <w:rPr>
          <w:rFonts w:hint="eastAsia" w:ascii="宋体" w:hAnsi="宋体"/>
          <w:sz w:val="28"/>
          <w:szCs w:val="28"/>
        </w:rPr>
        <w:t>人。</w:t>
      </w:r>
      <w:r>
        <w:rPr>
          <w:rFonts w:ascii="宋体"/>
          <w:sz w:val="28"/>
          <w:szCs w:val="28"/>
        </w:rPr>
        <w:br w:type="textWrapping"/>
      </w:r>
      <w:r>
        <w:rPr>
          <w:rFonts w:hint="eastAsia" w:ascii="宋体" w:hAnsi="宋体"/>
          <w:sz w:val="28"/>
          <w:szCs w:val="28"/>
        </w:rPr>
        <w:t>因公出国（境）费</w:t>
      </w:r>
      <w:r>
        <w:rPr>
          <w:rFonts w:ascii="宋体"/>
          <w:sz w:val="28"/>
          <w:szCs w:val="28"/>
        </w:rPr>
        <w:t>0</w:t>
      </w:r>
      <w:r>
        <w:rPr>
          <w:rFonts w:hint="eastAsia" w:ascii="宋体" w:hAnsi="宋体"/>
          <w:sz w:val="28"/>
          <w:szCs w:val="28"/>
        </w:rPr>
        <w:t>元，预算数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，本单位因公出国（境）团组数</w:t>
      </w:r>
      <w:r>
        <w:rPr>
          <w:rFonts w:ascii="宋体"/>
          <w:sz w:val="28"/>
          <w:szCs w:val="28"/>
        </w:rPr>
        <w:t>0</w:t>
      </w:r>
      <w:r>
        <w:rPr>
          <w:rFonts w:hint="eastAsia" w:ascii="宋体" w:hAnsi="宋体"/>
          <w:sz w:val="28"/>
          <w:szCs w:val="28"/>
        </w:rPr>
        <w:t>、人数</w:t>
      </w:r>
      <w:r>
        <w:rPr>
          <w:rFonts w:ascii="宋体"/>
          <w:sz w:val="28"/>
          <w:szCs w:val="28"/>
        </w:rPr>
        <w:t>0</w:t>
      </w:r>
      <w:r>
        <w:rPr>
          <w:rFonts w:hint="eastAsia" w:ascii="宋体" w:hAnsi="宋体"/>
          <w:sz w:val="28"/>
          <w:szCs w:val="28"/>
        </w:rPr>
        <w:t>。</w:t>
      </w:r>
    </w:p>
    <w:p>
      <w:pPr>
        <w:ind w:firstLine="709"/>
        <w:rPr>
          <w:rFonts w:ascii="宋体"/>
          <w:sz w:val="28"/>
          <w:szCs w:val="28"/>
        </w:rPr>
      </w:pPr>
      <w:r>
        <w:rPr>
          <w:rFonts w:ascii="宋体" w:hAnsi="宋体"/>
          <w:sz w:val="28"/>
          <w:szCs w:val="28"/>
        </w:rPr>
        <w:t>202</w:t>
      </w:r>
      <w:r>
        <w:rPr>
          <w:rFonts w:ascii="宋体"/>
          <w:sz w:val="28"/>
          <w:szCs w:val="28"/>
        </w:rPr>
        <w:t>0</w:t>
      </w:r>
      <w:r>
        <w:rPr>
          <w:rFonts w:hint="eastAsia" w:ascii="宋体" w:hAnsi="宋体"/>
          <w:sz w:val="28"/>
          <w:szCs w:val="28"/>
        </w:rPr>
        <w:t>年</w:t>
      </w:r>
      <w:r>
        <w:rPr>
          <w:rFonts w:hint="eastAsia" w:ascii="宋体"/>
          <w:sz w:val="28"/>
          <w:szCs w:val="28"/>
        </w:rPr>
        <w:t>“</w:t>
      </w:r>
      <w:r>
        <w:rPr>
          <w:rFonts w:hint="eastAsia" w:ascii="宋体" w:hAnsi="宋体"/>
          <w:sz w:val="28"/>
          <w:szCs w:val="28"/>
        </w:rPr>
        <w:t>三公</w:t>
      </w:r>
      <w:r>
        <w:rPr>
          <w:rFonts w:hint="eastAsia" w:ascii="宋体"/>
          <w:sz w:val="28"/>
          <w:szCs w:val="28"/>
        </w:rPr>
        <w:t>”</w:t>
      </w:r>
      <w:r>
        <w:rPr>
          <w:rFonts w:hint="eastAsia" w:ascii="宋体" w:hAnsi="宋体"/>
          <w:sz w:val="28"/>
          <w:szCs w:val="28"/>
        </w:rPr>
        <w:t>经费预算数</w:t>
      </w:r>
      <w:r>
        <w:rPr>
          <w:rFonts w:ascii="宋体" w:hAnsi="宋体"/>
          <w:sz w:val="28"/>
          <w:szCs w:val="28"/>
        </w:rPr>
        <w:t>7500</w:t>
      </w:r>
      <w:r>
        <w:rPr>
          <w:rFonts w:hint="eastAsia" w:ascii="宋体" w:hAnsi="宋体"/>
          <w:sz w:val="28"/>
          <w:szCs w:val="28"/>
        </w:rPr>
        <w:t>元，决算总支出</w:t>
      </w:r>
      <w:r>
        <w:rPr>
          <w:rFonts w:ascii="宋体" w:hAnsi="宋体"/>
          <w:sz w:val="28"/>
          <w:szCs w:val="28"/>
        </w:rPr>
        <w:t>720</w:t>
      </w:r>
      <w:r>
        <w:rPr>
          <w:rFonts w:ascii="宋体"/>
          <w:sz w:val="28"/>
          <w:szCs w:val="28"/>
        </w:rPr>
        <w:t>.00</w:t>
      </w:r>
      <w:r>
        <w:rPr>
          <w:rFonts w:hint="eastAsia" w:ascii="宋体" w:hAnsi="宋体"/>
          <w:sz w:val="28"/>
          <w:szCs w:val="28"/>
        </w:rPr>
        <w:t>元，其中：</w:t>
      </w:r>
      <w:r>
        <w:rPr>
          <w:rFonts w:ascii="宋体"/>
          <w:sz w:val="28"/>
          <w:szCs w:val="28"/>
        </w:rPr>
        <w:br w:type="textWrapping"/>
      </w:r>
      <w:r>
        <w:rPr>
          <w:rFonts w:hint="eastAsia" w:ascii="宋体" w:hAnsi="宋体"/>
          <w:sz w:val="28"/>
          <w:szCs w:val="28"/>
        </w:rPr>
        <w:t>公务车运行维护费</w:t>
      </w:r>
      <w:r>
        <w:rPr>
          <w:rFonts w:ascii="宋体"/>
          <w:sz w:val="28"/>
          <w:szCs w:val="28"/>
        </w:rPr>
        <w:t>0</w:t>
      </w:r>
      <w:r>
        <w:rPr>
          <w:rFonts w:hint="eastAsia" w:ascii="宋体" w:hAnsi="宋体"/>
          <w:sz w:val="28"/>
          <w:szCs w:val="28"/>
        </w:rPr>
        <w:t>元，年初预算数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w:t>
      </w:r>
    </w:p>
    <w:p>
      <w:pPr>
        <w:rPr>
          <w:rFonts w:ascii="宋体"/>
          <w:color w:val="FF0000"/>
          <w:sz w:val="28"/>
          <w:szCs w:val="28"/>
        </w:rPr>
      </w:pPr>
      <w:r>
        <w:rPr>
          <w:rFonts w:hint="eastAsia" w:ascii="宋体" w:hAnsi="宋体"/>
          <w:sz w:val="28"/>
          <w:szCs w:val="28"/>
        </w:rPr>
        <w:t>公务用车购置数</w:t>
      </w:r>
      <w:r>
        <w:rPr>
          <w:rFonts w:ascii="宋体"/>
          <w:sz w:val="28"/>
          <w:szCs w:val="28"/>
        </w:rPr>
        <w:t>0</w:t>
      </w:r>
      <w:r>
        <w:rPr>
          <w:rFonts w:hint="eastAsia" w:ascii="宋体"/>
          <w:sz w:val="28"/>
          <w:szCs w:val="28"/>
        </w:rPr>
        <w:t>元</w:t>
      </w:r>
      <w:r>
        <w:rPr>
          <w:rFonts w:hint="eastAsia" w:ascii="宋体" w:hAnsi="宋体"/>
          <w:sz w:val="28"/>
          <w:szCs w:val="28"/>
        </w:rPr>
        <w:t>、年初预算数</w:t>
      </w:r>
      <w:r>
        <w:rPr>
          <w:rFonts w:ascii="宋体"/>
          <w:sz w:val="28"/>
          <w:szCs w:val="28"/>
        </w:rPr>
        <w:t>0</w:t>
      </w:r>
      <w:r>
        <w:rPr>
          <w:rFonts w:hint="eastAsia" w:ascii="宋体" w:hAnsi="宋体"/>
          <w:sz w:val="28"/>
          <w:szCs w:val="28"/>
        </w:rPr>
        <w:t>元，决算数比预算数减少</w:t>
      </w:r>
      <w:r>
        <w:rPr>
          <w:rFonts w:ascii="宋体"/>
          <w:sz w:val="28"/>
          <w:szCs w:val="28"/>
        </w:rPr>
        <w:t>0</w:t>
      </w:r>
      <w:r>
        <w:rPr>
          <w:rFonts w:hint="eastAsia" w:ascii="宋体" w:hAnsi="宋体"/>
          <w:sz w:val="28"/>
          <w:szCs w:val="28"/>
        </w:rPr>
        <w:t>元，减少幅度为</w:t>
      </w:r>
      <w:r>
        <w:rPr>
          <w:rFonts w:ascii="宋体" w:hAnsi="宋体"/>
          <w:sz w:val="28"/>
          <w:szCs w:val="28"/>
        </w:rPr>
        <w:t>0%</w:t>
      </w:r>
      <w:r>
        <w:rPr>
          <w:rFonts w:hint="eastAsia" w:ascii="宋体" w:hAnsi="宋体"/>
          <w:sz w:val="28"/>
          <w:szCs w:val="28"/>
        </w:rPr>
        <w:t>，保有量</w:t>
      </w:r>
      <w:r>
        <w:rPr>
          <w:rFonts w:ascii="宋体"/>
          <w:sz w:val="28"/>
          <w:szCs w:val="28"/>
        </w:rPr>
        <w:t>0</w:t>
      </w:r>
      <w:r>
        <w:rPr>
          <w:rFonts w:hint="eastAsia" w:ascii="宋体" w:hAnsi="宋体"/>
          <w:sz w:val="28"/>
          <w:szCs w:val="28"/>
        </w:rPr>
        <w:t>；</w:t>
      </w:r>
      <w:r>
        <w:rPr>
          <w:rFonts w:ascii="宋体"/>
          <w:sz w:val="28"/>
          <w:szCs w:val="28"/>
        </w:rPr>
        <w:br w:type="textWrapping"/>
      </w:r>
      <w:r>
        <w:rPr>
          <w:rFonts w:hint="eastAsia" w:ascii="宋体" w:hAnsi="宋体"/>
          <w:sz w:val="28"/>
          <w:szCs w:val="28"/>
        </w:rPr>
        <w:t>公务接待费</w:t>
      </w:r>
      <w:r>
        <w:rPr>
          <w:rFonts w:ascii="宋体" w:hAnsi="宋体"/>
          <w:sz w:val="28"/>
          <w:szCs w:val="28"/>
        </w:rPr>
        <w:t>720</w:t>
      </w:r>
      <w:r>
        <w:rPr>
          <w:rFonts w:hint="eastAsia" w:ascii="宋体" w:hAnsi="宋体"/>
          <w:sz w:val="28"/>
          <w:szCs w:val="28"/>
        </w:rPr>
        <w:t>元，年初预算数</w:t>
      </w:r>
      <w:r>
        <w:rPr>
          <w:rFonts w:ascii="宋体" w:hAnsi="宋体"/>
          <w:sz w:val="28"/>
          <w:szCs w:val="28"/>
        </w:rPr>
        <w:t>7500.00</w:t>
      </w:r>
      <w:r>
        <w:rPr>
          <w:rFonts w:hint="eastAsia" w:ascii="宋体" w:hAnsi="宋体"/>
          <w:sz w:val="28"/>
          <w:szCs w:val="28"/>
        </w:rPr>
        <w:t>元，决算数比预算数减少</w:t>
      </w:r>
      <w:r>
        <w:rPr>
          <w:rFonts w:ascii="宋体" w:hAnsi="宋体"/>
          <w:sz w:val="28"/>
          <w:szCs w:val="28"/>
        </w:rPr>
        <w:t>6780</w:t>
      </w:r>
      <w:r>
        <w:rPr>
          <w:rFonts w:hint="eastAsia" w:ascii="宋体" w:hAnsi="宋体"/>
          <w:sz w:val="28"/>
          <w:szCs w:val="28"/>
        </w:rPr>
        <w:t>元，减少幅度为</w:t>
      </w:r>
      <w:r>
        <w:rPr>
          <w:rFonts w:ascii="宋体" w:hAnsi="宋体"/>
          <w:sz w:val="28"/>
          <w:szCs w:val="28"/>
        </w:rPr>
        <w:t>90.4%</w:t>
      </w:r>
      <w:r>
        <w:rPr>
          <w:rFonts w:hint="eastAsia" w:ascii="宋体" w:hAnsi="宋体"/>
          <w:sz w:val="28"/>
          <w:szCs w:val="28"/>
        </w:rPr>
        <w:t>，公务接待批次</w:t>
      </w:r>
      <w:r>
        <w:rPr>
          <w:rFonts w:ascii="宋体" w:hAnsi="宋体"/>
          <w:sz w:val="28"/>
          <w:szCs w:val="28"/>
        </w:rPr>
        <w:t>1.</w:t>
      </w:r>
      <w:r>
        <w:rPr>
          <w:rFonts w:hint="eastAsia" w:ascii="宋体" w:hAnsi="宋体"/>
          <w:sz w:val="28"/>
          <w:szCs w:val="28"/>
        </w:rPr>
        <w:t>人数</w:t>
      </w:r>
      <w:r>
        <w:rPr>
          <w:rFonts w:ascii="宋体" w:hAnsi="宋体"/>
          <w:sz w:val="28"/>
          <w:szCs w:val="28"/>
        </w:rPr>
        <w:t>9</w:t>
      </w:r>
      <w:r>
        <w:rPr>
          <w:rFonts w:hint="eastAsia" w:ascii="宋体" w:hAnsi="宋体"/>
          <w:sz w:val="28"/>
          <w:szCs w:val="28"/>
        </w:rPr>
        <w:t>人。</w:t>
      </w:r>
      <w:r>
        <w:rPr>
          <w:rFonts w:ascii="宋体"/>
          <w:sz w:val="28"/>
          <w:szCs w:val="28"/>
        </w:rPr>
        <w:br w:type="textWrapping"/>
      </w:r>
      <w:r>
        <w:rPr>
          <w:rFonts w:hint="eastAsia" w:ascii="宋体" w:hAnsi="宋体"/>
          <w:sz w:val="28"/>
          <w:szCs w:val="28"/>
        </w:rPr>
        <w:t>因公出国（境）费</w:t>
      </w:r>
      <w:r>
        <w:rPr>
          <w:rFonts w:ascii="宋体"/>
          <w:sz w:val="28"/>
          <w:szCs w:val="28"/>
        </w:rPr>
        <w:t>0</w:t>
      </w:r>
      <w:r>
        <w:rPr>
          <w:rFonts w:hint="eastAsia" w:ascii="宋体" w:hAnsi="宋体"/>
          <w:sz w:val="28"/>
          <w:szCs w:val="28"/>
        </w:rPr>
        <w:t>元，预算数</w:t>
      </w:r>
      <w:r>
        <w:rPr>
          <w:rFonts w:ascii="宋体"/>
          <w:sz w:val="28"/>
          <w:szCs w:val="28"/>
        </w:rPr>
        <w:t>0</w:t>
      </w:r>
      <w:r>
        <w:rPr>
          <w:rFonts w:hint="eastAsia" w:ascii="宋体" w:hAnsi="宋体"/>
          <w:sz w:val="28"/>
          <w:szCs w:val="28"/>
        </w:rPr>
        <w:t>元，决算数比预算数增加</w:t>
      </w:r>
      <w:r>
        <w:rPr>
          <w:rFonts w:ascii="宋体"/>
          <w:sz w:val="28"/>
          <w:szCs w:val="28"/>
        </w:rPr>
        <w:t>0</w:t>
      </w:r>
      <w:r>
        <w:rPr>
          <w:rFonts w:hint="eastAsia" w:ascii="宋体" w:hAnsi="宋体"/>
          <w:sz w:val="28"/>
          <w:szCs w:val="28"/>
        </w:rPr>
        <w:t>元，增长幅度为</w:t>
      </w:r>
      <w:r>
        <w:rPr>
          <w:rFonts w:ascii="宋体" w:hAnsi="宋体"/>
          <w:sz w:val="28"/>
          <w:szCs w:val="28"/>
        </w:rPr>
        <w:t>0%</w:t>
      </w:r>
      <w:r>
        <w:rPr>
          <w:rFonts w:hint="eastAsia" w:ascii="宋体" w:hAnsi="宋体"/>
          <w:sz w:val="28"/>
          <w:szCs w:val="28"/>
        </w:rPr>
        <w:t>，本单位因公出国（境）团组数</w:t>
      </w:r>
      <w:r>
        <w:rPr>
          <w:rFonts w:ascii="宋体"/>
          <w:sz w:val="28"/>
          <w:szCs w:val="28"/>
        </w:rPr>
        <w:t>0</w:t>
      </w:r>
      <w:r>
        <w:rPr>
          <w:rFonts w:hint="eastAsia" w:ascii="宋体" w:hAnsi="宋体"/>
          <w:sz w:val="28"/>
          <w:szCs w:val="28"/>
        </w:rPr>
        <w:t>、人数</w:t>
      </w:r>
      <w:r>
        <w:rPr>
          <w:rFonts w:ascii="宋体"/>
          <w:sz w:val="28"/>
          <w:szCs w:val="28"/>
        </w:rPr>
        <w:t>0</w:t>
      </w:r>
      <w:r>
        <w:rPr>
          <w:rFonts w:hint="eastAsia" w:ascii="宋体" w:hAnsi="宋体"/>
          <w:sz w:val="28"/>
          <w:szCs w:val="28"/>
        </w:rPr>
        <w:t>。</w:t>
      </w:r>
    </w:p>
    <w:p>
      <w:pPr>
        <w:ind w:firstLine="709"/>
        <w:rPr>
          <w:rFonts w:ascii="宋体"/>
          <w:sz w:val="28"/>
          <w:szCs w:val="28"/>
        </w:rPr>
      </w:pPr>
    </w:p>
    <w:p>
      <w:pPr>
        <w:widowControl/>
        <w:shd w:val="clear" w:color="auto" w:fill="FFFFFF"/>
        <w:ind w:firstLine="480"/>
        <w:jc w:val="left"/>
        <w:rPr>
          <w:rFonts w:ascii="宋体" w:cs="宋体"/>
          <w:b/>
          <w:bCs/>
          <w:sz w:val="28"/>
          <w:szCs w:val="28"/>
        </w:rPr>
      </w:pPr>
    </w:p>
    <w:p>
      <w:pPr>
        <w:widowControl/>
        <w:shd w:val="clear" w:color="auto" w:fill="FFFFFF"/>
        <w:ind w:firstLine="480"/>
        <w:jc w:val="left"/>
        <w:rPr>
          <w:rFonts w:ascii="宋体" w:cs="宋体"/>
          <w:b/>
          <w:bCs/>
          <w:sz w:val="28"/>
          <w:szCs w:val="28"/>
        </w:rPr>
      </w:pPr>
      <w:r>
        <w:rPr>
          <w:rFonts w:hint="eastAsia" w:ascii="宋体" w:hAnsi="宋体" w:cs="宋体"/>
          <w:b/>
          <w:bCs/>
          <w:sz w:val="28"/>
          <w:szCs w:val="28"/>
        </w:rPr>
        <w:t>（三）关于机关运行经费支出说明</w:t>
      </w:r>
    </w:p>
    <w:p>
      <w:pPr>
        <w:shd w:val="clear" w:color="auto" w:fill="FFFFFF"/>
        <w:spacing w:line="360" w:lineRule="auto"/>
        <w:ind w:firstLine="700" w:firstLineChars="250"/>
        <w:rPr>
          <w:rFonts w:ascii="宋体" w:cs="仿宋"/>
          <w:bCs/>
          <w:color w:val="000000"/>
          <w:sz w:val="28"/>
          <w:szCs w:val="28"/>
        </w:rPr>
      </w:pPr>
      <w:r>
        <w:rPr>
          <w:rFonts w:hint="eastAsia" w:ascii="宋体" w:hAnsi="宋体" w:cs="仿宋"/>
          <w:bCs/>
          <w:color w:val="000000"/>
          <w:sz w:val="28"/>
          <w:szCs w:val="28"/>
        </w:rPr>
        <w:t>本部门机关运行经费本年支出</w:t>
      </w:r>
      <w:r>
        <w:rPr>
          <w:rFonts w:ascii="宋体" w:hAnsi="宋体" w:cs="仿宋"/>
          <w:bCs/>
          <w:color w:val="000000"/>
          <w:sz w:val="28"/>
          <w:szCs w:val="28"/>
        </w:rPr>
        <w:t>134.35</w:t>
      </w:r>
      <w:r>
        <w:rPr>
          <w:rFonts w:hint="eastAsia" w:ascii="宋体" w:hAnsi="宋体" w:cs="仿宋"/>
          <w:bCs/>
          <w:color w:val="000000"/>
          <w:sz w:val="28"/>
          <w:szCs w:val="28"/>
        </w:rPr>
        <w:t>万元，去年支出为</w:t>
      </w:r>
      <w:r>
        <w:rPr>
          <w:rFonts w:ascii="宋体" w:hAnsi="宋体" w:cs="仿宋"/>
          <w:bCs/>
          <w:color w:val="000000"/>
          <w:sz w:val="28"/>
          <w:szCs w:val="28"/>
        </w:rPr>
        <w:t>73.72</w:t>
      </w:r>
      <w:r>
        <w:rPr>
          <w:rFonts w:hint="eastAsia" w:ascii="宋体" w:hAnsi="宋体" w:cs="仿宋"/>
          <w:bCs/>
          <w:color w:val="000000"/>
          <w:sz w:val="28"/>
          <w:szCs w:val="28"/>
        </w:rPr>
        <w:t>万元，比去年增加</w:t>
      </w:r>
      <w:r>
        <w:rPr>
          <w:rFonts w:ascii="宋体" w:hAnsi="宋体" w:cs="仿宋"/>
          <w:bCs/>
          <w:color w:val="000000"/>
          <w:sz w:val="28"/>
          <w:szCs w:val="28"/>
        </w:rPr>
        <w:t>60.63</w:t>
      </w:r>
      <w:r>
        <w:rPr>
          <w:rFonts w:hint="eastAsia" w:ascii="宋体" w:hAnsi="宋体" w:cs="仿宋"/>
          <w:bCs/>
          <w:color w:val="000000"/>
          <w:sz w:val="28"/>
          <w:szCs w:val="28"/>
        </w:rPr>
        <w:t>万元，增幅</w:t>
      </w:r>
      <w:r>
        <w:rPr>
          <w:rFonts w:ascii="宋体" w:hAnsi="宋体" w:cs="仿宋"/>
          <w:bCs/>
          <w:color w:val="000000"/>
          <w:sz w:val="28"/>
          <w:szCs w:val="28"/>
        </w:rPr>
        <w:t>82.24%</w:t>
      </w:r>
      <w:r>
        <w:rPr>
          <w:rFonts w:hint="eastAsia" w:ascii="宋体" w:hAnsi="宋体" w:cs="仿宋"/>
          <w:bCs/>
          <w:color w:val="000000"/>
          <w:sz w:val="28"/>
          <w:szCs w:val="28"/>
        </w:rPr>
        <w:t>，主要原因为本年有信访维稳窗口维修事务所致。本部门机关运行经费本年年初预算数为</w:t>
      </w:r>
      <w:r>
        <w:rPr>
          <w:rFonts w:ascii="宋体" w:hAnsi="宋体" w:cs="仿宋"/>
          <w:bCs/>
          <w:color w:val="000000"/>
          <w:sz w:val="28"/>
          <w:szCs w:val="28"/>
        </w:rPr>
        <w:t>10.04</w:t>
      </w:r>
      <w:r>
        <w:rPr>
          <w:rFonts w:hint="eastAsia" w:ascii="宋体" w:hAnsi="宋体" w:cs="仿宋"/>
          <w:bCs/>
          <w:color w:val="000000"/>
          <w:sz w:val="28"/>
          <w:szCs w:val="28"/>
        </w:rPr>
        <w:t>万元，</w:t>
      </w:r>
      <w:r>
        <w:rPr>
          <w:rFonts w:hint="eastAsia" w:ascii="宋体" w:hAnsi="宋体" w:cs="宋体"/>
          <w:color w:val="333333"/>
          <w:sz w:val="28"/>
          <w:szCs w:val="28"/>
        </w:rPr>
        <w:t>决算数与年初预算数对比增加</w:t>
      </w:r>
      <w:r>
        <w:rPr>
          <w:rFonts w:ascii="宋体" w:hAnsi="宋体" w:cs="宋体"/>
          <w:color w:val="333333"/>
          <w:sz w:val="28"/>
          <w:szCs w:val="28"/>
        </w:rPr>
        <w:t>124.31</w:t>
      </w:r>
      <w:r>
        <w:rPr>
          <w:rFonts w:hint="eastAsia" w:ascii="宋体" w:hAnsi="宋体" w:cs="宋体"/>
          <w:color w:val="333333"/>
          <w:sz w:val="28"/>
          <w:szCs w:val="28"/>
        </w:rPr>
        <w:t>万元，增幅</w:t>
      </w:r>
      <w:r>
        <w:rPr>
          <w:rFonts w:ascii="宋体" w:hAnsi="宋体" w:cs="宋体"/>
          <w:color w:val="333333"/>
          <w:sz w:val="28"/>
          <w:szCs w:val="28"/>
        </w:rPr>
        <w:t>1238.15%</w:t>
      </w:r>
      <w:r>
        <w:rPr>
          <w:rFonts w:hint="eastAsia" w:ascii="宋体" w:hAnsi="宋体" w:cs="宋体"/>
          <w:color w:val="333333"/>
          <w:sz w:val="28"/>
          <w:szCs w:val="28"/>
        </w:rPr>
        <w:t>，其主要原因为</w:t>
      </w:r>
      <w:r>
        <w:rPr>
          <w:rFonts w:hint="eastAsia" w:ascii="宋体" w:hAnsi="宋体" w:cs="宋体"/>
          <w:color w:val="333333"/>
          <w:kern w:val="0"/>
          <w:sz w:val="28"/>
          <w:szCs w:val="28"/>
        </w:rPr>
        <w:t>本年</w:t>
      </w:r>
      <w:r>
        <w:rPr>
          <w:rFonts w:hint="eastAsia" w:ascii="宋体" w:hAnsi="宋体" w:cs="仿宋"/>
          <w:bCs/>
          <w:color w:val="000000"/>
          <w:sz w:val="28"/>
          <w:szCs w:val="28"/>
        </w:rPr>
        <w:t>信访维稳窗口维修事务增加所致。</w:t>
      </w:r>
    </w:p>
    <w:p>
      <w:pPr>
        <w:shd w:val="clear" w:color="auto" w:fill="FFFFFF"/>
        <w:spacing w:line="360" w:lineRule="auto"/>
        <w:ind w:firstLine="560" w:firstLineChars="200"/>
        <w:rPr>
          <w:rFonts w:ascii="宋体" w:cs="仿宋"/>
          <w:bCs/>
          <w:color w:val="000000"/>
          <w:sz w:val="28"/>
          <w:szCs w:val="28"/>
        </w:rPr>
      </w:pPr>
    </w:p>
    <w:p>
      <w:pPr>
        <w:widowControl/>
        <w:shd w:val="clear" w:color="auto" w:fill="FFFFFF"/>
        <w:ind w:firstLine="281" w:firstLineChars="100"/>
        <w:jc w:val="left"/>
        <w:rPr>
          <w:rFonts w:ascii="宋体" w:cs="宋体"/>
          <w:b/>
          <w:bCs/>
          <w:sz w:val="28"/>
          <w:szCs w:val="28"/>
        </w:rPr>
      </w:pPr>
      <w:r>
        <w:rPr>
          <w:rFonts w:hint="eastAsia" w:ascii="宋体" w:hAnsi="宋体" w:cs="宋体"/>
          <w:b/>
          <w:bCs/>
          <w:sz w:val="28"/>
          <w:szCs w:val="28"/>
        </w:rPr>
        <w:t>（四）关于政府采购支出说明</w:t>
      </w:r>
    </w:p>
    <w:p>
      <w:pPr>
        <w:ind w:firstLine="560" w:firstLineChars="200"/>
        <w:rPr>
          <w:rFonts w:ascii="宋体" w:cs="仿宋"/>
          <w:sz w:val="28"/>
          <w:szCs w:val="28"/>
        </w:rPr>
      </w:pPr>
      <w:r>
        <w:rPr>
          <w:rFonts w:hint="eastAsia" w:ascii="宋体" w:hAnsi="宋体" w:cs="仿宋"/>
          <w:bCs/>
          <w:sz w:val="28"/>
          <w:szCs w:val="28"/>
        </w:rPr>
        <w:t>本部门本年度政府采购总支出</w:t>
      </w:r>
      <w:r>
        <w:rPr>
          <w:rFonts w:ascii="宋体" w:hAnsi="宋体" w:cs="仿宋"/>
          <w:bCs/>
          <w:sz w:val="28"/>
          <w:szCs w:val="28"/>
        </w:rPr>
        <w:t>50</w:t>
      </w:r>
      <w:r>
        <w:rPr>
          <w:rFonts w:hint="eastAsia" w:ascii="宋体" w:hAnsi="宋体" w:cs="仿宋"/>
          <w:bCs/>
          <w:sz w:val="28"/>
          <w:szCs w:val="28"/>
        </w:rPr>
        <w:t>万元，其中采购工程支出</w:t>
      </w:r>
      <w:r>
        <w:rPr>
          <w:rFonts w:ascii="宋体" w:hAnsi="宋体" w:cs="仿宋"/>
          <w:bCs/>
          <w:sz w:val="28"/>
          <w:szCs w:val="28"/>
        </w:rPr>
        <w:t>50</w:t>
      </w:r>
      <w:r>
        <w:rPr>
          <w:rFonts w:hint="eastAsia" w:ascii="宋体" w:hAnsi="宋体" w:cs="仿宋"/>
          <w:bCs/>
          <w:sz w:val="28"/>
          <w:szCs w:val="28"/>
        </w:rPr>
        <w:t>万元。与去年政府采购总支出</w:t>
      </w:r>
      <w:r>
        <w:rPr>
          <w:rFonts w:ascii="宋体" w:hAnsi="宋体" w:cs="仿宋"/>
          <w:bCs/>
          <w:sz w:val="28"/>
          <w:szCs w:val="28"/>
        </w:rPr>
        <w:t>0.24</w:t>
      </w:r>
      <w:r>
        <w:rPr>
          <w:rFonts w:hint="eastAsia" w:ascii="宋体" w:hAnsi="宋体" w:cs="仿宋"/>
          <w:bCs/>
          <w:sz w:val="28"/>
          <w:szCs w:val="28"/>
        </w:rPr>
        <w:t>万元对比增加</w:t>
      </w:r>
      <w:r>
        <w:rPr>
          <w:rFonts w:ascii="宋体" w:hAnsi="宋体" w:cs="仿宋"/>
          <w:bCs/>
          <w:sz w:val="28"/>
          <w:szCs w:val="28"/>
        </w:rPr>
        <w:t>49.76</w:t>
      </w:r>
      <w:r>
        <w:rPr>
          <w:rFonts w:hint="eastAsia" w:ascii="宋体" w:hAnsi="宋体" w:cs="仿宋"/>
          <w:bCs/>
          <w:sz w:val="28"/>
          <w:szCs w:val="28"/>
        </w:rPr>
        <w:t>万元，其主要原因为</w:t>
      </w:r>
      <w:r>
        <w:rPr>
          <w:rFonts w:hint="eastAsia" w:ascii="宋体" w:hAnsi="宋体" w:cs="仿宋"/>
          <w:bCs/>
          <w:color w:val="000000"/>
          <w:sz w:val="28"/>
          <w:szCs w:val="28"/>
        </w:rPr>
        <w:t>本年有信访维稳窗口维修事务所致。授予中小企业合同金额</w:t>
      </w:r>
      <w:r>
        <w:rPr>
          <w:rFonts w:hint="eastAsia" w:ascii="宋体" w:hAnsi="宋体" w:cs="仿宋"/>
          <w:bCs/>
          <w:color w:val="000000"/>
          <w:sz w:val="28"/>
          <w:szCs w:val="28"/>
          <w:lang w:val="en-US" w:eastAsia="zh-CN"/>
        </w:rPr>
        <w:t>50</w:t>
      </w:r>
      <w:r>
        <w:rPr>
          <w:rFonts w:hint="eastAsia" w:ascii="宋体" w:hAnsi="宋体" w:cs="仿宋"/>
          <w:bCs/>
          <w:color w:val="000000"/>
          <w:sz w:val="28"/>
          <w:szCs w:val="28"/>
        </w:rPr>
        <w:t>万元，占政府采购支出总额的</w:t>
      </w:r>
      <w:r>
        <w:rPr>
          <w:rFonts w:hint="eastAsia" w:ascii="宋体" w:hAnsi="宋体" w:cs="仿宋"/>
          <w:bCs/>
          <w:color w:val="000000"/>
          <w:sz w:val="28"/>
          <w:szCs w:val="28"/>
          <w:lang w:val="en-US" w:eastAsia="zh-CN"/>
        </w:rPr>
        <w:t>10</w:t>
      </w:r>
      <w:r>
        <w:rPr>
          <w:rFonts w:hint="eastAsia" w:ascii="宋体" w:hAnsi="宋体" w:cs="仿宋"/>
          <w:bCs/>
          <w:color w:val="000000"/>
          <w:sz w:val="28"/>
          <w:szCs w:val="28"/>
        </w:rPr>
        <w:t>0%，其中：授予小微企业合同金额</w:t>
      </w:r>
      <w:r>
        <w:rPr>
          <w:rFonts w:hint="eastAsia" w:ascii="宋体" w:hAnsi="宋体" w:cs="仿宋"/>
          <w:bCs/>
          <w:color w:val="000000"/>
          <w:sz w:val="28"/>
          <w:szCs w:val="28"/>
          <w:lang w:val="en-US" w:eastAsia="zh-CN"/>
        </w:rPr>
        <w:t>5</w:t>
      </w:r>
      <w:r>
        <w:rPr>
          <w:rFonts w:hint="eastAsia" w:ascii="宋体" w:hAnsi="宋体" w:cs="仿宋"/>
          <w:bCs/>
          <w:color w:val="000000"/>
          <w:sz w:val="28"/>
          <w:szCs w:val="28"/>
        </w:rPr>
        <w:t>0万元，占政府采购支出总额的</w:t>
      </w:r>
      <w:r>
        <w:rPr>
          <w:rFonts w:hint="eastAsia" w:ascii="宋体" w:hAnsi="宋体" w:cs="仿宋"/>
          <w:bCs/>
          <w:color w:val="000000"/>
          <w:sz w:val="28"/>
          <w:szCs w:val="28"/>
          <w:lang w:val="en-US" w:eastAsia="zh-CN"/>
        </w:rPr>
        <w:t>10</w:t>
      </w:r>
      <w:bookmarkStart w:id="0" w:name="_GoBack"/>
      <w:bookmarkEnd w:id="0"/>
      <w:r>
        <w:rPr>
          <w:rFonts w:hint="eastAsia" w:ascii="宋体" w:hAnsi="宋体" w:cs="仿宋"/>
          <w:bCs/>
          <w:color w:val="000000"/>
          <w:sz w:val="28"/>
          <w:szCs w:val="28"/>
        </w:rPr>
        <w:t>0%。</w:t>
      </w:r>
    </w:p>
    <w:p>
      <w:pPr>
        <w:ind w:firstLine="560" w:firstLineChars="200"/>
        <w:rPr>
          <w:rFonts w:ascii="宋体" w:cs="仿宋"/>
          <w:sz w:val="28"/>
          <w:szCs w:val="28"/>
        </w:rPr>
      </w:pPr>
    </w:p>
    <w:p>
      <w:pPr>
        <w:widowControl/>
        <w:shd w:val="clear" w:color="auto" w:fill="FFFFFF"/>
        <w:ind w:firstLine="281" w:firstLineChars="100"/>
        <w:jc w:val="left"/>
        <w:rPr>
          <w:rFonts w:ascii="宋体" w:cs="宋体"/>
          <w:b/>
          <w:bCs/>
          <w:sz w:val="28"/>
          <w:szCs w:val="28"/>
        </w:rPr>
      </w:pPr>
      <w:r>
        <w:rPr>
          <w:rFonts w:hint="eastAsia" w:ascii="宋体" w:hAnsi="宋体" w:cs="宋体"/>
          <w:b/>
          <w:bCs/>
          <w:sz w:val="28"/>
          <w:szCs w:val="28"/>
        </w:rPr>
        <w:t>（五）关于国有资产占用情况说明</w:t>
      </w:r>
    </w:p>
    <w:p>
      <w:pPr>
        <w:widowControl/>
        <w:shd w:val="clear" w:color="auto" w:fill="FFFFFF"/>
        <w:snapToGrid w:val="0"/>
        <w:spacing w:line="560" w:lineRule="atLeast"/>
        <w:ind w:firstLine="562"/>
        <w:jc w:val="left"/>
        <w:rPr>
          <w:rFonts w:ascii="宋体"/>
          <w:sz w:val="28"/>
          <w:szCs w:val="28"/>
        </w:rPr>
      </w:pPr>
      <w:r>
        <w:rPr>
          <w:rFonts w:hint="eastAsia" w:ascii="宋体" w:hAnsi="宋体" w:cs="宋体"/>
          <w:color w:val="333333"/>
          <w:kern w:val="0"/>
          <w:sz w:val="28"/>
          <w:szCs w:val="28"/>
        </w:rPr>
        <w:t>截至</w:t>
      </w:r>
      <w:r>
        <w:rPr>
          <w:rFonts w:ascii="宋体" w:hAnsi="宋体" w:cs="宋体"/>
          <w:color w:val="333333"/>
          <w:kern w:val="0"/>
          <w:sz w:val="28"/>
          <w:szCs w:val="28"/>
        </w:rPr>
        <w:t>2021</w:t>
      </w:r>
      <w:r>
        <w:rPr>
          <w:rFonts w:hint="eastAsia" w:ascii="宋体" w:hAnsi="宋体" w:cs="宋体"/>
          <w:color w:val="333333"/>
          <w:kern w:val="0"/>
          <w:sz w:val="28"/>
          <w:szCs w:val="28"/>
        </w:rPr>
        <w:t>年</w:t>
      </w:r>
      <w:r>
        <w:rPr>
          <w:rFonts w:ascii="宋体" w:hAnsi="宋体" w:cs="宋体"/>
          <w:color w:val="333333"/>
          <w:kern w:val="0"/>
          <w:sz w:val="28"/>
          <w:szCs w:val="28"/>
        </w:rPr>
        <w:t>12</w:t>
      </w:r>
      <w:r>
        <w:rPr>
          <w:rFonts w:hint="eastAsia" w:ascii="宋体" w:hAnsi="宋体" w:cs="宋体"/>
          <w:color w:val="333333"/>
          <w:kern w:val="0"/>
          <w:sz w:val="28"/>
          <w:szCs w:val="28"/>
        </w:rPr>
        <w:t>月</w:t>
      </w:r>
      <w:r>
        <w:rPr>
          <w:rFonts w:ascii="宋体" w:hAnsi="宋体" w:cs="宋体"/>
          <w:color w:val="333333"/>
          <w:kern w:val="0"/>
          <w:sz w:val="28"/>
          <w:szCs w:val="28"/>
        </w:rPr>
        <w:t>31</w:t>
      </w:r>
      <w:r>
        <w:rPr>
          <w:rFonts w:hint="eastAsia" w:ascii="宋体" w:hAnsi="宋体" w:cs="宋体"/>
          <w:color w:val="333333"/>
          <w:kern w:val="0"/>
          <w:sz w:val="28"/>
          <w:szCs w:val="28"/>
        </w:rPr>
        <w:t>日，</w:t>
      </w:r>
      <w:r>
        <w:rPr>
          <w:rFonts w:hint="eastAsia" w:ascii="宋体" w:hAnsi="宋体"/>
          <w:sz w:val="28"/>
          <w:szCs w:val="28"/>
        </w:rPr>
        <w:t>本部门共有车辆</w:t>
      </w:r>
      <w:r>
        <w:rPr>
          <w:rFonts w:ascii="宋体"/>
          <w:sz w:val="28"/>
          <w:szCs w:val="28"/>
        </w:rPr>
        <w:t>0</w:t>
      </w:r>
      <w:r>
        <w:rPr>
          <w:rFonts w:hint="eastAsia" w:ascii="宋体" w:hAnsi="宋体"/>
          <w:sz w:val="28"/>
          <w:szCs w:val="28"/>
        </w:rPr>
        <w:t>辆，其中，主要领导干部用车</w:t>
      </w:r>
      <w:r>
        <w:rPr>
          <w:rFonts w:ascii="宋体"/>
          <w:sz w:val="28"/>
          <w:szCs w:val="28"/>
        </w:rPr>
        <w:t>0</w:t>
      </w:r>
      <w:r>
        <w:rPr>
          <w:rFonts w:hint="eastAsia" w:ascii="宋体" w:hAnsi="宋体"/>
          <w:sz w:val="28"/>
          <w:szCs w:val="28"/>
        </w:rPr>
        <w:t>辆、机要通信用车</w:t>
      </w:r>
      <w:r>
        <w:rPr>
          <w:rFonts w:ascii="宋体"/>
          <w:sz w:val="28"/>
          <w:szCs w:val="28"/>
        </w:rPr>
        <w:t>0</w:t>
      </w:r>
      <w:r>
        <w:rPr>
          <w:rFonts w:hint="eastAsia" w:ascii="宋体" w:hAnsi="宋体"/>
          <w:sz w:val="28"/>
          <w:szCs w:val="28"/>
        </w:rPr>
        <w:t>辆、应急保障用车</w:t>
      </w:r>
      <w:r>
        <w:rPr>
          <w:rFonts w:ascii="宋体"/>
          <w:sz w:val="28"/>
          <w:szCs w:val="28"/>
        </w:rPr>
        <w:t>0</w:t>
      </w:r>
      <w:r>
        <w:rPr>
          <w:rFonts w:hint="eastAsia" w:ascii="宋体" w:hAnsi="宋体"/>
          <w:sz w:val="28"/>
          <w:szCs w:val="28"/>
        </w:rPr>
        <w:t>辆、执法执勤用车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辆、特种专业技术用车</w:t>
      </w:r>
      <w:r>
        <w:rPr>
          <w:rFonts w:ascii="宋体"/>
          <w:sz w:val="28"/>
          <w:szCs w:val="28"/>
        </w:rPr>
        <w:t>0</w:t>
      </w:r>
      <w:r>
        <w:rPr>
          <w:rFonts w:hint="eastAsia" w:ascii="宋体" w:hAnsi="宋体" w:eastAsia="MS Gothic" w:cs="MS Gothic"/>
          <w:sz w:val="28"/>
          <w:szCs w:val="28"/>
        </w:rPr>
        <w:t> </w:t>
      </w:r>
      <w:r>
        <w:rPr>
          <w:rFonts w:hint="eastAsia" w:ascii="宋体" w:hAnsi="宋体"/>
          <w:sz w:val="28"/>
          <w:szCs w:val="28"/>
        </w:rPr>
        <w:t>辆、离退休干部用车</w:t>
      </w:r>
      <w:r>
        <w:rPr>
          <w:rFonts w:ascii="宋体"/>
          <w:sz w:val="28"/>
          <w:szCs w:val="28"/>
        </w:rPr>
        <w:t>0</w:t>
      </w:r>
      <w:r>
        <w:rPr>
          <w:rFonts w:hint="eastAsia" w:ascii="宋体" w:hAnsi="宋体"/>
          <w:sz w:val="28"/>
          <w:szCs w:val="28"/>
        </w:rPr>
        <w:t>辆、</w:t>
      </w:r>
      <w:r>
        <w:rPr>
          <w:rFonts w:hint="eastAsia" w:ascii="宋体" w:hAnsi="宋体" w:eastAsia="MS Gothic" w:cs="MS Gothic"/>
          <w:sz w:val="28"/>
          <w:szCs w:val="28"/>
        </w:rPr>
        <w:t> </w:t>
      </w:r>
      <w:r>
        <w:rPr>
          <w:rFonts w:hint="eastAsia" w:ascii="宋体" w:hAnsi="宋体"/>
          <w:sz w:val="28"/>
          <w:szCs w:val="28"/>
        </w:rPr>
        <w:t>其他用车</w:t>
      </w:r>
      <w:r>
        <w:rPr>
          <w:rFonts w:ascii="宋体"/>
          <w:sz w:val="28"/>
          <w:szCs w:val="28"/>
        </w:rPr>
        <w:t>0</w:t>
      </w:r>
      <w:r>
        <w:rPr>
          <w:rFonts w:hint="eastAsia" w:ascii="宋体" w:hAnsi="宋体"/>
          <w:sz w:val="28"/>
          <w:szCs w:val="28"/>
        </w:rPr>
        <w:t>辆；单位价值</w:t>
      </w:r>
      <w:r>
        <w:rPr>
          <w:rFonts w:ascii="宋体" w:hAnsi="宋体"/>
          <w:sz w:val="28"/>
          <w:szCs w:val="28"/>
        </w:rPr>
        <w:t>50</w:t>
      </w:r>
      <w:r>
        <w:rPr>
          <w:rFonts w:hint="eastAsia" w:ascii="宋体" w:hAnsi="宋体"/>
          <w:sz w:val="28"/>
          <w:szCs w:val="28"/>
        </w:rPr>
        <w:t>万元以上通用设备</w:t>
      </w:r>
      <w:r>
        <w:rPr>
          <w:rFonts w:ascii="宋体"/>
          <w:sz w:val="28"/>
          <w:szCs w:val="28"/>
        </w:rPr>
        <w:t>0</w:t>
      </w:r>
      <w:r>
        <w:rPr>
          <w:rFonts w:hint="eastAsia" w:ascii="宋体" w:hAnsi="宋体"/>
          <w:sz w:val="28"/>
          <w:szCs w:val="28"/>
        </w:rPr>
        <w:t>台（套）；单位价值</w:t>
      </w:r>
      <w:r>
        <w:rPr>
          <w:rFonts w:ascii="宋体" w:hAnsi="宋体"/>
          <w:sz w:val="28"/>
          <w:szCs w:val="28"/>
        </w:rPr>
        <w:t>100</w:t>
      </w:r>
      <w:r>
        <w:rPr>
          <w:rFonts w:hint="eastAsia" w:ascii="宋体" w:hAnsi="宋体"/>
          <w:sz w:val="28"/>
          <w:szCs w:val="28"/>
        </w:rPr>
        <w:t>万元以上专用设备</w:t>
      </w:r>
      <w:r>
        <w:rPr>
          <w:rFonts w:ascii="宋体"/>
          <w:sz w:val="28"/>
          <w:szCs w:val="28"/>
        </w:rPr>
        <w:t>0</w:t>
      </w:r>
      <w:r>
        <w:rPr>
          <w:rFonts w:hint="eastAsia" w:ascii="宋体" w:hAnsi="宋体"/>
          <w:sz w:val="28"/>
          <w:szCs w:val="28"/>
        </w:rPr>
        <w:t>台（套）。</w:t>
      </w:r>
    </w:p>
    <w:p>
      <w:pPr>
        <w:shd w:val="clear" w:color="auto" w:fill="FFFFFF"/>
        <w:snapToGrid w:val="0"/>
        <w:spacing w:line="560" w:lineRule="atLeast"/>
        <w:ind w:firstLine="560" w:firstLineChars="200"/>
        <w:rPr>
          <w:rFonts w:ascii="宋体" w:cs="宋体"/>
          <w:color w:val="333333"/>
          <w:sz w:val="28"/>
          <w:szCs w:val="28"/>
        </w:rPr>
      </w:pPr>
    </w:p>
    <w:p>
      <w:pPr>
        <w:pStyle w:val="6"/>
        <w:widowControl/>
        <w:spacing w:before="76" w:beforeAutospacing="0" w:after="76" w:afterAutospacing="0" w:line="450" w:lineRule="atLeast"/>
        <w:ind w:firstLine="420"/>
        <w:rPr>
          <w:rFonts w:ascii="宋体" w:cs="微软雅黑"/>
          <w:b/>
          <w:color w:val="333333"/>
          <w:sz w:val="28"/>
          <w:szCs w:val="28"/>
          <w:shd w:val="clear" w:color="auto" w:fill="FFFFFF"/>
        </w:rPr>
      </w:pPr>
      <w:r>
        <w:rPr>
          <w:rFonts w:hint="eastAsia" w:ascii="宋体" w:hAnsi="宋体" w:cs="微软雅黑"/>
          <w:b/>
          <w:color w:val="333333"/>
          <w:sz w:val="28"/>
          <w:szCs w:val="28"/>
          <w:shd w:val="clear" w:color="auto" w:fill="FFFFFF"/>
        </w:rPr>
        <w:t>（六）重点效绩评价结果等预算绩效情况说明</w:t>
      </w:r>
    </w:p>
    <w:p>
      <w:pPr>
        <w:spacing w:line="560" w:lineRule="exact"/>
        <w:ind w:firstLine="560" w:firstLineChars="200"/>
        <w:rPr>
          <w:rFonts w:ascii="宋体" w:cs="仿宋"/>
          <w:bCs/>
          <w:sz w:val="28"/>
          <w:szCs w:val="28"/>
        </w:rPr>
      </w:pPr>
      <w:r>
        <w:rPr>
          <w:rFonts w:hint="eastAsia" w:ascii="宋体" w:cs="仿宋"/>
          <w:bCs/>
          <w:sz w:val="28"/>
          <w:szCs w:val="28"/>
        </w:rPr>
        <w:t>本年度未开展预算绩效评价工作。</w:t>
      </w:r>
    </w:p>
    <w:p>
      <w:pPr>
        <w:spacing w:line="560" w:lineRule="exact"/>
        <w:ind w:firstLine="560" w:firstLineChars="200"/>
        <w:rPr>
          <w:rFonts w:ascii="宋体" w:cs="仿宋"/>
          <w:bCs/>
          <w:sz w:val="28"/>
          <w:szCs w:val="28"/>
        </w:rPr>
      </w:pPr>
    </w:p>
    <w:p>
      <w:pPr>
        <w:spacing w:line="440" w:lineRule="exact"/>
        <w:ind w:firstLine="562" w:firstLineChars="200"/>
        <w:rPr>
          <w:rFonts w:ascii="宋体"/>
          <w:b/>
          <w:color w:val="FF6600"/>
          <w:spacing w:val="2"/>
          <w:sz w:val="28"/>
          <w:szCs w:val="28"/>
        </w:rPr>
      </w:pPr>
      <w:r>
        <w:rPr>
          <w:rFonts w:hint="eastAsia" w:ascii="宋体" w:hAnsi="宋体" w:cs="宋体"/>
          <w:b/>
          <w:bCs/>
          <w:sz w:val="28"/>
          <w:szCs w:val="28"/>
        </w:rPr>
        <w:t>（七）</w:t>
      </w:r>
      <w:r>
        <w:rPr>
          <w:rFonts w:hint="eastAsia" w:ascii="宋体" w:hAnsi="宋体"/>
          <w:b/>
          <w:spacing w:val="2"/>
          <w:sz w:val="28"/>
          <w:szCs w:val="28"/>
        </w:rPr>
        <w:t>决算收支增减变化情况</w:t>
      </w:r>
    </w:p>
    <w:p>
      <w:pPr>
        <w:spacing w:line="440" w:lineRule="exact"/>
        <w:ind w:firstLine="568" w:firstLineChars="200"/>
        <w:rPr>
          <w:rFonts w:ascii="宋体"/>
          <w:spacing w:val="2"/>
          <w:sz w:val="28"/>
          <w:szCs w:val="28"/>
        </w:rPr>
      </w:pPr>
      <w:r>
        <w:rPr>
          <w:rFonts w:ascii="宋体" w:hAnsi="宋体"/>
          <w:spacing w:val="2"/>
          <w:sz w:val="28"/>
          <w:szCs w:val="28"/>
        </w:rPr>
        <w:t>1</w:t>
      </w:r>
      <w:r>
        <w:rPr>
          <w:rFonts w:hint="eastAsia" w:ascii="宋体" w:hAnsi="宋体"/>
          <w:spacing w:val="2"/>
          <w:sz w:val="28"/>
          <w:szCs w:val="28"/>
        </w:rPr>
        <w:t>、收入增减变化情况</w:t>
      </w:r>
    </w:p>
    <w:p>
      <w:pPr>
        <w:widowControl/>
        <w:ind w:firstLine="560" w:firstLineChars="200"/>
        <w:rPr>
          <w:rFonts w:ascii="宋体"/>
          <w:spacing w:val="2"/>
          <w:sz w:val="28"/>
          <w:szCs w:val="28"/>
        </w:rPr>
      </w:pPr>
      <w:r>
        <w:rPr>
          <w:rFonts w:hint="eastAsia" w:ascii="宋体" w:hAnsi="宋体" w:cs="宋体"/>
          <w:color w:val="333333"/>
          <w:sz w:val="28"/>
          <w:szCs w:val="28"/>
        </w:rPr>
        <w:t>本年总收入</w:t>
      </w:r>
      <w:r>
        <w:rPr>
          <w:rFonts w:ascii="宋体" w:hAnsi="宋体" w:cs="宋体"/>
          <w:color w:val="333333"/>
          <w:sz w:val="28"/>
          <w:szCs w:val="28"/>
        </w:rPr>
        <w:t>249.17</w:t>
      </w:r>
      <w:r>
        <w:rPr>
          <w:rFonts w:hint="eastAsia" w:ascii="宋体" w:hAnsi="宋体" w:cs="宋体"/>
          <w:color w:val="333333"/>
          <w:sz w:val="28"/>
          <w:szCs w:val="28"/>
        </w:rPr>
        <w:t>万元。比去年的</w:t>
      </w:r>
      <w:r>
        <w:rPr>
          <w:rFonts w:ascii="宋体" w:hAnsi="宋体" w:cs="宋体"/>
          <w:color w:val="333333"/>
          <w:sz w:val="28"/>
          <w:szCs w:val="28"/>
        </w:rPr>
        <w:t>259.16</w:t>
      </w:r>
      <w:r>
        <w:rPr>
          <w:rFonts w:hint="eastAsia" w:ascii="宋体" w:hAnsi="宋体" w:cs="宋体"/>
          <w:color w:val="333333"/>
          <w:sz w:val="28"/>
          <w:szCs w:val="28"/>
        </w:rPr>
        <w:t>万元减少</w:t>
      </w:r>
      <w:r>
        <w:rPr>
          <w:rFonts w:ascii="宋体" w:hAnsi="宋体" w:cs="宋体"/>
          <w:color w:val="333333"/>
          <w:sz w:val="28"/>
          <w:szCs w:val="28"/>
        </w:rPr>
        <w:t>9.99</w:t>
      </w:r>
      <w:r>
        <w:rPr>
          <w:rFonts w:hint="eastAsia" w:ascii="宋体" w:hAnsi="宋体" w:cs="宋体"/>
          <w:color w:val="333333"/>
          <w:sz w:val="28"/>
          <w:szCs w:val="28"/>
        </w:rPr>
        <w:t>万元，减幅</w:t>
      </w:r>
      <w:r>
        <w:rPr>
          <w:rFonts w:ascii="宋体" w:hAnsi="宋体" w:cs="宋体"/>
          <w:color w:val="333333"/>
          <w:sz w:val="28"/>
          <w:szCs w:val="28"/>
        </w:rPr>
        <w:t>3.85%</w:t>
      </w:r>
      <w:r>
        <w:rPr>
          <w:rFonts w:hint="eastAsia" w:ascii="宋体" w:hAnsi="宋体" w:cs="宋体"/>
          <w:color w:val="333333"/>
          <w:sz w:val="28"/>
          <w:szCs w:val="28"/>
        </w:rPr>
        <w:t>，其主要原因为信访维稳事务减少所致。</w:t>
      </w:r>
    </w:p>
    <w:p>
      <w:pPr>
        <w:spacing w:line="440" w:lineRule="exact"/>
        <w:ind w:firstLine="568" w:firstLineChars="200"/>
        <w:rPr>
          <w:rFonts w:ascii="宋体"/>
          <w:spacing w:val="2"/>
          <w:sz w:val="28"/>
          <w:szCs w:val="28"/>
        </w:rPr>
      </w:pPr>
      <w:r>
        <w:rPr>
          <w:rFonts w:ascii="宋体" w:hAnsi="宋体"/>
          <w:spacing w:val="2"/>
          <w:sz w:val="28"/>
          <w:szCs w:val="28"/>
        </w:rPr>
        <w:t>2</w:t>
      </w:r>
      <w:r>
        <w:rPr>
          <w:rFonts w:hint="eastAsia" w:ascii="宋体" w:hAnsi="宋体"/>
          <w:spacing w:val="2"/>
          <w:sz w:val="28"/>
          <w:szCs w:val="28"/>
        </w:rPr>
        <w:t>、支出增减变化情况</w:t>
      </w:r>
    </w:p>
    <w:p>
      <w:pPr>
        <w:widowControl/>
        <w:ind w:firstLine="560" w:firstLineChars="200"/>
        <w:rPr>
          <w:rStyle w:val="9"/>
          <w:rFonts w:ascii="微软雅黑" w:hAnsi="微软雅黑" w:eastAsia="微软雅黑" w:cs="微软雅黑"/>
          <w:color w:val="333333"/>
          <w:shd w:val="clear" w:color="auto" w:fill="FFFFFF"/>
        </w:rPr>
      </w:pPr>
      <w:r>
        <w:rPr>
          <w:rFonts w:hint="eastAsia" w:ascii="宋体" w:hAnsi="宋体" w:cs="宋体"/>
          <w:color w:val="333333"/>
          <w:sz w:val="28"/>
          <w:szCs w:val="28"/>
        </w:rPr>
        <w:t>本年总支出为</w:t>
      </w:r>
      <w:r>
        <w:rPr>
          <w:rFonts w:ascii="宋体" w:hAnsi="宋体" w:cs="宋体"/>
          <w:color w:val="333333"/>
          <w:sz w:val="28"/>
          <w:szCs w:val="28"/>
        </w:rPr>
        <w:t>249.17</w:t>
      </w:r>
      <w:r>
        <w:rPr>
          <w:rFonts w:hint="eastAsia" w:ascii="宋体" w:hAnsi="宋体" w:cs="宋体"/>
          <w:color w:val="333333"/>
          <w:sz w:val="28"/>
          <w:szCs w:val="28"/>
        </w:rPr>
        <w:t>万元。比去年的</w:t>
      </w:r>
      <w:r>
        <w:rPr>
          <w:rFonts w:ascii="宋体" w:hAnsi="宋体" w:cs="宋体"/>
          <w:color w:val="333333"/>
          <w:sz w:val="28"/>
          <w:szCs w:val="28"/>
        </w:rPr>
        <w:t>259.16</w:t>
      </w:r>
      <w:r>
        <w:rPr>
          <w:rFonts w:hint="eastAsia" w:ascii="宋体" w:hAnsi="宋体" w:cs="宋体"/>
          <w:color w:val="333333"/>
          <w:sz w:val="28"/>
          <w:szCs w:val="28"/>
        </w:rPr>
        <w:t>万元减少</w:t>
      </w:r>
      <w:r>
        <w:rPr>
          <w:rFonts w:ascii="宋体" w:hAnsi="宋体" w:cs="宋体"/>
          <w:color w:val="333333"/>
          <w:sz w:val="28"/>
          <w:szCs w:val="28"/>
        </w:rPr>
        <w:t>9.99</w:t>
      </w:r>
      <w:r>
        <w:rPr>
          <w:rFonts w:hint="eastAsia" w:ascii="宋体" w:hAnsi="宋体" w:cs="宋体"/>
          <w:color w:val="333333"/>
          <w:sz w:val="28"/>
          <w:szCs w:val="28"/>
        </w:rPr>
        <w:t>万元，减幅</w:t>
      </w:r>
      <w:r>
        <w:rPr>
          <w:rFonts w:ascii="宋体" w:hAnsi="宋体" w:cs="宋体"/>
          <w:color w:val="333333"/>
          <w:sz w:val="28"/>
          <w:szCs w:val="28"/>
        </w:rPr>
        <w:t>3.85%</w:t>
      </w:r>
      <w:r>
        <w:rPr>
          <w:rFonts w:hint="eastAsia" w:ascii="宋体" w:hAnsi="宋体" w:cs="宋体"/>
          <w:color w:val="333333"/>
          <w:sz w:val="28"/>
          <w:szCs w:val="28"/>
        </w:rPr>
        <w:t>，其主要原因为信访维稳事务减少所致。其中一般公共预算财政拨款支出</w:t>
      </w:r>
      <w:r>
        <w:rPr>
          <w:rFonts w:ascii="宋体" w:hAnsi="宋体" w:cs="宋体"/>
          <w:color w:val="333333"/>
          <w:sz w:val="28"/>
          <w:szCs w:val="28"/>
        </w:rPr>
        <w:t>237.52</w:t>
      </w:r>
      <w:r>
        <w:rPr>
          <w:rFonts w:hint="eastAsia" w:ascii="宋体" w:hAnsi="宋体" w:cs="宋体"/>
          <w:color w:val="333333"/>
          <w:sz w:val="28"/>
          <w:szCs w:val="28"/>
        </w:rPr>
        <w:t>万元</w:t>
      </w:r>
      <w:r>
        <w:rPr>
          <w:rFonts w:hint="eastAsia" w:ascii="宋体" w:hAnsi="宋体" w:cs="宋体"/>
          <w:color w:val="333333"/>
          <w:kern w:val="0"/>
          <w:sz w:val="28"/>
          <w:szCs w:val="28"/>
        </w:rPr>
        <w:t>，</w:t>
      </w:r>
      <w:r>
        <w:rPr>
          <w:rFonts w:hint="eastAsia" w:ascii="宋体" w:hAnsi="宋体" w:cs="宋体"/>
          <w:color w:val="333333"/>
          <w:sz w:val="28"/>
          <w:szCs w:val="28"/>
        </w:rPr>
        <w:t>比去年的</w:t>
      </w:r>
      <w:r>
        <w:rPr>
          <w:rFonts w:ascii="宋体" w:hAnsi="宋体" w:cs="宋体"/>
          <w:color w:val="333333"/>
          <w:sz w:val="28"/>
          <w:szCs w:val="28"/>
        </w:rPr>
        <w:t>177.15</w:t>
      </w:r>
      <w:r>
        <w:rPr>
          <w:rFonts w:hint="eastAsia" w:ascii="宋体" w:hAnsi="宋体" w:cs="宋体"/>
          <w:color w:val="333333"/>
          <w:sz w:val="28"/>
          <w:szCs w:val="28"/>
        </w:rPr>
        <w:t>万元增加</w:t>
      </w:r>
      <w:r>
        <w:rPr>
          <w:rFonts w:ascii="宋体" w:hAnsi="宋体" w:cs="宋体"/>
          <w:color w:val="333333"/>
          <w:sz w:val="28"/>
          <w:szCs w:val="28"/>
        </w:rPr>
        <w:t>60.37</w:t>
      </w:r>
      <w:r>
        <w:rPr>
          <w:rFonts w:hint="eastAsia" w:ascii="宋体" w:hAnsi="宋体" w:cs="宋体"/>
          <w:color w:val="333333"/>
          <w:sz w:val="28"/>
          <w:szCs w:val="28"/>
        </w:rPr>
        <w:t>万元，增幅</w:t>
      </w:r>
      <w:r>
        <w:rPr>
          <w:rFonts w:ascii="宋体" w:hAnsi="宋体" w:cs="宋体"/>
          <w:color w:val="333333"/>
          <w:sz w:val="28"/>
          <w:szCs w:val="28"/>
        </w:rPr>
        <w:t>34.08%</w:t>
      </w:r>
      <w:r>
        <w:rPr>
          <w:rFonts w:hint="eastAsia" w:ascii="宋体" w:hAnsi="宋体" w:cs="宋体"/>
          <w:color w:val="333333"/>
          <w:sz w:val="28"/>
          <w:szCs w:val="28"/>
        </w:rPr>
        <w:t>，其主要原因为</w:t>
      </w:r>
      <w:r>
        <w:rPr>
          <w:rFonts w:hint="eastAsia" w:ascii="宋体" w:hAnsi="宋体" w:cs="宋体"/>
          <w:color w:val="333333"/>
          <w:kern w:val="0"/>
          <w:sz w:val="28"/>
          <w:szCs w:val="28"/>
        </w:rPr>
        <w:t>本期信访窗口维修事务增加</w:t>
      </w:r>
      <w:r>
        <w:rPr>
          <w:rFonts w:hint="eastAsia" w:ascii="宋体" w:hAnsi="宋体" w:cs="宋体"/>
          <w:color w:val="333333"/>
          <w:sz w:val="28"/>
          <w:szCs w:val="28"/>
        </w:rPr>
        <w:t>所致。与年初预算数</w:t>
      </w:r>
      <w:r>
        <w:rPr>
          <w:rFonts w:ascii="宋体" w:hAnsi="宋体" w:cs="宋体"/>
          <w:color w:val="333333"/>
          <w:sz w:val="28"/>
          <w:szCs w:val="28"/>
        </w:rPr>
        <w:t>69.98</w:t>
      </w:r>
      <w:r>
        <w:rPr>
          <w:rFonts w:hint="eastAsia" w:ascii="宋体" w:hAnsi="宋体" w:cs="宋体"/>
          <w:color w:val="333333"/>
          <w:sz w:val="28"/>
          <w:szCs w:val="28"/>
        </w:rPr>
        <w:t>万元对比增加</w:t>
      </w:r>
      <w:r>
        <w:rPr>
          <w:rFonts w:ascii="宋体" w:hAnsi="宋体" w:cs="宋体"/>
          <w:color w:val="333333"/>
          <w:sz w:val="28"/>
          <w:szCs w:val="28"/>
        </w:rPr>
        <w:t>167.54</w:t>
      </w:r>
      <w:r>
        <w:rPr>
          <w:rFonts w:hint="eastAsia" w:ascii="宋体" w:hAnsi="宋体" w:cs="宋体"/>
          <w:color w:val="333333"/>
          <w:sz w:val="28"/>
          <w:szCs w:val="28"/>
        </w:rPr>
        <w:t>万元，增幅</w:t>
      </w:r>
      <w:r>
        <w:rPr>
          <w:rFonts w:ascii="宋体" w:hAnsi="宋体" w:cs="宋体"/>
          <w:color w:val="333333"/>
          <w:sz w:val="28"/>
          <w:szCs w:val="28"/>
        </w:rPr>
        <w:t>239.41%</w:t>
      </w:r>
      <w:r>
        <w:rPr>
          <w:rFonts w:hint="eastAsia" w:ascii="宋体" w:hAnsi="宋体" w:cs="宋体"/>
          <w:color w:val="333333"/>
          <w:sz w:val="28"/>
          <w:szCs w:val="28"/>
        </w:rPr>
        <w:t>，其主要原因为</w:t>
      </w:r>
      <w:r>
        <w:rPr>
          <w:rFonts w:hint="eastAsia" w:ascii="宋体" w:hAnsi="宋体" w:cs="宋体"/>
          <w:color w:val="333333"/>
          <w:kern w:val="0"/>
          <w:sz w:val="28"/>
          <w:szCs w:val="28"/>
        </w:rPr>
        <w:t>本部门本期信访窗口维修事务增加所致，</w:t>
      </w: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240" w:firstLineChars="100"/>
        <w:rPr>
          <w:rFonts w:ascii="微软雅黑" w:hAnsi="微软雅黑" w:eastAsia="微软雅黑" w:cs="微软雅黑"/>
          <w:b/>
          <w:color w:val="333333"/>
        </w:rPr>
      </w:pPr>
      <w:r>
        <w:rPr>
          <w:rStyle w:val="9"/>
          <w:rFonts w:hint="eastAsia" w:ascii="微软雅黑" w:hAnsi="微软雅黑" w:eastAsia="微软雅黑" w:cs="微软雅黑"/>
          <w:color w:val="333333"/>
          <w:shd w:val="clear" w:color="auto" w:fill="FFFFFF"/>
        </w:rPr>
        <w:t>第四部分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名词解释</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一、财政补助收入：指县级财政当年拨付的资金。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二、其他收入：指除“财政拨款收入”、“上级补助收入”、“事业收入”、“经营收入”等以外的收入。主要是存款利息收入等。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三、年初结转和结余：指以前年度尚未完成、结转到本年按有关规定继续使用的资金。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四、一般公共服务（类）行政运行（项）：指县行政单位及参照公务员管理事业单位用于保障机构正常运行、开展日常工作的基本支出。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六、一般公共服务（类）机关服务（项）：指黄石港区信访局服务中心为机关提供办公楼日常维修、维护等后勤保障服务的支出。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七、一般公共服务（类）其他一般公共服务支出（款）其他一般公共服务支出（项）：指用于其他一般公共服务方面的支出。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八、教育（类）普通教育（款）高等教育（项）：指支持地方高校的重点发展和特色办学，组织专家对省属院校申报的建设规划和项目预算进行评审等相关工作的支出。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九、社会保障和就业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行政事业单位离退休（款）归口管理的行政单位离退休（项）：指用于离退休人员的支出、退休人员支出，以及提供管理服务工作的离退休干部处的支出。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十、社会保障和就业</w:t>
      </w:r>
      <w:r>
        <w:rPr>
          <w:rFonts w:ascii="宋体" w:hAnsi="宋体" w:cs="宋体"/>
          <w:color w:val="333333"/>
          <w:sz w:val="28"/>
          <w:szCs w:val="28"/>
        </w:rPr>
        <w:t>(</w:t>
      </w:r>
      <w:r>
        <w:rPr>
          <w:rFonts w:hint="eastAsia" w:ascii="宋体" w:hAnsi="宋体" w:cs="宋体"/>
          <w:color w:val="333333"/>
          <w:sz w:val="28"/>
          <w:szCs w:val="28"/>
        </w:rPr>
        <w:t>类</w:t>
      </w:r>
      <w:r>
        <w:rPr>
          <w:rFonts w:ascii="宋体" w:hAnsi="宋体" w:cs="宋体"/>
          <w:color w:val="333333"/>
          <w:sz w:val="28"/>
          <w:szCs w:val="28"/>
        </w:rPr>
        <w:t>)</w:t>
      </w:r>
      <w:r>
        <w:rPr>
          <w:rFonts w:hint="eastAsia" w:ascii="宋体" w:hAnsi="宋体" w:cs="宋体"/>
          <w:color w:val="333333"/>
          <w:sz w:val="28"/>
          <w:szCs w:val="28"/>
        </w:rPr>
        <w:t>行政事业单位离退休（款）其他行政事业单位离退休支出（项）：指用于离退休方面的其他支出。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十一、医疗卫生与计划生育（类）医疗保障（款）行政单位医疗（项）：指用于机关干部职工及离退休人员医疗方面的支出。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十二、住房保障（类）住房改革支出（款）购房补贴（项）：指按照相关住房分配货币化改革的政策规定和标准，对无房和住房未达标职工发放的住房分配货币化补贴资金。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十三、年末结转和结余：指本年度或以前年度预算安排、因客观条件发生变化无法按原计划实施，需要延迟到以后年度按有关规定继续使用的资金。</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十四、基本支出：指为保障机构正常运转、完成日常工作任务而发生的人员支出（包括基本工资、津贴补贴等）和公用支出（包括办公费、水电费、邮电费、交通费、差旅费等）。</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十五、项目支出：指在基本支出之外为完成特定行政任务和事业发展目标所发生的支出。</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十六、“三公”经费：是指用财政拨款安排的因公出国（境）费、公务用车购置及运行维护费、公务接待费。</w:t>
      </w:r>
    </w:p>
    <w:p>
      <w:pPr>
        <w:spacing w:line="560" w:lineRule="exact"/>
        <w:rPr>
          <w:rFonts w:ascii="宋体" w:cs="宋体"/>
          <w:color w:val="00000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Y0MjZhZWQxZDJkN2Q1OTIxZTI5MTJlYjM0YzA0NjQifQ=="/>
  </w:docVars>
  <w:rsids>
    <w:rsidRoot w:val="008211AF"/>
    <w:rsid w:val="00060343"/>
    <w:rsid w:val="00071AE6"/>
    <w:rsid w:val="00090B03"/>
    <w:rsid w:val="000B479B"/>
    <w:rsid w:val="000E1EE2"/>
    <w:rsid w:val="000E5333"/>
    <w:rsid w:val="000E77F8"/>
    <w:rsid w:val="001B145A"/>
    <w:rsid w:val="00203ECE"/>
    <w:rsid w:val="002144D1"/>
    <w:rsid w:val="00233444"/>
    <w:rsid w:val="00275020"/>
    <w:rsid w:val="002807C3"/>
    <w:rsid w:val="002B3673"/>
    <w:rsid w:val="002C3A64"/>
    <w:rsid w:val="002C3F29"/>
    <w:rsid w:val="002E605E"/>
    <w:rsid w:val="00303099"/>
    <w:rsid w:val="0030343D"/>
    <w:rsid w:val="00305DEA"/>
    <w:rsid w:val="003211F8"/>
    <w:rsid w:val="0035264A"/>
    <w:rsid w:val="003C6B70"/>
    <w:rsid w:val="003F5C88"/>
    <w:rsid w:val="00435285"/>
    <w:rsid w:val="0049285E"/>
    <w:rsid w:val="004C552A"/>
    <w:rsid w:val="0050512F"/>
    <w:rsid w:val="0051733C"/>
    <w:rsid w:val="005266C5"/>
    <w:rsid w:val="00540FB5"/>
    <w:rsid w:val="00547FD0"/>
    <w:rsid w:val="00582F2A"/>
    <w:rsid w:val="005A7BEC"/>
    <w:rsid w:val="005C3BE9"/>
    <w:rsid w:val="0062554F"/>
    <w:rsid w:val="00663359"/>
    <w:rsid w:val="0067652A"/>
    <w:rsid w:val="006E14AA"/>
    <w:rsid w:val="00725BEC"/>
    <w:rsid w:val="007C560D"/>
    <w:rsid w:val="008211AF"/>
    <w:rsid w:val="00851B72"/>
    <w:rsid w:val="0085273F"/>
    <w:rsid w:val="00852DCD"/>
    <w:rsid w:val="00856338"/>
    <w:rsid w:val="008675F7"/>
    <w:rsid w:val="00886280"/>
    <w:rsid w:val="008C491D"/>
    <w:rsid w:val="008D3AA0"/>
    <w:rsid w:val="008E6025"/>
    <w:rsid w:val="008F6181"/>
    <w:rsid w:val="00953A5F"/>
    <w:rsid w:val="009E7509"/>
    <w:rsid w:val="009F4BD6"/>
    <w:rsid w:val="009F5A8C"/>
    <w:rsid w:val="00A019E6"/>
    <w:rsid w:val="00A73224"/>
    <w:rsid w:val="00A77BA8"/>
    <w:rsid w:val="00AB4A90"/>
    <w:rsid w:val="00AE6C8F"/>
    <w:rsid w:val="00AF1AA0"/>
    <w:rsid w:val="00B07390"/>
    <w:rsid w:val="00BC7737"/>
    <w:rsid w:val="00BD4E9F"/>
    <w:rsid w:val="00C4003E"/>
    <w:rsid w:val="00C74D48"/>
    <w:rsid w:val="00C85D01"/>
    <w:rsid w:val="00CA41B5"/>
    <w:rsid w:val="00CC0C3A"/>
    <w:rsid w:val="00D13647"/>
    <w:rsid w:val="00D31989"/>
    <w:rsid w:val="00D544DD"/>
    <w:rsid w:val="00D90C2A"/>
    <w:rsid w:val="00DC5EDC"/>
    <w:rsid w:val="00DE61A2"/>
    <w:rsid w:val="00E01381"/>
    <w:rsid w:val="00E11CC8"/>
    <w:rsid w:val="00E12FAB"/>
    <w:rsid w:val="00E234DD"/>
    <w:rsid w:val="00E55AF2"/>
    <w:rsid w:val="00E73FDE"/>
    <w:rsid w:val="00ED46B7"/>
    <w:rsid w:val="00F02DAB"/>
    <w:rsid w:val="0664587B"/>
    <w:rsid w:val="0B616E66"/>
    <w:rsid w:val="0BCE09EC"/>
    <w:rsid w:val="0E836A5F"/>
    <w:rsid w:val="1AB1641C"/>
    <w:rsid w:val="228A65CA"/>
    <w:rsid w:val="23EB7AFF"/>
    <w:rsid w:val="24457CC0"/>
    <w:rsid w:val="255E033E"/>
    <w:rsid w:val="272551FC"/>
    <w:rsid w:val="289C3E82"/>
    <w:rsid w:val="2A0A5BBE"/>
    <w:rsid w:val="2B590432"/>
    <w:rsid w:val="2C203A0A"/>
    <w:rsid w:val="310E7D0E"/>
    <w:rsid w:val="32BD01BE"/>
    <w:rsid w:val="35FF1291"/>
    <w:rsid w:val="38203263"/>
    <w:rsid w:val="3C2D5DD2"/>
    <w:rsid w:val="3D3B74DC"/>
    <w:rsid w:val="46EE714E"/>
    <w:rsid w:val="48E9166E"/>
    <w:rsid w:val="4FE04455"/>
    <w:rsid w:val="559C04C3"/>
    <w:rsid w:val="5854187D"/>
    <w:rsid w:val="5DBA7B19"/>
    <w:rsid w:val="628657F1"/>
    <w:rsid w:val="692B2102"/>
    <w:rsid w:val="6B236211"/>
    <w:rsid w:val="6DF9629B"/>
    <w:rsid w:val="6FC97F9C"/>
    <w:rsid w:val="70A32328"/>
    <w:rsid w:val="70A87000"/>
    <w:rsid w:val="746766E2"/>
    <w:rsid w:val="78186405"/>
    <w:rsid w:val="7A412433"/>
    <w:rsid w:val="7C4500F8"/>
    <w:rsid w:val="7D6A6EFE"/>
    <w:rsid w:val="7ED07D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0"/>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uiPriority w:val="99"/>
    <w:rPr>
      <w:rFonts w:ascii="宋体" w:hAnsi="Courier New" w:cs="Courier New"/>
      <w:szCs w:val="21"/>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0">
    <w:name w:val="Heading 5 Char"/>
    <w:basedOn w:val="8"/>
    <w:link w:val="2"/>
    <w:semiHidden/>
    <w:qFormat/>
    <w:locked/>
    <w:uiPriority w:val="99"/>
    <w:rPr>
      <w:rFonts w:ascii="Calibri" w:hAnsi="Calibri" w:cs="Times New Roman"/>
      <w:b/>
      <w:bCs/>
      <w:sz w:val="28"/>
      <w:szCs w:val="28"/>
    </w:rPr>
  </w:style>
  <w:style w:type="character" w:customStyle="1" w:styleId="11">
    <w:name w:val="Plain Text Char"/>
    <w:basedOn w:val="8"/>
    <w:link w:val="3"/>
    <w:semiHidden/>
    <w:qFormat/>
    <w:locked/>
    <w:uiPriority w:val="99"/>
    <w:rPr>
      <w:rFonts w:ascii="宋体" w:hAnsi="Courier New" w:cs="Courier New"/>
      <w:sz w:val="21"/>
      <w:szCs w:val="21"/>
    </w:rPr>
  </w:style>
  <w:style w:type="character" w:customStyle="1" w:styleId="12">
    <w:name w:val="Footer Char"/>
    <w:basedOn w:val="8"/>
    <w:link w:val="4"/>
    <w:semiHidden/>
    <w:qFormat/>
    <w:locked/>
    <w:uiPriority w:val="99"/>
    <w:rPr>
      <w:rFonts w:ascii="Calibri" w:hAnsi="Calibri" w:cs="Times New Roman"/>
      <w:sz w:val="18"/>
      <w:szCs w:val="18"/>
    </w:rPr>
  </w:style>
  <w:style w:type="character" w:customStyle="1" w:styleId="13">
    <w:name w:val="Header Char"/>
    <w:basedOn w:val="8"/>
    <w:link w:val="5"/>
    <w:semiHidden/>
    <w:qFormat/>
    <w:locked/>
    <w:uiPriority w:val="99"/>
    <w:rPr>
      <w:rFonts w:ascii="Calibri" w:hAnsi="Calibri" w:cs="Times New Roman"/>
      <w:sz w:val="18"/>
      <w:szCs w:val="18"/>
    </w:rPr>
  </w:style>
  <w:style w:type="paragraph" w:customStyle="1" w:styleId="14">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5">
    <w:name w:val="ca-2"/>
    <w:basedOn w:val="8"/>
    <w:qFormat/>
    <w:uiPriority w:val="99"/>
    <w:rPr>
      <w:rFonts w:cs="Times New Roman"/>
    </w:rPr>
  </w:style>
  <w:style w:type="paragraph" w:customStyle="1" w:styleId="16">
    <w:name w:val="Normal (Web)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20</Pages>
  <Words>3844</Words>
  <Characters>4302</Characters>
  <Lines>0</Lines>
  <Paragraphs>0</Paragraphs>
  <TotalTime>37</TotalTime>
  <ScaleCrop>false</ScaleCrop>
  <LinksUpToDate>false</LinksUpToDate>
  <CharactersWithSpaces>4317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2023-08-23T07:26:11Z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8B36EBC184154765B4E51B90925AE64B</vt:lpwstr>
  </property>
</Properties>
</file>