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90000" w:fill="FFFFFF"/>
          <w:lang w:eastAsia="zh-CN"/>
        </w:rPr>
        <w:t>医保局2019年</w:t>
      </w:r>
      <w:r>
        <w:rPr>
          <w:rFonts w:hint="eastAsia" w:ascii="微软雅黑" w:hAnsi="微软雅黑" w:eastAsia="微软雅黑" w:cs="微软雅黑"/>
          <w:b/>
          <w:i w:val="0"/>
          <w:caps w:val="0"/>
          <w:color w:val="BC1010"/>
          <w:spacing w:val="0"/>
          <w:sz w:val="40"/>
          <w:szCs w:val="40"/>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黄石港区医保局2019年</w:t>
      </w:r>
      <w:r>
        <w:rPr>
          <w:rStyle w:val="6"/>
          <w:rFonts w:hint="eastAsia" w:ascii="微软雅黑" w:hAnsi="微软雅黑" w:eastAsia="微软雅黑" w:cs="微软雅黑"/>
          <w:i w:val="0"/>
          <w:caps w:val="0"/>
          <w:color w:val="333333"/>
          <w:spacing w:val="0"/>
          <w:sz w:val="24"/>
          <w:szCs w:val="24"/>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第一部分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300" w:firstLineChars="1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依据《黄石港区医疗保障局职能配置内设机构和人员编制规定》（港办文[2019]30号）文件精神，将发改部门对药品、医疗器械服务的价格管理职能，卫计部门生育保险、药品器械服务招投标职能，人社部门职工、居民医保职能，民政部门大病救助、大病医疗职能整合到医保局。根据市局关于《黄石市医疗保障事权划分实施意见》（黄医保发〔2019〕7号），市局除保留少部分监管稽核、经办服务职能外，将辖区一级以下医疗机构和辖区全部参保对象的监管稽核、经办服务职能下放给城区，主要有：基本医疗保险的监管稽核、经办服务职能（含城镇、居民医疗保险、生育保险、离休干部医疗统筹）、医疗救助经办服务职能、医疗价格管理服务职能、药品耗材招标采购管理服务职能等四大类十五项。目前已完成居民医保参保、慢性病申报、异地转诊、医保关系转接、医疗救助、“两定”机构协议管理、启动医保基金监管、药品耗材带量采购、公立医疗机构医用耗材零加价落实等事权承接工作。</w:t>
      </w:r>
    </w:p>
    <w:p>
      <w:pPr>
        <w:widowControl/>
        <w:shd w:val="clear" w:color="auto" w:fill="FFFFFF"/>
        <w:ind w:firstLine="280" w:firstLineChars="1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（二）单位基本信息(机构设置等</w:t>
      </w:r>
      <w:r>
        <w:rPr>
          <w:rFonts w:hint="eastAsia" w:asciiTheme="minorEastAsia" w:hAnsiTheme="minorEastAsia" w:eastAsiaTheme="minorEastAsia" w:cstheme="minorEastAsia"/>
          <w:color w:val="333333"/>
          <w:kern w:val="0"/>
          <w:sz w:val="28"/>
          <w:szCs w:val="28"/>
        </w:rPr>
        <w:t>)</w:t>
      </w:r>
    </w:p>
    <w:p>
      <w:pPr>
        <w:ind w:firstLine="600" w:firstLineChars="200"/>
        <w:rPr>
          <w:rFonts w:hint="eastAsia" w:asciiTheme="minorEastAsia" w:hAnsiTheme="minorEastAsia" w:eastAsiaTheme="minorEastAsia" w:cstheme="minorEastAsia"/>
          <w:color w:val="333333"/>
          <w:kern w:val="0"/>
          <w:sz w:val="28"/>
          <w:szCs w:val="28"/>
        </w:rPr>
      </w:pPr>
      <w:r>
        <w:rPr>
          <w:rFonts w:hint="eastAsia" w:ascii="仿宋_GB2312" w:hAnsi="宋体" w:eastAsia="仿宋_GB2312"/>
          <w:color w:val="000000"/>
          <w:sz w:val="30"/>
          <w:szCs w:val="30"/>
        </w:rPr>
        <w:t>根据黄石港区“三定”方案核定区医疗保障局行政编2人；核定区医疗保障局经办服务中心事业编7名，现有人员行编1人、事业编制人员3人，实有4人。目前尚有1名行政编，4名事业编，4名“以钱养事”人员，计9名人员未落实到位。</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ascii="宋体" w:hAnsi="宋体" w:eastAsia="宋体" w:cs="宋体"/>
          <w:kern w:val="0"/>
          <w:sz w:val="24"/>
          <w:szCs w:val="24"/>
          <w:lang w:val="en-US" w:eastAsia="zh-CN" w:bidi="ar-SA"/>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第二部分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部门决算表</w:t>
      </w:r>
    </w:p>
    <w:tbl>
      <w:tblPr>
        <w:tblStyle w:val="7"/>
        <w:tblW w:w="11725" w:type="dxa"/>
        <w:jc w:val="center"/>
        <w:tblInd w:w="0" w:type="dxa"/>
        <w:shd w:val="clear" w:color="auto" w:fill="auto"/>
        <w:tblLayout w:type="fixed"/>
        <w:tblCellMar>
          <w:top w:w="0" w:type="dxa"/>
          <w:left w:w="0" w:type="dxa"/>
          <w:bottom w:w="0" w:type="dxa"/>
          <w:right w:w="0" w:type="dxa"/>
        </w:tblCellMar>
      </w:tblPr>
      <w:tblGrid>
        <w:gridCol w:w="3585"/>
        <w:gridCol w:w="457"/>
        <w:gridCol w:w="1935"/>
        <w:gridCol w:w="2452"/>
        <w:gridCol w:w="457"/>
        <w:gridCol w:w="2839"/>
      </w:tblGrid>
      <w:tr>
        <w:tblPrEx>
          <w:shd w:val="clear" w:color="auto" w:fill="auto"/>
          <w:tblLayout w:type="fixed"/>
          <w:tblCellMar>
            <w:top w:w="0" w:type="dxa"/>
            <w:left w:w="0" w:type="dxa"/>
            <w:bottom w:w="0" w:type="dxa"/>
            <w:right w:w="0" w:type="dxa"/>
          </w:tblCellMar>
        </w:tblPrEx>
        <w:trPr>
          <w:trHeight w:val="375" w:hRule="atLeast"/>
          <w:jc w:val="center"/>
        </w:trPr>
        <w:tc>
          <w:tcPr>
            <w:tcW w:w="11725"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3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5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83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3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5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83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45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93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45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3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597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5748"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83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3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58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3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45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r>
      <w:tr>
        <w:tblPrEx>
          <w:tblLayout w:type="fixed"/>
          <w:tblCellMar>
            <w:top w:w="0" w:type="dxa"/>
            <w:left w:w="0" w:type="dxa"/>
            <w:bottom w:w="0" w:type="dxa"/>
            <w:right w:w="0" w:type="dxa"/>
          </w:tblCellMar>
        </w:tblPrEx>
        <w:trPr>
          <w:trHeight w:val="300" w:hRule="atLeast"/>
          <w:jc w:val="center"/>
        </w:trPr>
        <w:tc>
          <w:tcPr>
            <w:tcW w:w="11725"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1854" w:type="dxa"/>
        <w:jc w:val="center"/>
        <w:tblInd w:w="0" w:type="dxa"/>
        <w:shd w:val="clear" w:color="auto" w:fill="auto"/>
        <w:tblLayout w:type="fixed"/>
        <w:tblCellMar>
          <w:top w:w="0" w:type="dxa"/>
          <w:left w:w="0" w:type="dxa"/>
          <w:bottom w:w="0" w:type="dxa"/>
          <w:right w:w="0" w:type="dxa"/>
        </w:tblCellMar>
      </w:tblPr>
      <w:tblGrid>
        <w:gridCol w:w="3726"/>
        <w:gridCol w:w="30"/>
        <w:gridCol w:w="30"/>
        <w:gridCol w:w="1631"/>
        <w:gridCol w:w="1032"/>
        <w:gridCol w:w="1044"/>
        <w:gridCol w:w="428"/>
        <w:gridCol w:w="428"/>
        <w:gridCol w:w="428"/>
        <w:gridCol w:w="428"/>
        <w:gridCol w:w="2649"/>
      </w:tblGrid>
      <w:tr>
        <w:tblPrEx>
          <w:shd w:val="clear" w:color="auto" w:fill="auto"/>
          <w:tblLayout w:type="fixed"/>
          <w:tblCellMar>
            <w:top w:w="0" w:type="dxa"/>
            <w:left w:w="0" w:type="dxa"/>
            <w:bottom w:w="0" w:type="dxa"/>
            <w:right w:w="0" w:type="dxa"/>
          </w:tblCellMar>
        </w:tblPrEx>
        <w:trPr>
          <w:trHeight w:val="375" w:hRule="atLeast"/>
          <w:jc w:val="center"/>
        </w:trPr>
        <w:tc>
          <w:tcPr>
            <w:tcW w:w="11854"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jc w:val="center"/>
        </w:trPr>
        <w:tc>
          <w:tcPr>
            <w:tcW w:w="372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3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4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jc w:val="center"/>
        </w:trPr>
        <w:tc>
          <w:tcPr>
            <w:tcW w:w="372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3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2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2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2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2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64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541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3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0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42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42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42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42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64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jc w:val="center"/>
        </w:trPr>
        <w:tc>
          <w:tcPr>
            <w:tcW w:w="3786"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1"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78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78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541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3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2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2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2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2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4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jc w:val="center"/>
        </w:trPr>
        <w:tc>
          <w:tcPr>
            <w:tcW w:w="541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10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78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03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10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78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103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10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786"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10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10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78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21015</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医疗保障管理事务</w:t>
            </w:r>
          </w:p>
        </w:tc>
        <w:tc>
          <w:tcPr>
            <w:tcW w:w="103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10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786"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0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10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1854"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3626" w:type="dxa"/>
        <w:tblInd w:w="0" w:type="dxa"/>
        <w:shd w:val="clear" w:color="auto" w:fill="auto"/>
        <w:tblLayout w:type="fixed"/>
        <w:tblCellMar>
          <w:top w:w="0" w:type="dxa"/>
          <w:left w:w="0" w:type="dxa"/>
          <w:bottom w:w="0" w:type="dxa"/>
          <w:right w:w="0" w:type="dxa"/>
        </w:tblCellMar>
      </w:tblPr>
      <w:tblGrid>
        <w:gridCol w:w="4095"/>
        <w:gridCol w:w="37"/>
        <w:gridCol w:w="37"/>
        <w:gridCol w:w="2009"/>
        <w:gridCol w:w="1582"/>
        <w:gridCol w:w="1741"/>
        <w:gridCol w:w="755"/>
        <w:gridCol w:w="755"/>
        <w:gridCol w:w="755"/>
        <w:gridCol w:w="1860"/>
      </w:tblGrid>
      <w:tr>
        <w:tblPrEx>
          <w:shd w:val="clear" w:color="auto" w:fill="auto"/>
          <w:tblLayout w:type="fixed"/>
          <w:tblCellMar>
            <w:top w:w="0" w:type="dxa"/>
            <w:left w:w="0" w:type="dxa"/>
            <w:bottom w:w="0" w:type="dxa"/>
            <w:right w:w="0" w:type="dxa"/>
          </w:tblCellMar>
        </w:tblPrEx>
        <w:trPr>
          <w:trHeight w:val="375" w:hRule="atLeast"/>
        </w:trPr>
        <w:tc>
          <w:tcPr>
            <w:tcW w:w="13626" w:type="dxa"/>
            <w:gridSpan w:val="10"/>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409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0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4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60"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409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0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8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74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6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17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8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4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5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75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75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86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4169"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009"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8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169"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09"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169"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09"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8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17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6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617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17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169"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00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5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17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169"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200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15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17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169"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009"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1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17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169"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21015</w:t>
            </w:r>
          </w:p>
        </w:tc>
        <w:tc>
          <w:tcPr>
            <w:tcW w:w="200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医疗保障管理事务</w:t>
            </w:r>
          </w:p>
        </w:tc>
        <w:tc>
          <w:tcPr>
            <w:tcW w:w="158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17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169"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2101501</w:t>
            </w:r>
          </w:p>
        </w:tc>
        <w:tc>
          <w:tcPr>
            <w:tcW w:w="2009"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17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626"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3597" w:type="dxa"/>
        <w:tblInd w:w="0" w:type="dxa"/>
        <w:shd w:val="clear" w:color="auto" w:fill="auto"/>
        <w:tblLayout w:type="fixed"/>
        <w:tblCellMar>
          <w:top w:w="0" w:type="dxa"/>
          <w:left w:w="0" w:type="dxa"/>
          <w:bottom w:w="0" w:type="dxa"/>
          <w:right w:w="0" w:type="dxa"/>
        </w:tblCellMar>
      </w:tblPr>
      <w:tblGrid>
        <w:gridCol w:w="3097"/>
        <w:gridCol w:w="475"/>
        <w:gridCol w:w="1733"/>
        <w:gridCol w:w="2566"/>
        <w:gridCol w:w="248"/>
        <w:gridCol w:w="1024"/>
        <w:gridCol w:w="1087"/>
        <w:gridCol w:w="3367"/>
      </w:tblGrid>
      <w:tr>
        <w:tblPrEx>
          <w:shd w:val="clear" w:color="auto" w:fill="auto"/>
          <w:tblLayout w:type="fixed"/>
          <w:tblCellMar>
            <w:top w:w="0" w:type="dxa"/>
            <w:left w:w="0" w:type="dxa"/>
            <w:bottom w:w="0" w:type="dxa"/>
            <w:right w:w="0" w:type="dxa"/>
          </w:tblCellMar>
        </w:tblPrEx>
        <w:trPr>
          <w:trHeight w:val="375" w:hRule="atLeast"/>
        </w:trPr>
        <w:tc>
          <w:tcPr>
            <w:tcW w:w="13597"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309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7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6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8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67"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572"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173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6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4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8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305"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292"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097"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7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3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56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4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024"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8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336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097"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47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3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6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c>
          <w:tcPr>
            <w:tcW w:w="24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4"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6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3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36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3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256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108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33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597"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3608" w:type="dxa"/>
        <w:tblInd w:w="0" w:type="dxa"/>
        <w:shd w:val="clear" w:color="auto" w:fill="auto"/>
        <w:tblLayout w:type="fixed"/>
        <w:tblCellMar>
          <w:top w:w="0" w:type="dxa"/>
          <w:left w:w="0" w:type="dxa"/>
          <w:bottom w:w="0" w:type="dxa"/>
          <w:right w:w="0" w:type="dxa"/>
        </w:tblCellMar>
      </w:tblPr>
      <w:tblGrid>
        <w:gridCol w:w="3324"/>
        <w:gridCol w:w="30"/>
        <w:gridCol w:w="643"/>
        <w:gridCol w:w="2030"/>
        <w:gridCol w:w="2424"/>
        <w:gridCol w:w="2492"/>
        <w:gridCol w:w="2665"/>
      </w:tblGrid>
      <w:tr>
        <w:tblPrEx>
          <w:shd w:val="clear" w:color="auto" w:fill="auto"/>
          <w:tblLayout w:type="fixed"/>
          <w:tblCellMar>
            <w:top w:w="0" w:type="dxa"/>
            <w:left w:w="0" w:type="dxa"/>
            <w:bottom w:w="0" w:type="dxa"/>
            <w:right w:w="0" w:type="dxa"/>
          </w:tblCellMar>
        </w:tblPrEx>
        <w:trPr>
          <w:trHeight w:val="375" w:hRule="atLeast"/>
        </w:trPr>
        <w:tc>
          <w:tcPr>
            <w:tcW w:w="13608"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33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9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3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9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65"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332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4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3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4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49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66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02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581"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997"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030"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4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49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99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30"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99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30"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02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4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602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4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26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9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03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24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258,374.17</w:t>
            </w:r>
          </w:p>
        </w:tc>
        <w:tc>
          <w:tcPr>
            <w:tcW w:w="26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9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21013</w:t>
            </w:r>
          </w:p>
        </w:tc>
        <w:tc>
          <w:tcPr>
            <w:tcW w:w="203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医疗救助</w:t>
            </w:r>
          </w:p>
        </w:tc>
        <w:tc>
          <w:tcPr>
            <w:tcW w:w="24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212,324.00</w:t>
            </w:r>
          </w:p>
        </w:tc>
        <w:tc>
          <w:tcPr>
            <w:tcW w:w="26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97"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030"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24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212,324.00</w:t>
            </w:r>
          </w:p>
        </w:tc>
        <w:tc>
          <w:tcPr>
            <w:tcW w:w="26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9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21015</w:t>
            </w:r>
          </w:p>
        </w:tc>
        <w:tc>
          <w:tcPr>
            <w:tcW w:w="203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医疗保障管理事务</w:t>
            </w:r>
          </w:p>
        </w:tc>
        <w:tc>
          <w:tcPr>
            <w:tcW w:w="24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46,050.17</w:t>
            </w:r>
          </w:p>
        </w:tc>
        <w:tc>
          <w:tcPr>
            <w:tcW w:w="26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97"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2101501</w:t>
            </w:r>
          </w:p>
        </w:tc>
        <w:tc>
          <w:tcPr>
            <w:tcW w:w="2030"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4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46,050.17</w:t>
            </w:r>
          </w:p>
        </w:tc>
        <w:tc>
          <w:tcPr>
            <w:tcW w:w="26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608"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3982" w:type="dxa"/>
        <w:tblInd w:w="0" w:type="dxa"/>
        <w:shd w:val="clear" w:color="auto" w:fill="auto"/>
        <w:tblLayout w:type="fixed"/>
        <w:tblCellMar>
          <w:top w:w="0" w:type="dxa"/>
          <w:left w:w="0" w:type="dxa"/>
          <w:bottom w:w="0" w:type="dxa"/>
          <w:right w:w="0" w:type="dxa"/>
        </w:tblCellMar>
      </w:tblPr>
      <w:tblGrid>
        <w:gridCol w:w="1779"/>
        <w:gridCol w:w="2422"/>
        <w:gridCol w:w="1080"/>
        <w:gridCol w:w="921"/>
        <w:gridCol w:w="1801"/>
        <w:gridCol w:w="913"/>
        <w:gridCol w:w="688"/>
        <w:gridCol w:w="2989"/>
        <w:gridCol w:w="1389"/>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77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2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8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2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0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1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98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8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201"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108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2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91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98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8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281"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701" w:type="dxa"/>
            <w:gridSpan w:val="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1779"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2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8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2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0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1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8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98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8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779"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2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0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8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16,301.60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405.30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4,523.87</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5,359.00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8,755.40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217,724.00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77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2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80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2,135.00</w:t>
            </w:r>
          </w:p>
        </w:tc>
        <w:tc>
          <w:tcPr>
            <w:tcW w:w="68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98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201"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0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12"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8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258,374.17</w:t>
            </w:r>
          </w:p>
        </w:tc>
      </w:tr>
      <w:tr>
        <w:tblPrEx>
          <w:tblLayout w:type="fixed"/>
          <w:tblCellMar>
            <w:top w:w="0" w:type="dxa"/>
            <w:left w:w="0" w:type="dxa"/>
            <w:bottom w:w="0" w:type="dxa"/>
            <w:right w:w="0" w:type="dxa"/>
          </w:tblCellMar>
        </w:tblPrEx>
        <w:trPr>
          <w:trHeight w:val="300"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W w:w="13816" w:type="dxa"/>
        <w:tblInd w:w="0" w:type="dxa"/>
        <w:shd w:val="clear" w:color="auto" w:fill="auto"/>
        <w:tblLayout w:type="fixed"/>
        <w:tblCellMar>
          <w:top w:w="0" w:type="dxa"/>
          <w:left w:w="0" w:type="dxa"/>
          <w:bottom w:w="0" w:type="dxa"/>
          <w:right w:w="0" w:type="dxa"/>
        </w:tblCellMar>
      </w:tblPr>
      <w:tblGrid>
        <w:gridCol w:w="1689"/>
        <w:gridCol w:w="1731"/>
        <w:gridCol w:w="900"/>
        <w:gridCol w:w="900"/>
        <w:gridCol w:w="985"/>
        <w:gridCol w:w="827"/>
        <w:gridCol w:w="552"/>
        <w:gridCol w:w="867"/>
        <w:gridCol w:w="980"/>
        <w:gridCol w:w="993"/>
        <w:gridCol w:w="1823"/>
        <w:gridCol w:w="1569"/>
      </w:tblGrid>
      <w:tr>
        <w:tblPrEx>
          <w:shd w:val="clear" w:color="auto" w:fill="auto"/>
          <w:tblLayout w:type="fixed"/>
          <w:tblCellMar>
            <w:top w:w="0" w:type="dxa"/>
            <w:left w:w="0" w:type="dxa"/>
            <w:bottom w:w="0" w:type="dxa"/>
            <w:right w:w="0" w:type="dxa"/>
          </w:tblCellMar>
        </w:tblPrEx>
        <w:trPr>
          <w:trHeight w:val="375" w:hRule="atLeast"/>
        </w:trPr>
        <w:tc>
          <w:tcPr>
            <w:tcW w:w="13816" w:type="dxa"/>
            <w:gridSpan w:val="1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481" w:hRule="atLeast"/>
        </w:trPr>
        <w:tc>
          <w:tcPr>
            <w:tcW w:w="168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0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0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2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5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6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8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9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2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6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3420"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部门：黄石市黄石港区医疗保障局</w:t>
            </w:r>
          </w:p>
        </w:tc>
        <w:tc>
          <w:tcPr>
            <w:tcW w:w="90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12"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5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6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8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9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2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6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032" w:type="dxa"/>
            <w:gridSpan w:val="6"/>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784" w:type="dxa"/>
            <w:gridSpan w:val="6"/>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689"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3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785"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82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55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6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796"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56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1689"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3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0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8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82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8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9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82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56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689" w:type="dxa"/>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3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0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0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8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5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6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8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2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6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1689" w:type="dxa"/>
            <w:tcBorders>
              <w:top w:val="nil"/>
              <w:left w:val="single" w:color="000000" w:sz="4" w:space="0"/>
              <w:bottom w:val="single" w:color="000000" w:sz="4" w:space="0"/>
              <w:right w:val="single" w:color="000000" w:sz="4" w:space="0"/>
            </w:tcBorders>
            <w:shd w:val="clear" w:color="auto" w:fill="00FF00"/>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7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00" w:type="dxa"/>
            <w:tcBorders>
              <w:top w:val="nil"/>
              <w:left w:val="nil"/>
              <w:bottom w:val="single" w:color="000000" w:sz="4" w:space="0"/>
              <w:right w:val="single" w:color="000000" w:sz="4" w:space="0"/>
            </w:tcBorders>
            <w:shd w:val="clear" w:color="auto" w:fill="00FF00"/>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0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2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6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8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2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860" w:hRule="atLeast"/>
        </w:trPr>
        <w:tc>
          <w:tcPr>
            <w:tcW w:w="13816" w:type="dxa"/>
            <w:gridSpan w:val="1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tbl>
      <w:tblPr>
        <w:tblStyle w:val="7"/>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黄石市黄石港区医疗保障局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6"/>
          <w:rFonts w:hint="eastAsia" w:ascii="微软雅黑" w:hAnsi="微软雅黑" w:eastAsia="微软雅黑" w:cs="微软雅黑"/>
          <w:i w:val="0"/>
          <w:caps w:val="0"/>
          <w:color w:val="333333"/>
          <w:spacing w:val="0"/>
          <w:sz w:val="24"/>
          <w:szCs w:val="24"/>
          <w:shd w:val="clear" w:color="090000" w:fill="FFFFFF"/>
          <w:lang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第三部分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部门决算情况说明</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（一）预算执行情况分析</w:t>
      </w:r>
    </w:p>
    <w:p>
      <w:pPr>
        <w:widowControl/>
        <w:ind w:firstLine="556" w:firstLineChars="196"/>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　</w:t>
      </w:r>
      <w:r>
        <w:rPr>
          <w:rFonts w:hint="eastAsia" w:ascii="仿宋_GB2312" w:hAnsi="宋体" w:eastAsia="仿宋_GB2312"/>
          <w:color w:val="000000"/>
          <w:spacing w:val="2"/>
          <w:sz w:val="30"/>
          <w:szCs w:val="30"/>
        </w:rPr>
        <w:t>2019年财政收入预算数245575元，其中人员经费110968元，公用经费134607元, 2019年财政支出预算数245575元，其中人员经费110968元，公用经费134607元,；2019年新增单位</w:t>
      </w:r>
      <w:r>
        <w:rPr>
          <w:rFonts w:hint="eastAsia" w:ascii="仿宋_GB2312" w:hAnsi="宋体" w:eastAsia="仿宋_GB2312"/>
          <w:color w:val="000000"/>
          <w:spacing w:val="2"/>
          <w:sz w:val="30"/>
          <w:szCs w:val="30"/>
          <w:lang w:eastAsia="zh-CN"/>
        </w:rPr>
        <w:t>。</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（二）关于“三公”经费支出说明</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2019年“三公”经费决算总支出0元，其中：</w:t>
      </w:r>
      <w:r>
        <w:rPr>
          <w:rFonts w:hint="eastAsia" w:ascii="仿宋_GB2312" w:hAnsi="宋体" w:eastAsia="仿宋_GB2312"/>
          <w:color w:val="FF6600"/>
          <w:sz w:val="30"/>
          <w:szCs w:val="30"/>
        </w:rPr>
        <w:t xml:space="preserve"> </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公务车运行维护费0元，年初预算数0元，决算数比预算数减少0元，减少幅度为0；</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公务接待费0元，年初预算数0元，决算数比预算数增加0元，增长幅度为0；</w:t>
      </w:r>
    </w:p>
    <w:p>
      <w:pPr>
        <w:spacing w:line="440" w:lineRule="exact"/>
        <w:ind w:firstLine="600" w:firstLineChars="200"/>
        <w:rPr>
          <w:rFonts w:hint="eastAsia" w:ascii="宋体" w:hAnsi="宋体"/>
          <w:color w:val="000000"/>
          <w:spacing w:val="2"/>
          <w:sz w:val="30"/>
          <w:szCs w:val="30"/>
        </w:rPr>
      </w:pPr>
      <w:r>
        <w:rPr>
          <w:rFonts w:hint="eastAsia" w:ascii="仿宋_GB2312" w:hAnsi="宋体" w:eastAsia="仿宋_GB2312"/>
          <w:sz w:val="30"/>
          <w:szCs w:val="30"/>
        </w:rPr>
        <w:t>因公出国（境）费0元，预算数0元，决算数比预算数增加0元，增长幅度为0%；</w:t>
      </w:r>
    </w:p>
    <w:p>
      <w:pPr>
        <w:widowControl/>
        <w:numPr>
          <w:ilvl w:val="0"/>
          <w:numId w:val="1"/>
        </w:numPr>
        <w:shd w:val="clear" w:color="auto" w:fill="FFFFFF"/>
        <w:ind w:left="56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rPr>
        <w:t>关于机关运行经费支出说明</w:t>
      </w:r>
    </w:p>
    <w:p>
      <w:pPr>
        <w:widowControl/>
        <w:ind w:firstLine="608" w:firstLineChars="200"/>
        <w:rPr>
          <w:rFonts w:hint="eastAsia" w:ascii="仿宋_GB2312" w:hAnsi="宋体" w:eastAsia="仿宋_GB2312"/>
          <w:spacing w:val="2"/>
          <w:sz w:val="30"/>
          <w:szCs w:val="30"/>
        </w:rPr>
      </w:pPr>
      <w:r>
        <w:rPr>
          <w:rFonts w:hint="eastAsia" w:ascii="仿宋_GB2312" w:hAnsi="宋体" w:eastAsia="仿宋_GB2312"/>
          <w:spacing w:val="2"/>
          <w:sz w:val="30"/>
          <w:szCs w:val="30"/>
        </w:rPr>
        <w:t>无</w:t>
      </w:r>
      <w:r>
        <w:rPr>
          <w:rFonts w:hint="eastAsia" w:ascii="仿宋_GB2312" w:hAnsi="宋体" w:eastAsia="仿宋_GB2312"/>
          <w:sz w:val="30"/>
          <w:szCs w:val="30"/>
        </w:rPr>
        <w:t>机关运行经费支出</w:t>
      </w:r>
      <w:r>
        <w:rPr>
          <w:rFonts w:hint="eastAsia" w:ascii="仿宋_GB2312" w:hAnsi="宋体" w:eastAsia="仿宋_GB2312"/>
          <w:spacing w:val="2"/>
          <w:sz w:val="30"/>
          <w:szCs w:val="30"/>
        </w:rPr>
        <w:t>。</w:t>
      </w:r>
    </w:p>
    <w:p>
      <w:pPr>
        <w:widowControl/>
        <w:numPr>
          <w:ilvl w:val="0"/>
          <w:numId w:val="0"/>
        </w:numPr>
        <w:shd w:val="clear" w:color="auto" w:fill="FFFFFF"/>
        <w:ind w:left="560" w:leftChars="0"/>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四</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关于政府采购支出说明</w:t>
      </w:r>
    </w:p>
    <w:p>
      <w:pPr>
        <w:pStyle w:val="11"/>
        <w:ind w:firstLine="600" w:firstLineChars="200"/>
        <w:rPr>
          <w:rFonts w:hint="eastAsia" w:ascii="仿宋_GB2312" w:eastAsia="仿宋_GB2312"/>
          <w:sz w:val="30"/>
          <w:szCs w:val="30"/>
        </w:rPr>
      </w:pPr>
      <w:r>
        <w:rPr>
          <w:rFonts w:hint="eastAsia" w:ascii="仿宋_GB2312" w:hAnsi="宋体" w:eastAsia="仿宋_GB2312"/>
          <w:sz w:val="30"/>
          <w:szCs w:val="30"/>
        </w:rPr>
        <w:t>2019年政府采购总支出123110元，其中政府采购货物支出62395元，政府采购工程支出0元，政府采购服务支出60715元。</w:t>
      </w:r>
    </w:p>
    <w:p>
      <w:pPr>
        <w:widowControl/>
        <w:shd w:val="clear" w:color="auto" w:fill="FFFFFF"/>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（五）关于国有资产占用情况说明</w:t>
      </w:r>
    </w:p>
    <w:p>
      <w:pPr>
        <w:pStyle w:val="11"/>
        <w:ind w:firstLine="900" w:firstLineChars="300"/>
        <w:rPr>
          <w:rFonts w:hint="eastAsia" w:ascii="仿宋_GB2312" w:hAnsi="宋体" w:eastAsia="仿宋_GB2312" w:cs="Times New Roman"/>
          <w:sz w:val="30"/>
          <w:szCs w:val="30"/>
        </w:rPr>
      </w:pPr>
      <w:r>
        <w:rPr>
          <w:rFonts w:hint="eastAsia" w:ascii="仿宋_GB2312" w:hAnsi="宋体" w:eastAsia="仿宋_GB2312" w:cs="Times New Roman"/>
          <w:sz w:val="30"/>
          <w:szCs w:val="30"/>
        </w:rPr>
        <w:t>截至2019年12月31日，本单位共有车辆0辆，其中领导干部用车0辆，一般公务用车0辆，一般执法执勤用车0辆，特种专业技术用车0辆，其它用车0辆。</w:t>
      </w:r>
    </w:p>
    <w:p>
      <w:pPr>
        <w:spacing w:line="440" w:lineRule="exact"/>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六、年末结转和结余情况</w:t>
      </w:r>
    </w:p>
    <w:p>
      <w:pPr>
        <w:spacing w:line="440" w:lineRule="exact"/>
        <w:ind w:firstLine="456" w:firstLineChars="150"/>
        <w:rPr>
          <w:rFonts w:hint="eastAsia" w:ascii="仿宋_GB2312" w:hAnsi="宋体" w:eastAsia="仿宋_GB2312"/>
          <w:color w:val="000000"/>
          <w:spacing w:val="2"/>
          <w:sz w:val="30"/>
          <w:szCs w:val="30"/>
          <w:lang w:eastAsia="zh-CN"/>
        </w:rPr>
      </w:pPr>
      <w:r>
        <w:rPr>
          <w:rFonts w:hint="eastAsia" w:ascii="仿宋_GB2312" w:hAnsi="宋体" w:eastAsia="仿宋_GB2312"/>
          <w:color w:val="000000"/>
          <w:spacing w:val="2"/>
          <w:sz w:val="30"/>
          <w:szCs w:val="30"/>
        </w:rPr>
        <w:t>年末总结转为0元,其中财拨款结转为0元,其它资金结转结余为0元</w:t>
      </w:r>
      <w:r>
        <w:rPr>
          <w:rFonts w:hint="eastAsia" w:ascii="仿宋_GB2312" w:hAnsi="宋体" w:eastAsia="仿宋_GB2312"/>
          <w:color w:val="000000"/>
          <w:spacing w:val="2"/>
          <w:sz w:val="30"/>
          <w:szCs w:val="30"/>
          <w:lang w:eastAsia="zh-CN"/>
        </w:rPr>
        <w:t>。</w:t>
      </w:r>
    </w:p>
    <w:p>
      <w:pPr>
        <w:widowControl/>
        <w:shd w:val="clear" w:color="auto" w:fill="FFFFFF"/>
        <w:ind w:firstLine="281" w:firstLineChars="1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（六）重点绩效评价结果等预算绩效情况说明</w:t>
      </w:r>
    </w:p>
    <w:p>
      <w:pPr>
        <w:pStyle w:val="11"/>
        <w:ind w:firstLine="900" w:firstLineChars="300"/>
        <w:rPr>
          <w:rFonts w:hint="eastAsia" w:ascii="仿宋_GB2312" w:hAnsi="宋体" w:eastAsia="仿宋_GB2312" w:cs="Times New Roman"/>
          <w:sz w:val="30"/>
          <w:szCs w:val="30"/>
          <w:lang w:eastAsia="zh-CN"/>
        </w:rPr>
      </w:pPr>
      <w:r>
        <w:rPr>
          <w:rFonts w:hint="eastAsia" w:ascii="仿宋_GB2312" w:hAnsi="宋体" w:eastAsia="仿宋_GB2312" w:cs="Times New Roman"/>
          <w:sz w:val="30"/>
          <w:szCs w:val="30"/>
          <w:lang w:val="en-US" w:eastAsia="zh-CN"/>
        </w:rPr>
        <w:t>2019年， 根据预算绩效管理要求，我单位组织2019年度一般公共预算项目支出全面开展绩效自评，共涉及项目0个，资金0万元。 2019年项目资金投入0万元，已使用0万元。使用从评价结果看，项目立项程序完整、规范，预算执行及时、有效，绩效目标得到较好实现，绩效管理水平不断提高，绩效指标体系建设逐渐丰富和完善。</w:t>
      </w:r>
    </w:p>
    <w:p>
      <w:pPr>
        <w:spacing w:line="440" w:lineRule="exact"/>
        <w:ind w:firstLine="456" w:firstLineChars="150"/>
        <w:rPr>
          <w:rFonts w:hint="eastAsia" w:ascii="仿宋_GB2312" w:hAnsi="宋体" w:eastAsia="仿宋_GB2312"/>
          <w:color w:val="000000"/>
          <w:spacing w:val="2"/>
          <w:sz w:val="30"/>
          <w:szCs w:val="30"/>
          <w:lang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val="0"/>
          <w:color w:val="333333"/>
          <w:sz w:val="24"/>
          <w:szCs w:val="24"/>
          <w:lang w:val="en-US" w:eastAsia="zh-CN"/>
        </w:rPr>
      </w:pPr>
      <w:bookmarkStart w:id="0" w:name="_GoBack"/>
      <w:bookmarkEnd w:id="0"/>
      <w:r>
        <w:rPr>
          <w:rStyle w:val="6"/>
          <w:rFonts w:hint="eastAsia" w:ascii="微软雅黑" w:hAnsi="微软雅黑" w:eastAsia="微软雅黑" w:cs="微软雅黑"/>
          <w:b/>
          <w:bCs w:val="0"/>
          <w:i w:val="0"/>
          <w:caps w:val="0"/>
          <w:color w:val="333333"/>
          <w:spacing w:val="0"/>
          <w:sz w:val="24"/>
          <w:szCs w:val="24"/>
          <w:shd w:val="clear" w:color="090000" w:fill="FFFFFF"/>
        </w:rPr>
        <w:t>第四部分</w:t>
      </w:r>
      <w:r>
        <w:rPr>
          <w:rStyle w:val="6"/>
          <w:rFonts w:hint="eastAsia" w:ascii="微软雅黑" w:hAnsi="微软雅黑" w:eastAsia="微软雅黑" w:cs="微软雅黑"/>
          <w:b/>
          <w:bCs w:val="0"/>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b/>
          <w:bCs w:val="0"/>
          <w:i w:val="0"/>
          <w:caps w:val="0"/>
          <w:color w:val="333333"/>
          <w:spacing w:val="0"/>
          <w:sz w:val="24"/>
          <w:szCs w:val="24"/>
          <w:shd w:val="clear" w:color="090000" w:fill="FFFFFF"/>
        </w:rPr>
        <w:t>名词解释</w:t>
      </w:r>
    </w:p>
    <w:p>
      <w:pPr>
        <w:ind w:firstLine="760" w:firstLineChars="250"/>
        <w:rPr>
          <w:rFonts w:hint="eastAsia" w:ascii="仿宋_GB2312" w:hAnsi="宋体" w:eastAsia="仿宋_GB2312"/>
          <w:spacing w:val="2"/>
          <w:sz w:val="30"/>
          <w:szCs w:val="30"/>
        </w:rPr>
      </w:pPr>
      <w:r>
        <w:rPr>
          <w:rFonts w:hint="eastAsia" w:ascii="仿宋_GB2312" w:hAnsi="宋体" w:eastAsia="仿宋_GB2312"/>
          <w:spacing w:val="2"/>
          <w:sz w:val="30"/>
          <w:szCs w:val="30"/>
        </w:rPr>
        <w:t>（一）财政拨款（补助）：指省级财政当年拨付的资金。</w:t>
      </w:r>
    </w:p>
    <w:p>
      <w:pPr>
        <w:ind w:firstLine="760" w:firstLineChars="250"/>
        <w:rPr>
          <w:rFonts w:hint="eastAsia" w:ascii="仿宋_GB2312" w:hAnsi="宋体" w:eastAsia="仿宋_GB2312"/>
          <w:spacing w:val="2"/>
          <w:sz w:val="30"/>
          <w:szCs w:val="30"/>
        </w:rPr>
      </w:pPr>
      <w:r>
        <w:rPr>
          <w:rFonts w:hint="eastAsia" w:ascii="仿宋_GB2312" w:hAnsi="宋体" w:eastAsia="仿宋_GB2312"/>
          <w:spacing w:val="2"/>
          <w:sz w:val="30"/>
          <w:szCs w:val="30"/>
        </w:rPr>
        <w:t xml:space="preserve">（二）事业收入：指事业单位开展专业业务活动及其辅助活动取得的收入。 </w:t>
      </w:r>
      <w:r>
        <w:rPr>
          <w:rFonts w:hint="eastAsia" w:ascii="仿宋_GB2312" w:hAnsi="宋体" w:eastAsia="仿宋_GB2312"/>
          <w:spacing w:val="2"/>
          <w:sz w:val="30"/>
          <w:szCs w:val="30"/>
        </w:rPr>
        <w:br w:type="textWrapping"/>
      </w:r>
      <w:r>
        <w:rPr>
          <w:rFonts w:hint="eastAsia" w:ascii="仿宋_GB2312" w:hAnsi="宋体" w:eastAsia="仿宋_GB2312"/>
          <w:spacing w:val="2"/>
          <w:sz w:val="30"/>
          <w:szCs w:val="30"/>
        </w:rPr>
        <w:t xml:space="preserve">　　 （三）其他收入：指预算单位在“财政拨款补助收入”、“事业收入”、“经营收入”以外取得的收入。 </w:t>
      </w:r>
      <w:r>
        <w:rPr>
          <w:rFonts w:hint="eastAsia" w:ascii="仿宋_GB2312" w:hAnsi="宋体" w:eastAsia="仿宋_GB2312"/>
          <w:spacing w:val="2"/>
          <w:sz w:val="30"/>
          <w:szCs w:val="30"/>
        </w:rPr>
        <w:br w:type="textWrapping"/>
      </w:r>
      <w:r>
        <w:rPr>
          <w:rFonts w:hint="eastAsia" w:ascii="仿宋_GB2312" w:hAnsi="宋体" w:eastAsia="仿宋_GB2312"/>
          <w:spacing w:val="2"/>
          <w:sz w:val="30"/>
          <w:szCs w:val="30"/>
        </w:rPr>
        <w:t xml:space="preserve">　　 （四）上年结转：指以前年度尚未完成、结转到本年仍按原规定用途继续使用的资金。 </w:t>
      </w:r>
      <w:r>
        <w:rPr>
          <w:rFonts w:hint="eastAsia" w:ascii="仿宋_GB2312" w:hAnsi="宋体" w:eastAsia="仿宋_GB2312"/>
          <w:spacing w:val="2"/>
          <w:sz w:val="30"/>
          <w:szCs w:val="30"/>
        </w:rPr>
        <w:br w:type="textWrapping"/>
      </w:r>
      <w:r>
        <w:rPr>
          <w:rFonts w:hint="eastAsia" w:ascii="仿宋_GB2312" w:hAnsi="宋体" w:eastAsia="仿宋_GB2312"/>
          <w:spacing w:val="2"/>
          <w:sz w:val="30"/>
          <w:szCs w:val="30"/>
        </w:rPr>
        <w:t xml:space="preserve">　　 （五）基本支出：指为保障机构正常运转、完成日常工作任务而发生的人员支出和公用支出。 </w:t>
      </w:r>
      <w:r>
        <w:rPr>
          <w:rFonts w:hint="eastAsia" w:ascii="仿宋_GB2312" w:hAnsi="宋体" w:eastAsia="仿宋_GB2312"/>
          <w:spacing w:val="2"/>
          <w:sz w:val="30"/>
          <w:szCs w:val="30"/>
        </w:rPr>
        <w:br w:type="textWrapping"/>
      </w:r>
      <w:r>
        <w:rPr>
          <w:rFonts w:hint="eastAsia" w:ascii="仿宋_GB2312" w:hAnsi="宋体" w:eastAsia="仿宋_GB2312"/>
          <w:spacing w:val="2"/>
          <w:sz w:val="30"/>
          <w:szCs w:val="30"/>
        </w:rPr>
        <w:t>　 　（六）项目支出：指为完成特定的行政工作任务或事业发展目标，在基本支出之外发生的各项支出。</w:t>
      </w:r>
    </w:p>
    <w:p>
      <w:pPr>
        <w:ind w:firstLine="760" w:firstLineChars="250"/>
        <w:rPr>
          <w:rFonts w:hint="eastAsia" w:ascii="仿宋_GB2312" w:hAnsi="宋体" w:eastAsia="仿宋_GB2312"/>
          <w:color w:val="000000"/>
          <w:spacing w:val="2"/>
          <w:sz w:val="30"/>
          <w:szCs w:val="30"/>
        </w:rPr>
      </w:pPr>
      <w:r>
        <w:rPr>
          <w:rFonts w:hint="eastAsia" w:ascii="仿宋_GB2312" w:hAnsi="宋体" w:eastAsia="仿宋_GB2312"/>
          <w:spacing w:val="2"/>
          <w:sz w:val="30"/>
          <w:szCs w:val="30"/>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仿宋_GB2312" w:hAnsi="宋体" w:eastAsia="仿宋_GB2312"/>
          <w:color w:val="000000"/>
          <w:spacing w:val="2"/>
          <w:sz w:val="30"/>
          <w:szCs w:val="30"/>
        </w:rPr>
        <w:t>购置及租用费、燃料费、维修费、过路过桥费、保险费、安全奖励费用等支出。</w:t>
      </w:r>
    </w:p>
    <w:p>
      <w:pPr>
        <w:ind w:firstLine="912" w:firstLineChars="300"/>
        <w:rPr>
          <w:rFonts w:hint="eastAsia" w:ascii="宋体" w:hAnsi="宋体" w:eastAsia="宋体" w:cs="宋体"/>
          <w:sz w:val="28"/>
          <w:szCs w:val="28"/>
        </w:rPr>
      </w:pPr>
      <w:r>
        <w:rPr>
          <w:rFonts w:hint="eastAsia" w:ascii="仿宋_GB2312" w:hAnsi="宋体" w:eastAsia="仿宋_GB2312"/>
          <w:color w:val="000000"/>
          <w:spacing w:val="2"/>
          <w:sz w:val="30"/>
          <w:szCs w:val="30"/>
        </w:rPr>
        <w:t>（八）行政运行（项）：指机关和实行公务员法管理事业单位用于保障机构正常运转的基本支出。</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BA88D"/>
    <w:multiLevelType w:val="singleLevel"/>
    <w:tmpl w:val="D09BA88D"/>
    <w:lvl w:ilvl="0" w:tentative="0">
      <w:start w:val="3"/>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2F50"/>
    <w:rsid w:val="07B04DCC"/>
    <w:rsid w:val="08D651FF"/>
    <w:rsid w:val="16116962"/>
    <w:rsid w:val="18466587"/>
    <w:rsid w:val="253A2930"/>
    <w:rsid w:val="288E0470"/>
    <w:rsid w:val="37131171"/>
    <w:rsid w:val="3E431281"/>
    <w:rsid w:val="48BD753D"/>
    <w:rsid w:val="4B247ED9"/>
    <w:rsid w:val="53383E62"/>
    <w:rsid w:val="65406929"/>
    <w:rsid w:val="65732311"/>
    <w:rsid w:val="719C2198"/>
    <w:rsid w:val="7C260D21"/>
    <w:rsid w:val="7D471042"/>
    <w:rsid w:val="7EE45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5">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Body Text Indent"/>
    <w:basedOn w:val="1"/>
    <w:qFormat/>
    <w:uiPriority w:val="0"/>
    <w:pPr>
      <w:spacing w:line="500" w:lineRule="exact"/>
      <w:ind w:firstLine="640" w:firstLineChars="200"/>
    </w:pPr>
    <w:rPr>
      <w:rFonts w:ascii="宋体"/>
      <w:sz w:val="32"/>
    </w:rPr>
  </w:style>
  <w:style w:type="paragraph" w:customStyle="1" w:styleId="9">
    <w:name w:val="Plain Text"/>
    <w:basedOn w:val="1"/>
    <w:qFormat/>
    <w:uiPriority w:val="0"/>
    <w:rPr>
      <w:rFonts w:ascii="宋体" w:hAnsi="Courier New" w:cs="Courier New"/>
      <w:szCs w:val="21"/>
    </w:rPr>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5"/>
    <w:qFormat/>
    <w:uiPriority w:val="0"/>
  </w:style>
  <w:style w:type="character" w:customStyle="1" w:styleId="13">
    <w:name w:val="ca-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gg</dc:creator>
  <cp:lastModifiedBy>Administrator</cp:lastModifiedBy>
  <dcterms:modified xsi:type="dcterms:W3CDTF">2021-05-26T08:23:34Z</dcterms:modified>
  <dc:title>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