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安监局</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黄石港区安监局</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spacing w:line="560" w:lineRule="exact"/>
        <w:ind w:firstLine="480" w:firstLineChars="200"/>
        <w:jc w:val="left"/>
        <w:rPr>
          <w:rFonts w:hint="eastAsia" w:ascii="楷体" w:hAnsi="楷体" w:eastAsia="楷体" w:cs="楷体"/>
          <w:b/>
          <w:bCs/>
          <w:sz w:val="32"/>
          <w:szCs w:val="32"/>
        </w:rPr>
      </w:pPr>
      <w:r>
        <w:rPr>
          <w:rFonts w:hint="eastAsia" w:ascii="宋体" w:hAnsi="宋体" w:cs="宋体"/>
          <w:color w:val="333333"/>
          <w:kern w:val="0"/>
          <w:sz w:val="24"/>
        </w:rPr>
        <w:t>　</w:t>
      </w:r>
      <w:r>
        <w:rPr>
          <w:rFonts w:hint="eastAsia" w:ascii="楷体" w:hAnsi="楷体" w:eastAsia="楷体" w:cs="楷体"/>
          <w:b/>
          <w:bCs/>
          <w:color w:val="333333"/>
          <w:kern w:val="0"/>
          <w:sz w:val="32"/>
          <w:szCs w:val="32"/>
        </w:rPr>
        <w:t>（</w:t>
      </w:r>
      <w:r>
        <w:rPr>
          <w:rFonts w:hint="eastAsia" w:ascii="楷体" w:hAnsi="楷体" w:eastAsia="楷体" w:cs="楷体"/>
          <w:b/>
          <w:bCs/>
          <w:sz w:val="32"/>
          <w:szCs w:val="32"/>
        </w:rPr>
        <w:t>一）主要职责</w:t>
      </w:r>
    </w:p>
    <w:p>
      <w:pPr>
        <w:widowControl/>
        <w:shd w:val="clear" w:color="auto" w:fill="FFFFFF"/>
        <w:snapToGrid w:val="0"/>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1、履行全区安全生产工作综合监督管理职能，指导、协调和督促有关部门依法履行安全生产工作职责，组织安全生产综合和专项检查，建立隐患排查治理体系和安全生产网格化管理体系，具体实施安全生产目标责任制管理和考核工作，综合监督管理安全生产应急救援工作。</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2、负责起草全区安全生产规章草案及规范性文件，制定安全生产专项规划，监督检查涉及安全生产的法律、法规、规章、规范性文件的执行情况，组织开展安全生产责任目标考核。</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3、负责安全生产形势综合分析和生产安全事故统计工作，定期通报全区安全生产形势，发布安全生产信息。</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4、负责危险化学品、烟花爆竹行业的安全监督管理工作，依法实施安全生产行政许可，督促新建、改建、扩建工程安全设施的“三同时”，依法监督工商贸企业贯彻执行安全生产法律、法规情况。</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5、组织开展安全生产打非治违、专项整治、行政执法工作，对不具备安全生产基本条件的生产经营单位进行查处；按照法律、法规的规定，负责对安全生产违法行为实施行政处罚。</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6、负责作业场所职业卫生的监督检查，组织查处职业危害事故和有关违法、违规行为。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7、根据区政府授权或委托，依法组织、协调生产安全事故调查处理，指导，会同有关部门组织、召开较大事故新闻发布会。</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8、组织、指导全区安全宣传教育与培训工作。</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9、承担区安委会办公室日常工作。</w:t>
      </w:r>
    </w:p>
    <w:p>
      <w:pPr>
        <w:widowControl/>
        <w:shd w:val="clear" w:color="auto" w:fill="FFFFFF"/>
        <w:spacing w:line="560" w:lineRule="exact"/>
        <w:ind w:firstLine="643" w:firstLineChars="200"/>
        <w:jc w:val="left"/>
        <w:rPr>
          <w:rFonts w:hint="eastAsia" w:ascii="楷体" w:hAnsi="楷体" w:eastAsia="楷体" w:cs="楷体"/>
          <w:b/>
          <w:bCs/>
          <w:kern w:val="0"/>
          <w:sz w:val="32"/>
          <w:szCs w:val="32"/>
        </w:rPr>
      </w:pPr>
      <w:r>
        <w:rPr>
          <w:rFonts w:hint="eastAsia" w:ascii="楷体" w:hAnsi="楷体" w:eastAsia="楷体" w:cs="楷体"/>
          <w:b/>
          <w:bCs/>
          <w:kern w:val="0"/>
          <w:sz w:val="32"/>
          <w:szCs w:val="32"/>
        </w:rPr>
        <w:t>（二）部门机构情况</w:t>
      </w:r>
    </w:p>
    <w:p>
      <w:pPr>
        <w:spacing w:line="560" w:lineRule="exact"/>
        <w:ind w:firstLine="640" w:firstLineChars="200"/>
        <w:rPr>
          <w:rFonts w:hint="eastAsia" w:ascii="宋体" w:hAnsi="宋体"/>
          <w:sz w:val="32"/>
          <w:szCs w:val="32"/>
        </w:rPr>
      </w:pPr>
      <w:r>
        <w:rPr>
          <w:rFonts w:hint="eastAsia" w:ascii="仿宋" w:hAnsi="仿宋" w:eastAsia="仿宋" w:cs="仿宋"/>
          <w:color w:val="333333"/>
          <w:sz w:val="32"/>
          <w:szCs w:val="32"/>
        </w:rPr>
        <w:t>设有机构：</w:t>
      </w:r>
      <w:r>
        <w:rPr>
          <w:rFonts w:hint="eastAsia" w:ascii="仿宋" w:hAnsi="仿宋" w:eastAsia="仿宋" w:cs="仿宋"/>
          <w:color w:val="333333"/>
          <w:kern w:val="0"/>
          <w:sz w:val="32"/>
          <w:szCs w:val="32"/>
        </w:rPr>
        <w:t>办公室、综合监察科、职业健康卫生管理科、教育培训科。</w:t>
      </w:r>
    </w:p>
    <w:p>
      <w:pPr>
        <w:widowControl/>
        <w:shd w:val="clear" w:color="auto" w:fill="FFFFFF"/>
        <w:spacing w:line="360" w:lineRule="auto"/>
        <w:ind w:firstLine="560" w:firstLineChars="200"/>
        <w:jc w:val="left"/>
        <w:rPr>
          <w:rFonts w:hint="eastAsia" w:ascii="仿宋" w:hAnsi="仿宋" w:eastAsia="仿宋" w:cs="仿宋"/>
          <w:color w:val="333333"/>
          <w:kern w:val="0"/>
          <w:sz w:val="28"/>
          <w:szCs w:val="28"/>
        </w:rPr>
      </w:pPr>
    </w:p>
    <w:p>
      <w:pPr>
        <w:widowControl/>
        <w:spacing w:before="100" w:beforeAutospacing="1" w:after="100" w:afterAutospacing="1" w:line="408" w:lineRule="auto"/>
        <w:ind w:firstLine="620"/>
        <w:jc w:val="left"/>
        <w:rPr>
          <w:rFonts w:hint="eastAsia"/>
          <w:color w:val="333333"/>
          <w:sz w:val="28"/>
          <w:szCs w:val="28"/>
        </w:rPr>
      </w:pP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6016625" cy="5273675"/>
            <wp:effectExtent l="0" t="0" r="3175" b="3175"/>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pic:cNvPicPr>
                  </pic:nvPicPr>
                  <pic:blipFill>
                    <a:blip r:embed="rId4"/>
                    <a:stretch>
                      <a:fillRect/>
                    </a:stretch>
                  </pic:blipFill>
                  <pic:spPr>
                    <a:xfrm>
                      <a:off x="0" y="0"/>
                      <a:ext cx="6016625" cy="5273675"/>
                    </a:xfrm>
                    <a:prstGeom prst="rect">
                      <a:avLst/>
                    </a:prstGeom>
                    <a:noFill/>
                    <a:ln w="9525">
                      <a:noFill/>
                    </a:ln>
                  </pic:spPr>
                </pic:pic>
              </a:graphicData>
            </a:graphic>
          </wp:inline>
        </w:drawing>
      </w:r>
      <w:r>
        <w:drawing>
          <wp:inline distT="0" distB="0" distL="114300" distR="114300">
            <wp:extent cx="8853170" cy="2059305"/>
            <wp:effectExtent l="0" t="0" r="5080" b="17145"/>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spect="1"/>
                    </pic:cNvPicPr>
                  </pic:nvPicPr>
                  <pic:blipFill>
                    <a:blip r:embed="rId5"/>
                    <a:stretch>
                      <a:fillRect/>
                    </a:stretch>
                  </pic:blipFill>
                  <pic:spPr>
                    <a:xfrm>
                      <a:off x="0" y="0"/>
                      <a:ext cx="8853170" cy="2059305"/>
                    </a:xfrm>
                    <a:prstGeom prst="rect">
                      <a:avLst/>
                    </a:prstGeom>
                    <a:noFill/>
                    <a:ln w="9525">
                      <a:noFill/>
                    </a:ln>
                  </pic:spPr>
                </pic:pic>
              </a:graphicData>
            </a:graphic>
          </wp:inline>
        </w:drawing>
      </w:r>
      <w:r>
        <w:drawing>
          <wp:inline distT="0" distB="0" distL="114300" distR="114300">
            <wp:extent cx="8861425" cy="2278380"/>
            <wp:effectExtent l="0" t="0" r="15875" b="762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pic:cNvPicPr>
                  </pic:nvPicPr>
                  <pic:blipFill>
                    <a:blip r:embed="rId6"/>
                    <a:stretch>
                      <a:fillRect/>
                    </a:stretch>
                  </pic:blipFill>
                  <pic:spPr>
                    <a:xfrm>
                      <a:off x="0" y="0"/>
                      <a:ext cx="8861425" cy="2278380"/>
                    </a:xfrm>
                    <a:prstGeom prst="rect">
                      <a:avLst/>
                    </a:prstGeom>
                    <a:noFill/>
                    <a:ln w="9525">
                      <a:noFill/>
                    </a:ln>
                  </pic:spPr>
                </pic:pic>
              </a:graphicData>
            </a:graphic>
          </wp:inline>
        </w:drawing>
      </w:r>
      <w:r>
        <w:drawing>
          <wp:inline distT="0" distB="0" distL="114300" distR="114300">
            <wp:extent cx="6369050" cy="5269230"/>
            <wp:effectExtent l="0" t="0" r="12700" b="7620"/>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spect="1"/>
                    </pic:cNvPicPr>
                  </pic:nvPicPr>
                  <pic:blipFill>
                    <a:blip r:embed="rId7"/>
                    <a:stretch>
                      <a:fillRect/>
                    </a:stretch>
                  </pic:blipFill>
                  <pic:spPr>
                    <a:xfrm>
                      <a:off x="0" y="0"/>
                      <a:ext cx="6369050" cy="5269230"/>
                    </a:xfrm>
                    <a:prstGeom prst="rect">
                      <a:avLst/>
                    </a:prstGeom>
                    <a:noFill/>
                    <a:ln w="9525">
                      <a:noFill/>
                    </a:ln>
                  </pic:spPr>
                </pic:pic>
              </a:graphicData>
            </a:graphic>
          </wp:inline>
        </w:drawing>
      </w:r>
      <w:r>
        <w:drawing>
          <wp:inline distT="0" distB="0" distL="114300" distR="114300">
            <wp:extent cx="5953125" cy="2809875"/>
            <wp:effectExtent l="0" t="0" r="9525" b="9525"/>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spect="1"/>
                    </pic:cNvPicPr>
                  </pic:nvPicPr>
                  <pic:blipFill>
                    <a:blip r:embed="rId8"/>
                    <a:stretch>
                      <a:fillRect/>
                    </a:stretch>
                  </pic:blipFill>
                  <pic:spPr>
                    <a:xfrm>
                      <a:off x="0" y="0"/>
                      <a:ext cx="5953125" cy="2809875"/>
                    </a:xfrm>
                    <a:prstGeom prst="rect">
                      <a:avLst/>
                    </a:prstGeom>
                    <a:noFill/>
                    <a:ln w="9525">
                      <a:noFill/>
                    </a:ln>
                  </pic:spPr>
                </pic:pic>
              </a:graphicData>
            </a:graphic>
          </wp:inline>
        </w:drawing>
      </w:r>
      <w:r>
        <w:drawing>
          <wp:inline distT="0" distB="0" distL="114300" distR="114300">
            <wp:extent cx="8858250" cy="5027295"/>
            <wp:effectExtent l="0" t="0" r="0" b="1905"/>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spect="1"/>
                    </pic:cNvPicPr>
                  </pic:nvPicPr>
                  <pic:blipFill>
                    <a:blip r:embed="rId9"/>
                    <a:stretch>
                      <a:fillRect/>
                    </a:stretch>
                  </pic:blipFill>
                  <pic:spPr>
                    <a:xfrm>
                      <a:off x="0" y="0"/>
                      <a:ext cx="8858250" cy="5027295"/>
                    </a:xfrm>
                    <a:prstGeom prst="rect">
                      <a:avLst/>
                    </a:prstGeom>
                    <a:noFill/>
                    <a:ln w="9525">
                      <a:noFill/>
                    </a:ln>
                  </pic:spPr>
                </pic:pic>
              </a:graphicData>
            </a:graphic>
          </wp:inline>
        </w:drawing>
      </w:r>
      <w:r>
        <w:drawing>
          <wp:inline distT="0" distB="0" distL="114300" distR="114300">
            <wp:extent cx="8862060" cy="1856740"/>
            <wp:effectExtent l="0" t="0" r="15240" b="10160"/>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spect="1"/>
                    </pic:cNvPicPr>
                  </pic:nvPicPr>
                  <pic:blipFill>
                    <a:blip r:embed="rId10"/>
                    <a:stretch>
                      <a:fillRect/>
                    </a:stretch>
                  </pic:blipFill>
                  <pic:spPr>
                    <a:xfrm>
                      <a:off x="0" y="0"/>
                      <a:ext cx="8862060" cy="1856740"/>
                    </a:xfrm>
                    <a:prstGeom prst="rect">
                      <a:avLst/>
                    </a:prstGeom>
                    <a:noFill/>
                    <a:ln w="9525">
                      <a:noFill/>
                    </a:ln>
                  </pic:spPr>
                </pic:pic>
              </a:graphicData>
            </a:graphic>
          </wp:inline>
        </w:drawing>
      </w:r>
      <w:r>
        <w:drawing>
          <wp:inline distT="0" distB="0" distL="114300" distR="114300">
            <wp:extent cx="8860155" cy="2245995"/>
            <wp:effectExtent l="0" t="0" r="17145" b="1905"/>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spect="1"/>
                    </pic:cNvPicPr>
                  </pic:nvPicPr>
                  <pic:blipFill>
                    <a:blip r:embed="rId11"/>
                    <a:stretch>
                      <a:fillRect/>
                    </a:stretch>
                  </pic:blipFill>
                  <pic:spPr>
                    <a:xfrm>
                      <a:off x="0" y="0"/>
                      <a:ext cx="8860155" cy="2245995"/>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hd w:val="clear" w:color="auto" w:fill="FFFFFF"/>
        <w:spacing w:line="560" w:lineRule="exact"/>
        <w:ind w:firstLine="480"/>
        <w:jc w:val="left"/>
        <w:rPr>
          <w:rFonts w:hint="eastAsia" w:ascii="楷体" w:hAnsi="楷体" w:eastAsia="楷体" w:cs="楷体"/>
          <w:b/>
          <w:bCs/>
          <w:sz w:val="32"/>
          <w:szCs w:val="32"/>
        </w:rPr>
      </w:pPr>
      <w:r>
        <w:rPr>
          <w:rFonts w:hint="eastAsia" w:ascii="楷体" w:hAnsi="楷体" w:eastAsia="楷体" w:cs="楷体"/>
          <w:b/>
          <w:bCs/>
          <w:sz w:val="32"/>
          <w:szCs w:val="32"/>
        </w:rPr>
        <w:t>（一）预算执行情况分析</w:t>
      </w:r>
    </w:p>
    <w:p>
      <w:pPr>
        <w:widowControl/>
        <w:spacing w:line="560" w:lineRule="exact"/>
        <w:ind w:firstLine="651" w:firstLineChars="200"/>
        <w:rPr>
          <w:rFonts w:hint="eastAsia" w:ascii="仿宋" w:hAnsi="仿宋" w:eastAsia="仿宋" w:cs="仿宋"/>
          <w:b/>
          <w:bCs/>
          <w:color w:val="000000"/>
          <w:spacing w:val="2"/>
          <w:sz w:val="32"/>
          <w:szCs w:val="32"/>
        </w:rPr>
      </w:pPr>
      <w:r>
        <w:rPr>
          <w:rFonts w:hint="eastAsia" w:ascii="仿宋" w:hAnsi="仿宋" w:eastAsia="仿宋" w:cs="仿宋"/>
          <w:b/>
          <w:bCs/>
          <w:color w:val="000000"/>
          <w:spacing w:val="2"/>
          <w:sz w:val="32"/>
          <w:szCs w:val="32"/>
        </w:rPr>
        <w:t>1、收入支出与预算对比分析</w:t>
      </w:r>
    </w:p>
    <w:p>
      <w:pPr>
        <w:spacing w:line="560" w:lineRule="exact"/>
        <w:ind w:firstLine="648"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2017年全年总收入1569597.81元,其中财拔款决算收入1355384.71元(基本支出行政运行1355384.71元),其它收入214213.1元, 2017年全年总支出1563846.3元,其中财拔款决算支出1355384.71元(基本支出行政运行1355384.71元),其它资金支出208461.59元,2017年财政预算数560040.28元，财拔决算比预算多795344元,幅度为142%,原因为业务增加。</w:t>
      </w:r>
    </w:p>
    <w:p>
      <w:pPr>
        <w:widowControl/>
        <w:shd w:val="clear" w:color="auto" w:fill="FFFFFF"/>
        <w:snapToGrid w:val="0"/>
        <w:spacing w:line="560" w:lineRule="exact"/>
        <w:ind w:firstLine="648"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2016年全年总收入</w:t>
      </w:r>
      <w:r>
        <w:rPr>
          <w:rFonts w:hint="eastAsia" w:ascii="仿宋" w:hAnsi="仿宋" w:eastAsia="仿宋" w:cs="仿宋"/>
          <w:color w:val="333333"/>
          <w:kern w:val="0"/>
          <w:sz w:val="32"/>
          <w:szCs w:val="32"/>
        </w:rPr>
        <w:t>129.79万元</w:t>
      </w:r>
      <w:r>
        <w:rPr>
          <w:rFonts w:hint="eastAsia" w:ascii="仿宋" w:hAnsi="仿宋" w:eastAsia="仿宋" w:cs="仿宋"/>
          <w:color w:val="000000"/>
          <w:spacing w:val="2"/>
          <w:sz w:val="32"/>
          <w:szCs w:val="32"/>
        </w:rPr>
        <w:t>,其中财拔款决算收入</w:t>
      </w:r>
      <w:r>
        <w:rPr>
          <w:rFonts w:hint="eastAsia" w:ascii="仿宋" w:hAnsi="仿宋" w:eastAsia="仿宋" w:cs="仿宋"/>
          <w:color w:val="333333"/>
          <w:kern w:val="0"/>
          <w:sz w:val="32"/>
          <w:szCs w:val="32"/>
        </w:rPr>
        <w:t>99.84万元，</w:t>
      </w:r>
      <w:r>
        <w:rPr>
          <w:rFonts w:hint="eastAsia" w:ascii="仿宋" w:hAnsi="仿宋" w:eastAsia="仿宋" w:cs="仿宋"/>
          <w:color w:val="000000"/>
          <w:spacing w:val="2"/>
          <w:sz w:val="32"/>
          <w:szCs w:val="32"/>
        </w:rPr>
        <w:t>其它收入29.95万元, 2016年全年总支出</w:t>
      </w:r>
      <w:r>
        <w:rPr>
          <w:rFonts w:hint="eastAsia" w:ascii="仿宋" w:hAnsi="仿宋" w:eastAsia="仿宋" w:cs="仿宋"/>
          <w:color w:val="333333"/>
          <w:kern w:val="0"/>
          <w:sz w:val="32"/>
          <w:szCs w:val="32"/>
        </w:rPr>
        <w:t>142.07万元</w:t>
      </w:r>
      <w:r>
        <w:rPr>
          <w:rFonts w:hint="eastAsia" w:ascii="仿宋" w:hAnsi="仿宋" w:eastAsia="仿宋" w:cs="仿宋"/>
          <w:color w:val="000000"/>
          <w:spacing w:val="2"/>
          <w:sz w:val="32"/>
          <w:szCs w:val="32"/>
        </w:rPr>
        <w:t>,</w:t>
      </w:r>
      <w:r>
        <w:rPr>
          <w:rFonts w:hint="eastAsia" w:ascii="仿宋" w:hAnsi="仿宋" w:eastAsia="仿宋" w:cs="仿宋"/>
          <w:color w:val="333333"/>
          <w:kern w:val="0"/>
          <w:sz w:val="32"/>
          <w:szCs w:val="32"/>
        </w:rPr>
        <w:t>其中：工资福利支出63.55万元，占总支出的44.73%;商品和服务支出72.17万元，占总支出的50.80%;对个人和家庭的补助支出6.21万元，占总支出的4.37%;其他资本性支出0.14万元，占总支出的0.1%;</w:t>
      </w:r>
    </w:p>
    <w:p>
      <w:pPr>
        <w:widowControl/>
        <w:shd w:val="clear" w:color="auto" w:fill="FFFFFF"/>
        <w:snapToGrid w:val="0"/>
        <w:spacing w:line="560" w:lineRule="exact"/>
        <w:ind w:firstLine="643" w:firstLineChars="200"/>
        <w:jc w:val="left"/>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2、收入支出结构分析</w:t>
      </w:r>
    </w:p>
    <w:p>
      <w:pPr>
        <w:spacing w:line="560" w:lineRule="exact"/>
        <w:ind w:firstLine="648"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2017年全年总收入1569597.81元,其中财拔款决算收入1355384.71元(基本支出行政运行1355384.71元),其它收入214213.1元, 2017年全年总支出1563846.3元,其中财拔款决算支出1355384.71元(基本支出行政运行1355384.71元),其它资金支出208461.59元。</w:t>
      </w:r>
    </w:p>
    <w:p>
      <w:pPr>
        <w:widowControl/>
        <w:shd w:val="clear" w:color="auto" w:fill="FFFFFF"/>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2016年总支出为142.07万元。其中：工资福利支出63.55万元，占总支出的44.73%;商品和服务支出72.17万元，占总支出的50.80%;对个人和家庭的补助支出6.21万元，占总支出的4.37%;其他资本性支出0.14万元，占总支出的0.1%;</w:t>
      </w:r>
    </w:p>
    <w:p>
      <w:pPr>
        <w:widowControl/>
        <w:shd w:val="clear" w:color="auto" w:fill="FFFFFF"/>
        <w:spacing w:line="56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（二）关于“三公”经费支出说明</w:t>
      </w:r>
    </w:p>
    <w:p>
      <w:pPr>
        <w:pStyle w:val="9"/>
        <w:rPr>
          <w:rFonts w:hint="eastAsia" w:eastAsia="仿宋" w:cs="仿宋"/>
          <w:b/>
          <w:bCs/>
          <w:color w:val="000000"/>
          <w:spacing w:val="2"/>
        </w:rPr>
      </w:pPr>
      <w:r>
        <w:rPr>
          <w:rFonts w:hint="eastAsia" w:eastAsia="仿宋" w:cs="仿宋"/>
          <w:b/>
          <w:bCs/>
          <w:color w:val="000000"/>
          <w:spacing w:val="2"/>
        </w:rPr>
        <w:t>1、“三公”经费支出情况</w:t>
      </w:r>
    </w:p>
    <w:p>
      <w:pPr>
        <w:pStyle w:val="9"/>
        <w:rPr>
          <w:rFonts w:hint="eastAsia" w:eastAsia="仿宋" w:cs="仿宋"/>
        </w:rPr>
      </w:pPr>
      <w:r>
        <w:rPr>
          <w:rFonts w:hint="eastAsia" w:eastAsia="仿宋" w:cs="仿宋"/>
          <w:color w:val="000000"/>
          <w:spacing w:val="2"/>
        </w:rPr>
        <w:t>2017年决算公务车运行维护费0元， 2016年决算公务车运行维护费0元，2017年决算公务接待费为0元，2016年决算公务接待数为0万元。</w:t>
      </w:r>
    </w:p>
    <w:p>
      <w:pPr>
        <w:pStyle w:val="9"/>
        <w:rPr>
          <w:rFonts w:hint="eastAsia" w:eastAsia="仿宋" w:cs="仿宋"/>
          <w:b/>
          <w:bCs/>
          <w:color w:val="000000"/>
          <w:spacing w:val="2"/>
        </w:rPr>
      </w:pPr>
      <w:r>
        <w:rPr>
          <w:rFonts w:hint="eastAsia" w:eastAsia="仿宋" w:cs="仿宋"/>
          <w:b/>
          <w:bCs/>
          <w:color w:val="000000"/>
          <w:spacing w:val="2"/>
        </w:rPr>
        <w:t>2、会议费支出情况</w:t>
      </w:r>
    </w:p>
    <w:p>
      <w:pPr>
        <w:spacing w:line="560" w:lineRule="exact"/>
        <w:ind w:firstLine="648"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2017年决算会议费为0万元, 2016年决算会议费为0万元。</w:t>
      </w:r>
    </w:p>
    <w:p>
      <w:pPr>
        <w:spacing w:line="560" w:lineRule="exact"/>
        <w:ind w:firstLine="651" w:firstLineChars="200"/>
        <w:rPr>
          <w:rFonts w:hint="eastAsia" w:ascii="仿宋" w:hAnsi="仿宋" w:eastAsia="仿宋" w:cs="仿宋"/>
          <w:b/>
          <w:bCs/>
          <w:color w:val="000000"/>
          <w:spacing w:val="2"/>
          <w:sz w:val="32"/>
          <w:szCs w:val="32"/>
        </w:rPr>
      </w:pPr>
      <w:r>
        <w:rPr>
          <w:rFonts w:hint="eastAsia" w:ascii="仿宋" w:hAnsi="仿宋" w:eastAsia="仿宋" w:cs="仿宋"/>
          <w:b/>
          <w:bCs/>
          <w:color w:val="000000"/>
          <w:spacing w:val="2"/>
          <w:sz w:val="32"/>
          <w:szCs w:val="32"/>
        </w:rPr>
        <w:t>3、培训费支出情况</w:t>
      </w:r>
    </w:p>
    <w:p>
      <w:pPr>
        <w:pStyle w:val="3"/>
        <w:spacing w:line="560" w:lineRule="exact"/>
        <w:ind w:firstLine="648"/>
        <w:rPr>
          <w:rFonts w:hint="eastAsia" w:ascii="仿宋" w:hAnsi="仿宋" w:eastAsia="仿宋" w:cs="仿宋"/>
          <w:color w:val="000000"/>
          <w:spacing w:val="2"/>
          <w:szCs w:val="32"/>
        </w:rPr>
      </w:pPr>
      <w:r>
        <w:rPr>
          <w:rFonts w:hint="eastAsia" w:ascii="仿宋" w:hAnsi="仿宋" w:eastAsia="仿宋" w:cs="仿宋"/>
          <w:color w:val="000000"/>
          <w:spacing w:val="2"/>
          <w:szCs w:val="32"/>
        </w:rPr>
        <w:t>2017年决算培训费为600元，2016年决算培训费为0万元。</w:t>
      </w:r>
    </w:p>
    <w:p>
      <w:pPr>
        <w:pStyle w:val="3"/>
        <w:spacing w:line="560" w:lineRule="exact"/>
        <w:ind w:firstLine="0" w:firstLineChars="0"/>
        <w:rPr>
          <w:rFonts w:hint="eastAsia" w:ascii="仿宋" w:hAnsi="仿宋" w:eastAsia="仿宋" w:cs="仿宋"/>
          <w:color w:val="000000"/>
          <w:spacing w:val="2"/>
          <w:szCs w:val="32"/>
        </w:rPr>
      </w:pPr>
      <w:r>
        <w:rPr>
          <w:rFonts w:hint="eastAsia" w:ascii="仿宋" w:hAnsi="仿宋" w:eastAsia="仿宋" w:cs="仿宋"/>
          <w:color w:val="000000"/>
          <w:spacing w:val="2"/>
          <w:szCs w:val="32"/>
        </w:rPr>
        <w:t xml:space="preserve">  </w:t>
      </w:r>
      <w:r>
        <w:rPr>
          <w:rFonts w:hint="eastAsia" w:ascii="仿宋" w:hAnsi="仿宋" w:eastAsia="仿宋" w:cs="仿宋"/>
          <w:b/>
          <w:bCs/>
          <w:color w:val="000000"/>
          <w:spacing w:val="2"/>
          <w:szCs w:val="32"/>
        </w:rPr>
        <w:t xml:space="preserve">  4、差旅费支出情况</w:t>
      </w:r>
    </w:p>
    <w:p>
      <w:pPr>
        <w:pStyle w:val="3"/>
        <w:spacing w:line="560" w:lineRule="exact"/>
        <w:ind w:firstLine="648"/>
        <w:rPr>
          <w:rFonts w:hint="eastAsia" w:ascii="仿宋" w:hAnsi="仿宋" w:eastAsia="仿宋" w:cs="仿宋"/>
          <w:color w:val="000000"/>
          <w:spacing w:val="2"/>
          <w:szCs w:val="32"/>
        </w:rPr>
      </w:pPr>
      <w:r>
        <w:rPr>
          <w:rFonts w:hint="eastAsia" w:ascii="仿宋" w:hAnsi="仿宋" w:eastAsia="仿宋" w:cs="仿宋"/>
          <w:color w:val="000000"/>
          <w:spacing w:val="2"/>
          <w:szCs w:val="32"/>
        </w:rPr>
        <w:t xml:space="preserve">2017年决算差旅费为3000元，2016年决算差旅费为0元。 </w:t>
      </w:r>
    </w:p>
    <w:p>
      <w:pPr>
        <w:widowControl/>
        <w:shd w:val="clear" w:color="auto" w:fill="FFFFFF"/>
        <w:spacing w:line="560" w:lineRule="exact"/>
        <w:jc w:val="left"/>
        <w:rPr>
          <w:rFonts w:hint="eastAsia" w:ascii="仿宋_GB2312" w:eastAsia="仿宋_GB2312"/>
          <w:b/>
          <w:bCs/>
          <w:sz w:val="32"/>
          <w:szCs w:val="32"/>
        </w:rPr>
      </w:pPr>
      <w:r>
        <w:rPr>
          <w:rFonts w:hint="eastAsia" w:ascii="仿宋_GB2312" w:eastAsia="仿宋_GB2312"/>
          <w:b/>
          <w:bCs/>
          <w:sz w:val="32"/>
          <w:szCs w:val="32"/>
        </w:rPr>
        <w:t>　　</w:t>
      </w:r>
      <w:r>
        <w:rPr>
          <w:rFonts w:hint="eastAsia" w:ascii="楷体" w:hAnsi="楷体" w:eastAsia="楷体" w:cs="楷体"/>
          <w:b/>
          <w:bCs/>
          <w:sz w:val="32"/>
          <w:szCs w:val="32"/>
        </w:rPr>
        <w:t>（三）关于机关运行经费支出说明</w:t>
      </w:r>
    </w:p>
    <w:p>
      <w:pPr>
        <w:widowControl/>
        <w:shd w:val="clear" w:color="auto" w:fill="FFFFFF"/>
        <w:spacing w:line="560" w:lineRule="exact"/>
        <w:ind w:firstLine="648" w:firstLineChars="200"/>
        <w:jc w:val="left"/>
        <w:rPr>
          <w:rFonts w:hint="eastAsia" w:ascii="仿宋_GB2312" w:eastAsia="仿宋_GB2312"/>
          <w:sz w:val="32"/>
          <w:szCs w:val="32"/>
        </w:rPr>
      </w:pPr>
      <w:r>
        <w:rPr>
          <w:rFonts w:hint="eastAsia" w:ascii="仿宋" w:hAnsi="仿宋" w:eastAsia="仿宋" w:cs="仿宋"/>
          <w:color w:val="000000"/>
          <w:spacing w:val="2"/>
          <w:sz w:val="32"/>
          <w:szCs w:val="32"/>
        </w:rPr>
        <w:t>2017年全年总收入1569597.81元,其中财拔款决算收入1355384.71元(基本支出行政运行1355384.71元),其它收入214213.1元, 2017年全年总支出1563846.3元,其中财拔款决算支出</w:t>
      </w:r>
      <w:r>
        <w:rPr>
          <w:rFonts w:hint="eastAsia" w:ascii="仿宋" w:hAnsi="仿宋" w:eastAsia="仿宋" w:cs="仿宋"/>
          <w:color w:val="000000"/>
          <w:spacing w:val="2"/>
          <w:w w:val="90"/>
          <w:sz w:val="32"/>
          <w:szCs w:val="32"/>
        </w:rPr>
        <w:t>1355384.71</w:t>
      </w:r>
      <w:r>
        <w:rPr>
          <w:rFonts w:hint="eastAsia" w:ascii="仿宋" w:hAnsi="仿宋" w:eastAsia="仿宋" w:cs="仿宋"/>
          <w:color w:val="000000"/>
          <w:spacing w:val="2"/>
          <w:sz w:val="32"/>
          <w:szCs w:val="32"/>
        </w:rPr>
        <w:t>元(基本支出行政运行</w:t>
      </w:r>
      <w:r>
        <w:rPr>
          <w:rFonts w:hint="eastAsia" w:ascii="仿宋" w:hAnsi="仿宋" w:eastAsia="仿宋" w:cs="仿宋"/>
          <w:color w:val="000000"/>
          <w:spacing w:val="2"/>
          <w:w w:val="80"/>
          <w:sz w:val="32"/>
          <w:szCs w:val="32"/>
        </w:rPr>
        <w:t>1355384.71</w:t>
      </w:r>
      <w:r>
        <w:rPr>
          <w:rFonts w:hint="eastAsia" w:ascii="仿宋" w:hAnsi="仿宋" w:eastAsia="仿宋" w:cs="仿宋"/>
          <w:color w:val="000000"/>
          <w:spacing w:val="2"/>
          <w:sz w:val="32"/>
          <w:szCs w:val="32"/>
        </w:rPr>
        <w:t>元),其它资金支出</w:t>
      </w:r>
      <w:r>
        <w:rPr>
          <w:rFonts w:hint="eastAsia" w:ascii="仿宋" w:hAnsi="仿宋" w:eastAsia="仿宋" w:cs="仿宋"/>
          <w:color w:val="000000"/>
          <w:spacing w:val="2"/>
          <w:w w:val="80"/>
          <w:sz w:val="32"/>
          <w:szCs w:val="32"/>
        </w:rPr>
        <w:t>208461.59</w:t>
      </w:r>
      <w:r>
        <w:rPr>
          <w:rFonts w:hint="eastAsia" w:ascii="仿宋" w:hAnsi="仿宋" w:eastAsia="仿宋" w:cs="仿宋"/>
          <w:color w:val="000000"/>
          <w:spacing w:val="2"/>
          <w:sz w:val="32"/>
          <w:szCs w:val="32"/>
        </w:rPr>
        <w:t>元,2017年财政预算数</w:t>
      </w:r>
      <w:r>
        <w:rPr>
          <w:rFonts w:hint="eastAsia" w:ascii="仿宋" w:hAnsi="仿宋" w:eastAsia="仿宋" w:cs="仿宋"/>
          <w:color w:val="000000"/>
          <w:spacing w:val="2"/>
          <w:w w:val="80"/>
          <w:sz w:val="32"/>
          <w:szCs w:val="32"/>
        </w:rPr>
        <w:t>560040.28</w:t>
      </w:r>
      <w:r>
        <w:rPr>
          <w:rFonts w:hint="eastAsia" w:ascii="仿宋" w:hAnsi="仿宋" w:eastAsia="仿宋" w:cs="仿宋"/>
          <w:color w:val="000000"/>
          <w:spacing w:val="2"/>
          <w:sz w:val="32"/>
          <w:szCs w:val="32"/>
        </w:rPr>
        <w:t>元，财拔决算比预算多795344元。</w:t>
      </w:r>
      <w:r>
        <w:rPr>
          <w:rFonts w:hint="eastAsia" w:ascii="仿宋_GB2312" w:eastAsia="仿宋_GB2312"/>
          <w:sz w:val="32"/>
          <w:szCs w:val="32"/>
        </w:rPr>
        <w:t>　　</w:t>
      </w:r>
    </w:p>
    <w:p>
      <w:pPr>
        <w:widowControl/>
        <w:shd w:val="clear" w:color="auto" w:fill="FFFFFF"/>
        <w:spacing w:line="56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（四）关于政府采购支出说明</w:t>
      </w:r>
    </w:p>
    <w:p>
      <w:pPr>
        <w:widowControl/>
        <w:shd w:val="clear" w:color="auto" w:fill="FFFFFF"/>
        <w:spacing w:line="56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无政府采购支出情况。</w:t>
      </w:r>
    </w:p>
    <w:p>
      <w:pPr>
        <w:widowControl/>
        <w:shd w:val="clear" w:color="auto" w:fill="FFFFFF"/>
        <w:spacing w:line="560" w:lineRule="exact"/>
        <w:jc w:val="left"/>
        <w:rPr>
          <w:rFonts w:hint="eastAsia" w:ascii="仿宋_GB2312" w:eastAsia="仿宋_GB2312"/>
          <w:sz w:val="27"/>
          <w:szCs w:val="27"/>
        </w:rPr>
      </w:pPr>
      <w:r>
        <w:rPr>
          <w:rFonts w:hint="eastAsia" w:ascii="仿宋_GB2312" w:eastAsia="仿宋_GB2312"/>
          <w:sz w:val="27"/>
          <w:szCs w:val="27"/>
        </w:rPr>
        <w:t>　　</w:t>
      </w:r>
      <w:r>
        <w:rPr>
          <w:rFonts w:hint="eastAsia" w:ascii="楷体" w:hAnsi="楷体" w:eastAsia="楷体" w:cs="楷体"/>
          <w:b/>
          <w:bCs/>
          <w:sz w:val="32"/>
          <w:szCs w:val="32"/>
        </w:rPr>
        <w:t>（五）关于国有资产占用情况说明</w:t>
      </w:r>
    </w:p>
    <w:p>
      <w:pPr>
        <w:pStyle w:val="9"/>
        <w:rPr>
          <w:rFonts w:ascii="仿宋_GB2312" w:eastAsia="仿宋_GB2312"/>
          <w:sz w:val="27"/>
          <w:szCs w:val="27"/>
        </w:rPr>
      </w:pPr>
      <w:r>
        <w:rPr>
          <w:rFonts w:hint="eastAsia" w:ascii="仿宋_GB2312" w:hAnsi="Times New Roman" w:eastAsia="仿宋_GB2312" w:cs="Times New Roman"/>
        </w:rPr>
        <w:t>截至2017年12月31日，本单位共有车辆0辆，单位价值50万元以上通用设备0台（套），单价100万元以上专用设备0台（套）。</w:t>
      </w:r>
      <w:r>
        <w:rPr>
          <w:rFonts w:hint="eastAsia" w:ascii="仿宋_GB2312" w:eastAsia="仿宋_GB2312"/>
          <w:sz w:val="27"/>
          <w:szCs w:val="27"/>
        </w:rPr>
        <w:t>　</w:t>
      </w:r>
    </w:p>
    <w:p>
      <w:pPr>
        <w:pStyle w:val="5"/>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黄石港区安监局</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黄石港区安监局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黄石港区安监局</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黄石港区安监局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黄石港区安监局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黄石港区安监局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0157CA5"/>
    <w:rsid w:val="11411182"/>
    <w:rsid w:val="13FA6E94"/>
    <w:rsid w:val="1D3216D7"/>
    <w:rsid w:val="219E41B4"/>
    <w:rsid w:val="255E033E"/>
    <w:rsid w:val="27272230"/>
    <w:rsid w:val="27390172"/>
    <w:rsid w:val="2CCE2491"/>
    <w:rsid w:val="2F081AB6"/>
    <w:rsid w:val="401A2F36"/>
    <w:rsid w:val="408F5EDF"/>
    <w:rsid w:val="44064590"/>
    <w:rsid w:val="457D21A1"/>
    <w:rsid w:val="49D83A19"/>
    <w:rsid w:val="507C1CF5"/>
    <w:rsid w:val="57193076"/>
    <w:rsid w:val="61773BFF"/>
    <w:rsid w:val="621B3808"/>
    <w:rsid w:val="67E4782B"/>
    <w:rsid w:val="746766E2"/>
    <w:rsid w:val="74EA7B66"/>
    <w:rsid w:val="78186405"/>
    <w:rsid w:val="784C1E5B"/>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2019-02-27T11:31:57Z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