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450" w:lineRule="atLeast"/>
        <w:ind w:left="0" w:right="0" w:firstLine="0"/>
        <w:jc w:val="center"/>
        <w:rPr>
          <w:rFonts w:ascii="微软雅黑" w:hAnsi="微软雅黑" w:eastAsia="微软雅黑" w:cs="微软雅黑"/>
          <w:b/>
          <w:i w:val="0"/>
          <w:caps w:val="0"/>
          <w:color w:val="BC1010"/>
          <w:spacing w:val="0"/>
          <w:sz w:val="40"/>
          <w:szCs w:val="40"/>
        </w:rPr>
      </w:pPr>
      <w:r>
        <w:rPr>
          <w:rFonts w:hint="eastAsia" w:ascii="微软雅黑" w:hAnsi="微软雅黑" w:eastAsia="微软雅黑" w:cs="微软雅黑"/>
          <w:b/>
          <w:i w:val="0"/>
          <w:caps w:val="0"/>
          <w:color w:val="BC1010"/>
          <w:spacing w:val="0"/>
          <w:sz w:val="40"/>
          <w:szCs w:val="40"/>
          <w:shd w:val="clear" w:fill="FFFFFF"/>
          <w:lang w:eastAsia="zh-CN"/>
        </w:rPr>
        <w:t>应急局</w:t>
      </w:r>
      <w:r>
        <w:rPr>
          <w:rFonts w:hint="eastAsia" w:ascii="微软雅黑" w:hAnsi="微软雅黑" w:eastAsia="微软雅黑" w:cs="微软雅黑"/>
          <w:b/>
          <w:i w:val="0"/>
          <w:caps w:val="0"/>
          <w:color w:val="BC1010"/>
          <w:spacing w:val="0"/>
          <w:sz w:val="40"/>
          <w:szCs w:val="40"/>
          <w:shd w:val="clear" w:fill="FFFFFF"/>
        </w:rPr>
        <w:t>20</w:t>
      </w:r>
      <w:r>
        <w:rPr>
          <w:rFonts w:hint="eastAsia" w:ascii="微软雅黑" w:hAnsi="微软雅黑" w:eastAsia="微软雅黑" w:cs="微软雅黑"/>
          <w:b/>
          <w:i w:val="0"/>
          <w:caps w:val="0"/>
          <w:color w:val="BC1010"/>
          <w:spacing w:val="0"/>
          <w:sz w:val="40"/>
          <w:szCs w:val="40"/>
          <w:shd w:val="clear" w:fill="FFFFFF"/>
          <w:lang w:val="en-US" w:eastAsia="zh-CN"/>
        </w:rPr>
        <w:t>21</w:t>
      </w:r>
      <w:r>
        <w:rPr>
          <w:rFonts w:hint="eastAsia" w:ascii="微软雅黑" w:hAnsi="微软雅黑" w:eastAsia="微软雅黑" w:cs="微软雅黑"/>
          <w:b/>
          <w:i w:val="0"/>
          <w:caps w:val="0"/>
          <w:color w:val="BC1010"/>
          <w:spacing w:val="0"/>
          <w:sz w:val="40"/>
          <w:szCs w:val="40"/>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黄石港区应急管理局</w:t>
      </w:r>
      <w:r>
        <w:rPr>
          <w:rStyle w:val="7"/>
          <w:rFonts w:hint="eastAsia" w:ascii="微软雅黑" w:hAnsi="微软雅黑" w:eastAsia="微软雅黑" w:cs="微软雅黑"/>
          <w:i w:val="0"/>
          <w:caps w:val="0"/>
          <w:color w:val="333333"/>
          <w:spacing w:val="0"/>
          <w:sz w:val="24"/>
          <w:szCs w:val="24"/>
          <w:shd w:val="clear" w:fill="FFFFFF"/>
        </w:rPr>
        <w:t>20</w:t>
      </w:r>
      <w:r>
        <w:rPr>
          <w:rStyle w:val="7"/>
          <w:rFonts w:hint="eastAsia" w:ascii="微软雅黑" w:hAnsi="微软雅黑" w:eastAsia="微软雅黑" w:cs="微软雅黑"/>
          <w:i w:val="0"/>
          <w:caps w:val="0"/>
          <w:color w:val="333333"/>
          <w:spacing w:val="0"/>
          <w:sz w:val="24"/>
          <w:szCs w:val="24"/>
          <w:shd w:val="clear" w:fill="FFFFFF"/>
          <w:lang w:val="en-US" w:eastAsia="zh-CN"/>
        </w:rPr>
        <w:t>21</w:t>
      </w:r>
      <w:r>
        <w:rPr>
          <w:rStyle w:val="7"/>
          <w:rFonts w:hint="eastAsia" w:ascii="微软雅黑" w:hAnsi="微软雅黑" w:eastAsia="微软雅黑" w:cs="微软雅黑"/>
          <w:i w:val="0"/>
          <w:caps w:val="0"/>
          <w:color w:val="333333"/>
          <w:spacing w:val="0"/>
          <w:sz w:val="24"/>
          <w:szCs w:val="24"/>
          <w:shd w:val="clear" w:fill="FFFFFF"/>
        </w:rPr>
        <w:t>年决算公开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Fonts w:hint="eastAsia" w:ascii="微软雅黑" w:hAnsi="微软雅黑" w:eastAsia="微软雅黑" w:cs="微软雅黑"/>
          <w:b w:val="0"/>
          <w:i w:val="0"/>
          <w:caps w:val="0"/>
          <w:color w:val="333333"/>
          <w:spacing w:val="0"/>
          <w:sz w:val="24"/>
          <w:szCs w:val="24"/>
          <w:shd w:val="clear" w:fill="FFFFFF"/>
        </w:rPr>
        <w:t>目  录</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第一部分:部门基本情况</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一、部门主要职责</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二、部门决算单位构成</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第二部分: 部门20</w:t>
      </w:r>
      <w:r>
        <w:rPr>
          <w:rFonts w:hint="eastAsia" w:ascii="微软雅黑" w:hAnsi="微软雅黑" w:eastAsia="微软雅黑" w:cs="微软雅黑"/>
          <w:b w:val="0"/>
          <w:i w:val="0"/>
          <w:caps w:val="0"/>
          <w:color w:val="333333"/>
          <w:spacing w:val="0"/>
          <w:sz w:val="24"/>
          <w:szCs w:val="24"/>
          <w:shd w:val="clear" w:color="090000" w:fill="FFFFFF"/>
          <w:lang w:val="en-US" w:eastAsia="zh-CN"/>
        </w:rPr>
        <w:t>21</w:t>
      </w:r>
      <w:r>
        <w:rPr>
          <w:rFonts w:hint="eastAsia" w:ascii="微软雅黑" w:hAnsi="微软雅黑" w:eastAsia="微软雅黑" w:cs="微软雅黑"/>
          <w:b w:val="0"/>
          <w:i w:val="0"/>
          <w:caps w:val="0"/>
          <w:color w:val="333333"/>
          <w:spacing w:val="0"/>
          <w:sz w:val="24"/>
          <w:szCs w:val="24"/>
          <w:shd w:val="clear" w:color="090000" w:fill="FFFFFF"/>
        </w:rPr>
        <w:t>年部门决算表</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一、收入支出决算总表（表1）</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二、收入决算表（表2）</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三、支出决算表（表3）</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四、财政拨款收入支出决算总表（表4）</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五、一般公共预算财政拨款支出决算表（表5）</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六、一般公共预算财政拨款基本支出决算表（表6）</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r>
        <w:rPr>
          <w:rFonts w:hint="eastAsia" w:ascii="微软雅黑" w:hAnsi="微软雅黑" w:eastAsia="微软雅黑" w:cs="微软雅黑"/>
          <w:b w:val="0"/>
          <w:i w:val="0"/>
          <w:caps w:val="0"/>
          <w:color w:val="333333"/>
          <w:spacing w:val="0"/>
          <w:sz w:val="24"/>
          <w:szCs w:val="24"/>
          <w:shd w:val="clear" w:color="090000" w:fill="FFFFFF"/>
        </w:rPr>
        <w:t>七、一般公共预算财政拨款“三公”经费支出决算表（表7）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九、国有资本经营预算财政拨款支出决算表（表9）</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color="090000" w:fill="FFFFFF"/>
        </w:rPr>
      </w:pPr>
    </w:p>
    <w:p>
      <w:pPr>
        <w:pStyle w:val="4"/>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第三部分：202</w:t>
      </w:r>
      <w:r>
        <w:rPr>
          <w:rFonts w:hint="eastAsia" w:ascii="微软雅黑" w:hAnsi="微软雅黑" w:eastAsia="微软雅黑" w:cs="微软雅黑"/>
          <w:color w:val="333333"/>
          <w:shd w:val="clear" w:color="auto" w:fill="FFFFFF"/>
          <w:lang w:val="en-US" w:eastAsia="zh-CN"/>
        </w:rPr>
        <w:t>1</w:t>
      </w:r>
      <w:r>
        <w:rPr>
          <w:rFonts w:hint="eastAsia" w:ascii="微软雅黑" w:hAnsi="微软雅黑" w:eastAsia="微软雅黑" w:cs="微软雅黑"/>
          <w:color w:val="333333"/>
          <w:shd w:val="clear" w:color="auto" w:fill="FFFFFF"/>
        </w:rPr>
        <w:t>年部门决算情况说明</w:t>
      </w:r>
    </w:p>
    <w:p>
      <w:pPr>
        <w:pStyle w:val="4"/>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4"/>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4"/>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4"/>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4"/>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4"/>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w:t>
      </w:r>
      <w:r>
        <w:rPr>
          <w:rFonts w:hint="eastAsia" w:ascii="微软雅黑" w:hAnsi="微软雅黑" w:eastAsia="微软雅黑" w:cs="微软雅黑"/>
          <w:b w:val="0"/>
          <w:i w:val="0"/>
          <w:caps w:val="0"/>
          <w:color w:val="333333"/>
          <w:spacing w:val="0"/>
          <w:sz w:val="24"/>
          <w:szCs w:val="24"/>
          <w:shd w:val="clear" w:fill="FFFFFF"/>
          <w:lang w:eastAsia="zh-CN"/>
        </w:rPr>
        <w:t>、决算收支增减变化情况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color="080000" w:fill="FFFFFF"/>
        </w:rPr>
      </w:pP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Fonts w:hint="eastAsia" w:ascii="微软雅黑" w:hAnsi="微软雅黑" w:eastAsia="微软雅黑" w:cs="微软雅黑"/>
          <w:b w:val="0"/>
          <w:i w:val="0"/>
          <w:caps w:val="0"/>
          <w:color w:val="333333"/>
          <w:spacing w:val="0"/>
          <w:sz w:val="24"/>
          <w:szCs w:val="24"/>
          <w:shd w:val="clear" w:color="090000" w:fill="FFFFFF"/>
        </w:rPr>
        <w:t>第四部分：名词解释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rStyle w:val="7"/>
          <w:rFonts w:hint="eastAsia" w:ascii="微软雅黑" w:hAnsi="微软雅黑" w:eastAsia="微软雅黑" w:cs="微软雅黑"/>
          <w:i w:val="0"/>
          <w:caps w:val="0"/>
          <w:color w:val="333333"/>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center"/>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rPr>
        <w:t>20</w:t>
      </w:r>
      <w:r>
        <w:rPr>
          <w:rStyle w:val="7"/>
          <w:rFonts w:hint="eastAsia" w:ascii="微软雅黑" w:hAnsi="微软雅黑" w:eastAsia="微软雅黑" w:cs="微软雅黑"/>
          <w:i w:val="0"/>
          <w:caps w:val="0"/>
          <w:color w:val="333333"/>
          <w:spacing w:val="0"/>
          <w:sz w:val="24"/>
          <w:szCs w:val="24"/>
          <w:shd w:val="clear" w:fill="FFFFFF"/>
          <w:lang w:val="en-US" w:eastAsia="zh-CN"/>
        </w:rPr>
        <w:t>21</w:t>
      </w:r>
      <w:r>
        <w:rPr>
          <w:rStyle w:val="7"/>
          <w:rFonts w:hint="eastAsia" w:ascii="微软雅黑" w:hAnsi="微软雅黑" w:eastAsia="微软雅黑" w:cs="微软雅黑"/>
          <w:i w:val="0"/>
          <w:caps w:val="0"/>
          <w:color w:val="333333"/>
          <w:spacing w:val="0"/>
          <w:sz w:val="24"/>
          <w:szCs w:val="24"/>
          <w:shd w:val="clear" w:fill="FFFFFF"/>
        </w:rPr>
        <w:t>年部门决算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color w:val="333333"/>
          <w:sz w:val="24"/>
          <w:szCs w:val="24"/>
        </w:rPr>
      </w:pPr>
      <w:r>
        <w:rPr>
          <w:rStyle w:val="7"/>
          <w:rFonts w:hint="eastAsia" w:ascii="微软雅黑" w:hAnsi="微软雅黑" w:eastAsia="微软雅黑" w:cs="微软雅黑"/>
          <w:i w:val="0"/>
          <w:caps w:val="0"/>
          <w:color w:val="333333"/>
          <w:spacing w:val="0"/>
          <w:sz w:val="24"/>
          <w:szCs w:val="24"/>
          <w:shd w:val="clear" w:fill="FFFFFF"/>
          <w:lang w:eastAsia="zh-CN"/>
        </w:rPr>
        <w:t>第一部分</w:t>
      </w:r>
      <w:r>
        <w:rPr>
          <w:rStyle w:val="7"/>
          <w:rFonts w:hint="eastAsia" w:ascii="微软雅黑" w:hAnsi="微软雅黑" w:eastAsia="微软雅黑" w:cs="微软雅黑"/>
          <w:i w:val="0"/>
          <w:caps w:val="0"/>
          <w:color w:val="333333"/>
          <w:spacing w:val="0"/>
          <w:sz w:val="24"/>
          <w:szCs w:val="24"/>
          <w:shd w:val="clear" w:fill="FFFFFF"/>
          <w:lang w:val="en-US" w:eastAsia="zh-CN"/>
        </w:rPr>
        <w:t xml:space="preserve"> </w:t>
      </w:r>
      <w:r>
        <w:rPr>
          <w:rStyle w:val="7"/>
          <w:rFonts w:hint="eastAsia" w:ascii="微软雅黑" w:hAnsi="微软雅黑" w:eastAsia="微软雅黑" w:cs="微软雅黑"/>
          <w:i w:val="0"/>
          <w:caps w:val="0"/>
          <w:color w:val="333333"/>
          <w:spacing w:val="0"/>
          <w:sz w:val="24"/>
          <w:szCs w:val="24"/>
          <w:shd w:val="clear" w:fill="FFFFFF"/>
        </w:rPr>
        <w:t>部门概况</w:t>
      </w:r>
    </w:p>
    <w:p>
      <w:pPr>
        <w:numPr>
          <w:ilvl w:val="0"/>
          <w:numId w:val="1"/>
        </w:numPr>
        <w:snapToGrid w:val="0"/>
        <w:spacing w:line="520" w:lineRule="exact"/>
        <w:rPr>
          <w:rFonts w:hint="eastAsia" w:ascii="宋体" w:hAnsi="宋体"/>
          <w:b/>
          <w:bCs/>
          <w:sz w:val="28"/>
          <w:szCs w:val="28"/>
        </w:rPr>
      </w:pPr>
      <w:bookmarkStart w:id="0" w:name="YS060101"/>
      <w:r>
        <w:rPr>
          <w:rFonts w:hint="eastAsia" w:ascii="宋体" w:hAnsi="宋体"/>
          <w:b/>
          <w:bCs/>
          <w:sz w:val="28"/>
          <w:szCs w:val="28"/>
        </w:rPr>
        <w:t>部门（单位）情况</w:t>
      </w:r>
      <w:bookmarkEnd w:id="0"/>
    </w:p>
    <w:p>
      <w:pPr>
        <w:rPr>
          <w:rFonts w:hint="eastAsia" w:ascii="宋体" w:hAnsi="宋体" w:cs="仿宋"/>
          <w:sz w:val="28"/>
          <w:szCs w:val="28"/>
        </w:rPr>
      </w:pPr>
      <w:r>
        <w:rPr>
          <w:rFonts w:hint="eastAsia" w:ascii="宋体" w:hAnsi="宋体" w:cs="仿宋"/>
          <w:sz w:val="28"/>
          <w:szCs w:val="28"/>
        </w:rPr>
        <w:t>（一）基本情况</w:t>
      </w:r>
    </w:p>
    <w:p>
      <w:pPr>
        <w:rPr>
          <w:rFonts w:hint="eastAsia" w:ascii="宋体" w:hAnsi="宋体" w:cs="仿宋"/>
          <w:b/>
          <w:bCs/>
          <w:sz w:val="28"/>
          <w:szCs w:val="28"/>
        </w:rPr>
      </w:pPr>
      <w:r>
        <w:rPr>
          <w:rFonts w:hint="eastAsia" w:ascii="宋体" w:hAnsi="宋体" w:cs="仿宋"/>
          <w:b/>
          <w:bCs/>
          <w:sz w:val="28"/>
          <w:szCs w:val="28"/>
        </w:rPr>
        <w:t>1、主要职能：</w:t>
      </w:r>
    </w:p>
    <w:p>
      <w:pPr>
        <w:ind w:firstLine="560" w:firstLineChars="200"/>
        <w:rPr>
          <w:rFonts w:hint="eastAsia" w:ascii="宋体" w:hAnsi="宋体" w:cs="仿宋"/>
          <w:sz w:val="28"/>
          <w:szCs w:val="28"/>
        </w:rPr>
      </w:pPr>
      <w:r>
        <w:rPr>
          <w:rFonts w:hint="eastAsia" w:ascii="宋体" w:hAnsi="宋体" w:cs="仿宋"/>
          <w:sz w:val="28"/>
          <w:szCs w:val="28"/>
        </w:rPr>
        <w:t>（一）负责应急管理工作，指导江北管理区、各街道、各部门应对安全生产类、自然灾害类等突发事件和综合防灾减灾救灾工作。负责全区安全生产综合监督管理和工矿商贸行业安全生产监督管理工作。</w:t>
      </w:r>
    </w:p>
    <w:p>
      <w:pPr>
        <w:ind w:firstLine="420" w:firstLineChars="150"/>
        <w:rPr>
          <w:rFonts w:hint="eastAsia" w:ascii="宋体" w:hAnsi="宋体" w:cs="仿宋" w:eastAsiaTheme="minorEastAsia"/>
          <w:sz w:val="28"/>
          <w:szCs w:val="28"/>
          <w:lang w:eastAsia="zh-CN"/>
        </w:rPr>
      </w:pPr>
      <w:r>
        <w:rPr>
          <w:rFonts w:hint="eastAsia" w:ascii="宋体" w:hAnsi="宋体" w:cs="仿宋"/>
          <w:sz w:val="28"/>
          <w:szCs w:val="28"/>
        </w:rPr>
        <w:t>（二）拟订应急管理、安全生产等政策措施，组织编制全区应急体系建设、安全生产综合防灾减灾规划，组织制定相关规程和标准并监督实施。</w:t>
      </w:r>
    </w:p>
    <w:p>
      <w:pPr>
        <w:ind w:firstLine="420" w:firstLineChars="150"/>
        <w:rPr>
          <w:rFonts w:hint="eastAsia" w:ascii="宋体" w:hAnsi="宋体" w:cs="仿宋" w:eastAsiaTheme="minorEastAsia"/>
          <w:sz w:val="28"/>
          <w:szCs w:val="28"/>
          <w:lang w:eastAsia="zh-CN"/>
        </w:rPr>
      </w:pPr>
      <w:r>
        <w:rPr>
          <w:rFonts w:hint="eastAsia" w:ascii="宋体" w:hAnsi="宋体" w:cs="仿宋"/>
          <w:sz w:val="28"/>
          <w:szCs w:val="28"/>
        </w:rPr>
        <w:t xml:space="preserve">    （三）指导全区应急预案体系建设，建立完善事故灾难和自然灾害分级应对制度，组织编制总体应急预案和安全生产类、自然灾害类专项预案，综合协调应急预案街接工作，组织开展预案演练，推动应急避难设施建设。</w:t>
      </w:r>
    </w:p>
    <w:p>
      <w:pPr>
        <w:ind w:firstLine="420" w:firstLineChars="150"/>
        <w:rPr>
          <w:rFonts w:hint="eastAsia" w:ascii="宋体" w:hAnsi="宋体" w:cs="仿宋" w:eastAsiaTheme="minorEastAsia"/>
          <w:sz w:val="28"/>
          <w:szCs w:val="28"/>
          <w:lang w:eastAsia="zh-CN"/>
        </w:rPr>
      </w:pPr>
      <w:r>
        <w:rPr>
          <w:rFonts w:hint="eastAsia" w:ascii="宋体" w:hAnsi="宋体" w:cs="仿宋"/>
          <w:sz w:val="28"/>
          <w:szCs w:val="28"/>
        </w:rPr>
        <w:t xml:space="preserve">    （四）组织指导协调森林火灾、水旱灾害、地震等工作。负责自然灾害综合预警工作，指导开展自然灾害综合风险评估工作。协助上级组织较大灾害应急处置工作。</w:t>
      </w:r>
    </w:p>
    <w:p>
      <w:pPr>
        <w:ind w:firstLine="420" w:firstLineChars="150"/>
        <w:rPr>
          <w:rFonts w:hint="eastAsia" w:ascii="宋体" w:hAnsi="宋体" w:cs="仿宋" w:eastAsiaTheme="minorEastAsia"/>
          <w:sz w:val="28"/>
          <w:szCs w:val="28"/>
          <w:lang w:eastAsia="zh-CN"/>
        </w:rPr>
      </w:pPr>
      <w:r>
        <w:rPr>
          <w:rFonts w:hint="eastAsia" w:ascii="宋体" w:hAnsi="宋体" w:cs="仿宋"/>
          <w:sz w:val="28"/>
          <w:szCs w:val="28"/>
        </w:rPr>
        <w:t xml:space="preserve">    （五）组织协调灾害救助工作，组织指导灾情核查、损失评估、救灾捐赠工作，管理、分配救灾款物并监督使用。</w:t>
      </w:r>
    </w:p>
    <w:p>
      <w:pPr>
        <w:ind w:firstLine="420" w:firstLineChars="150"/>
        <w:rPr>
          <w:rFonts w:hint="eastAsia" w:ascii="宋体" w:hAnsi="宋体" w:cs="仿宋" w:eastAsiaTheme="minorEastAsia"/>
          <w:sz w:val="28"/>
          <w:szCs w:val="28"/>
          <w:lang w:eastAsia="zh-CN"/>
        </w:rPr>
      </w:pPr>
      <w:r>
        <w:rPr>
          <w:rFonts w:hint="eastAsia" w:ascii="宋体" w:hAnsi="宋体" w:cs="仿宋"/>
          <w:sz w:val="28"/>
          <w:szCs w:val="28"/>
        </w:rPr>
        <w:t xml:space="preserve">    （六）依法行使安全生产综合监督管理职权，指导协调、监督检查安全生产工作，组织开展安全生产巡查、考核工作。</w:t>
      </w:r>
    </w:p>
    <w:p>
      <w:pPr>
        <w:ind w:firstLine="420" w:firstLineChars="150"/>
        <w:rPr>
          <w:rFonts w:hint="eastAsia" w:ascii="宋体" w:hAnsi="宋体" w:cs="仿宋" w:eastAsiaTheme="minorEastAsia"/>
          <w:sz w:val="28"/>
          <w:szCs w:val="28"/>
          <w:lang w:eastAsia="zh-CN"/>
        </w:rPr>
      </w:pPr>
      <w:r>
        <w:rPr>
          <w:rFonts w:hint="eastAsia" w:ascii="宋体" w:hAnsi="宋体" w:cs="仿宋"/>
          <w:sz w:val="28"/>
          <w:szCs w:val="28"/>
        </w:rPr>
        <w:t xml:space="preserve">    （七）依法监督检查全区工矿商贸生产经营单位贯彻执行安全生产法律法规情况及其安全生产条件和有关设备(特种设备除外)、劳动防护用品的安全生产管理工作。依法组织并指导监督实施安全生产准入制度。负责危险化学品安全监督管理综合工作。</w:t>
      </w:r>
    </w:p>
    <w:p>
      <w:pPr>
        <w:ind w:firstLine="420" w:firstLineChars="150"/>
        <w:rPr>
          <w:rFonts w:hint="eastAsia" w:ascii="宋体" w:hAnsi="宋体" w:cs="仿宋"/>
          <w:sz w:val="28"/>
          <w:szCs w:val="28"/>
        </w:rPr>
      </w:pPr>
      <w:r>
        <w:rPr>
          <w:rFonts w:hint="eastAsia" w:ascii="宋体" w:hAnsi="宋体" w:cs="仿宋"/>
          <w:sz w:val="28"/>
          <w:szCs w:val="28"/>
        </w:rPr>
        <w:t xml:space="preserve">    （八）依法组织生产安全事故调查处理，监督事故查处和责任追究落实情况。组织开展自然灾害类突发事件的调查评估工作。</w:t>
      </w:r>
    </w:p>
    <w:p>
      <w:pPr>
        <w:ind w:firstLine="560" w:firstLineChars="200"/>
        <w:rPr>
          <w:rFonts w:hint="eastAsia" w:ascii="宋体" w:hAnsi="宋体" w:cs="仿宋" w:eastAsiaTheme="minorEastAsia"/>
          <w:sz w:val="28"/>
          <w:szCs w:val="28"/>
          <w:lang w:eastAsia="zh-CN"/>
        </w:rPr>
      </w:pPr>
      <w:r>
        <w:rPr>
          <w:rFonts w:hint="eastAsia" w:ascii="宋体" w:hAnsi="宋体" w:cs="仿宋"/>
          <w:sz w:val="28"/>
          <w:szCs w:val="28"/>
        </w:rPr>
        <w:t>（九）负责应急管理、安全生产宣传教育和培训工作，指导开展应急救援综合演练。</w:t>
      </w:r>
    </w:p>
    <w:p>
      <w:pPr>
        <w:ind w:firstLine="560" w:firstLineChars="200"/>
        <w:rPr>
          <w:rFonts w:hint="eastAsia" w:ascii="宋体" w:hAnsi="宋体" w:cs="仿宋" w:eastAsiaTheme="minorEastAsia"/>
          <w:sz w:val="28"/>
          <w:szCs w:val="28"/>
          <w:lang w:eastAsia="zh-CN"/>
        </w:rPr>
      </w:pPr>
      <w:r>
        <w:rPr>
          <w:rFonts w:hint="eastAsia" w:ascii="宋体" w:hAnsi="宋体" w:cs="仿宋"/>
          <w:sz w:val="28"/>
          <w:szCs w:val="28"/>
        </w:rPr>
        <w:t xml:space="preserve">    （十）承担全区自然灾害和事故灾难应急、安全生产、减灾救灾等议事协调和指挥机构的日常工作。</w:t>
      </w:r>
    </w:p>
    <w:p>
      <w:pPr>
        <w:ind w:firstLine="560" w:firstLineChars="200"/>
        <w:rPr>
          <w:rFonts w:hint="eastAsia" w:ascii="宋体" w:hAnsi="宋体" w:cs="仿宋" w:eastAsiaTheme="minorEastAsia"/>
          <w:sz w:val="28"/>
          <w:szCs w:val="28"/>
          <w:lang w:eastAsia="zh-CN"/>
        </w:rPr>
      </w:pPr>
      <w:r>
        <w:rPr>
          <w:rFonts w:hint="eastAsia" w:ascii="宋体" w:hAnsi="宋体" w:cs="仿宋"/>
          <w:sz w:val="28"/>
          <w:szCs w:val="28"/>
        </w:rPr>
        <w:t xml:space="preserve">    （十一）完成上级交办的其他任务。</w:t>
      </w:r>
    </w:p>
    <w:p>
      <w:pPr>
        <w:ind w:firstLine="560" w:firstLineChars="200"/>
        <w:rPr>
          <w:rFonts w:hint="eastAsia" w:ascii="宋体" w:hAnsi="宋体" w:cs="仿宋" w:eastAsiaTheme="minorEastAsia"/>
          <w:sz w:val="28"/>
          <w:szCs w:val="28"/>
          <w:lang w:eastAsia="zh-CN"/>
        </w:rPr>
      </w:pPr>
      <w:r>
        <w:rPr>
          <w:rFonts w:hint="eastAsia" w:ascii="宋体" w:hAnsi="宋体" w:cs="仿宋"/>
          <w:sz w:val="28"/>
          <w:szCs w:val="28"/>
        </w:rPr>
        <w:t xml:space="preserve">    （十二）职能转变:将原区安全生产监督管理局的职责，区人民政府办公室的应急管理职责，区民政局的教灾职责、原区建设管理局的水旱灾害防治、森林防火、震灾应急救援职责以及区防汛抗旱指挥部、区森林防火指挥部的职责整合，划入区应急管理局。</w:t>
      </w:r>
    </w:p>
    <w:p>
      <w:pPr>
        <w:ind w:firstLine="560" w:firstLineChars="200"/>
        <w:rPr>
          <w:rFonts w:hint="eastAsia" w:ascii="宋体" w:hAnsi="宋体" w:cs="仿宋" w:eastAsiaTheme="minorEastAsia"/>
          <w:sz w:val="28"/>
          <w:szCs w:val="28"/>
          <w:lang w:eastAsia="zh-CN"/>
        </w:rPr>
      </w:pPr>
      <w:r>
        <w:rPr>
          <w:rFonts w:hint="eastAsia" w:ascii="宋体" w:hAnsi="宋体" w:cs="仿宋"/>
          <w:sz w:val="28"/>
          <w:szCs w:val="28"/>
        </w:rPr>
        <w:t xml:space="preserve">    (十三)有关职责分工:</w:t>
      </w:r>
    </w:p>
    <w:p>
      <w:pPr>
        <w:ind w:firstLine="560" w:firstLineChars="200"/>
        <w:rPr>
          <w:rFonts w:hint="eastAsia" w:ascii="宋体" w:hAnsi="宋体" w:cs="仿宋" w:eastAsiaTheme="minorEastAsia"/>
          <w:sz w:val="28"/>
          <w:szCs w:val="28"/>
          <w:lang w:eastAsia="zh-CN"/>
        </w:rPr>
      </w:pPr>
      <w:r>
        <w:rPr>
          <w:rFonts w:hint="eastAsia" w:ascii="宋体" w:hAnsi="宋体" w:cs="仿宋"/>
          <w:sz w:val="28"/>
          <w:szCs w:val="28"/>
        </w:rPr>
        <w:t xml:space="preserve">    与黄石市自然资源和规划局黄石港分局、黄石港区水利和湖泊局等部门在自然灾害防救方面的职责分工。</w:t>
      </w:r>
    </w:p>
    <w:p>
      <w:pPr>
        <w:ind w:firstLine="560" w:firstLineChars="200"/>
        <w:rPr>
          <w:rFonts w:hint="eastAsia" w:ascii="宋体" w:hAnsi="宋体" w:cs="仿宋" w:eastAsiaTheme="minorEastAsia"/>
          <w:sz w:val="28"/>
          <w:szCs w:val="28"/>
          <w:lang w:eastAsia="zh-CN"/>
        </w:rPr>
      </w:pPr>
      <w:r>
        <w:rPr>
          <w:rFonts w:hint="eastAsia" w:ascii="宋体" w:hAnsi="宋体" w:cs="仿宋"/>
          <w:sz w:val="28"/>
          <w:szCs w:val="28"/>
        </w:rPr>
        <w:t xml:space="preserve">    1、区应急管理局负责组织编制全区总体应急预案和安全生产类、自然灾害类专项预案，综合协调应急预案衔接工作，组织开展预案演练。按照分级负责的原则，指导自然灾害类应急救援;组织协调辖区内较大灾害应急救援工作，并按权限作出决定;协助上级组织重大以上灾害应急处置工作，组织编制全区综合防灾减灾规划，指导协调相关部门森林火灾、水旱灾害、地震和地质灾害等防治工作，会同自然资源和规划局黄石港分局、区水利和湖泊局、区人防办等有关部门建立统一的应急管理信息平台，建立监测预警和灾情报告制度，健全自然灾害信息资源获取和共享机制，依法统一发布灾情。开展多灾种和灾害链综合监测预警，指导开展自然灾害综合风险评估。负贲森林火情监测预警工作，发布森林火灾信息。</w:t>
      </w:r>
    </w:p>
    <w:p>
      <w:pPr>
        <w:ind w:firstLine="560" w:firstLineChars="200"/>
        <w:rPr>
          <w:rFonts w:hint="eastAsia" w:ascii="宋体" w:hAnsi="宋体" w:cs="仿宋" w:eastAsiaTheme="minorEastAsia"/>
          <w:sz w:val="28"/>
          <w:szCs w:val="28"/>
          <w:lang w:eastAsia="zh-CN"/>
        </w:rPr>
      </w:pPr>
      <w:r>
        <w:rPr>
          <w:rFonts w:hint="eastAsia" w:ascii="宋体" w:hAnsi="宋体" w:cs="仿宋"/>
          <w:sz w:val="28"/>
          <w:szCs w:val="28"/>
        </w:rPr>
        <w:t xml:space="preserve">    2、自然资源和规划局黄石港分局负贲落实区综合防灾减灾规划相关要求， 组织编制地质灾害防治和森林火灾规划和防护标准并指导实施;组织指导协调和监督地质灾害调查评价及隐患的普查、详查、排查;指导开展群测群防、专业监测和预报预警等工作，指导开展地质灾害工程治理工作，承担地质灾害应急救授的技术支撑工作;指导开展防火巡护、火源管理、防火设施建设、防火宣传、监测预警、督促检查等工作。</w:t>
      </w:r>
    </w:p>
    <w:p>
      <w:pPr>
        <w:ind w:firstLine="560" w:firstLineChars="200"/>
        <w:rPr>
          <w:rFonts w:hint="eastAsia" w:ascii="宋体" w:hAnsi="宋体" w:cs="仿宋" w:eastAsiaTheme="minorEastAsia"/>
          <w:sz w:val="28"/>
          <w:szCs w:val="28"/>
          <w:lang w:eastAsia="zh-CN"/>
        </w:rPr>
      </w:pPr>
      <w:r>
        <w:rPr>
          <w:rFonts w:hint="eastAsia" w:ascii="宋体" w:hAnsi="宋体" w:cs="仿宋"/>
          <w:sz w:val="28"/>
          <w:szCs w:val="28"/>
        </w:rPr>
        <w:t xml:space="preserve">    3、区水利和湖泊局负贵落实全区综合防史减灾规划相关要求，组织编制洪水干旱灾害防治规划和防护标准并指导实施;承担水情旱情监测预警工作;组织编制重要江河湖泊和重要水工程的防御洪水抗御旱灾调度和应急水量调度方案，按程序报批并组织实施;承担防御洪水应急抢险的技术支撑工作;承担台风防御等极端天气期间重要水工程调度工作。</w:t>
      </w:r>
    </w:p>
    <w:p>
      <w:pPr>
        <w:ind w:firstLine="560" w:firstLineChars="200"/>
        <w:rPr>
          <w:rFonts w:hint="eastAsia" w:ascii="宋体" w:hAnsi="宋体" w:cs="仿宋"/>
          <w:sz w:val="28"/>
          <w:szCs w:val="28"/>
        </w:rPr>
      </w:pPr>
      <w:r>
        <w:rPr>
          <w:rFonts w:hint="eastAsia" w:ascii="宋体" w:hAnsi="宋体" w:cs="仿宋"/>
          <w:sz w:val="28"/>
          <w:szCs w:val="28"/>
        </w:rPr>
        <w:t xml:space="preserve">    4、必要时，自然资源和规划局黄石港分局、区水利和湖泊局可以提请区应急管理局，以区应急指挥机构名义部署相关防治工作。</w:t>
      </w:r>
    </w:p>
    <w:p>
      <w:pPr>
        <w:ind w:firstLine="560" w:firstLineChars="200"/>
        <w:rPr>
          <w:rFonts w:hint="eastAsia" w:ascii="宋体" w:hAnsi="宋体" w:cs="仿宋" w:eastAsiaTheme="minorEastAsia"/>
          <w:sz w:val="28"/>
          <w:szCs w:val="28"/>
          <w:lang w:eastAsia="zh-CN"/>
        </w:rPr>
      </w:pPr>
      <w:r>
        <w:rPr>
          <w:rFonts w:hint="eastAsia" w:ascii="宋体" w:hAnsi="宋体" w:cs="仿宋"/>
          <w:sz w:val="28"/>
          <w:szCs w:val="28"/>
        </w:rPr>
        <w:t>5、辖区各流域防汛抗旱指挥机构负责落实全区应急指挥机构以及区水利和湖泊局防汛抗旱的有关要求，执行全区应急指挥机构指令。</w:t>
      </w:r>
    </w:p>
    <w:p>
      <w:pPr>
        <w:ind w:firstLine="560" w:firstLineChars="200"/>
        <w:rPr>
          <w:rFonts w:hint="eastAsia" w:ascii="宋体" w:hAnsi="宋体" w:cs="仿宋"/>
          <w:sz w:val="28"/>
          <w:szCs w:val="28"/>
        </w:rPr>
      </w:pPr>
      <w:r>
        <w:rPr>
          <w:rFonts w:hint="eastAsia" w:ascii="宋体" w:hAnsi="宋体" w:cs="仿宋"/>
          <w:sz w:val="28"/>
          <w:szCs w:val="28"/>
        </w:rPr>
        <w:t xml:space="preserve">    6、区级其他有关部门</w:t>
      </w:r>
      <w:r>
        <w:rPr>
          <w:rFonts w:hint="eastAsia" w:ascii="宋体" w:hAnsi="宋体" w:cs="仿宋"/>
          <w:sz w:val="28"/>
          <w:szCs w:val="28"/>
          <w:lang w:eastAsia="zh-CN"/>
        </w:rPr>
        <w:t>负责</w:t>
      </w:r>
      <w:r>
        <w:rPr>
          <w:rFonts w:hint="eastAsia" w:ascii="宋体" w:hAnsi="宋体" w:cs="仿宋"/>
          <w:sz w:val="28"/>
          <w:szCs w:val="28"/>
        </w:rPr>
        <w:t>落实全区综合防灾减灾规划相关要求，按照全区总体应急预案和安全生产类、自然灾害类专项预案的职责分工，执行区应急指挥机构指令。</w:t>
      </w:r>
    </w:p>
    <w:p>
      <w:pPr>
        <w:ind w:firstLine="562" w:firstLineChars="200"/>
        <w:rPr>
          <w:rFonts w:hint="eastAsia" w:ascii="宋体" w:hAnsi="宋体" w:cs="仿宋"/>
          <w:b/>
          <w:bCs/>
          <w:sz w:val="28"/>
          <w:szCs w:val="28"/>
        </w:rPr>
      </w:pPr>
      <w:r>
        <w:rPr>
          <w:rFonts w:hint="eastAsia" w:ascii="宋体" w:hAnsi="宋体" w:cs="仿宋"/>
          <w:b/>
          <w:bCs/>
          <w:sz w:val="28"/>
          <w:szCs w:val="28"/>
        </w:rPr>
        <w:t>2、机构情况：</w:t>
      </w:r>
    </w:p>
    <w:p>
      <w:pPr>
        <w:ind w:firstLine="560" w:firstLineChars="200"/>
        <w:rPr>
          <w:rFonts w:hint="eastAsia" w:ascii="宋体" w:hAnsi="宋体" w:cs="仿宋"/>
          <w:sz w:val="28"/>
          <w:szCs w:val="28"/>
        </w:rPr>
      </w:pPr>
      <w:r>
        <w:rPr>
          <w:rFonts w:hint="eastAsia" w:ascii="宋体" w:hAnsi="宋体" w:cs="仿宋"/>
          <w:sz w:val="28"/>
          <w:szCs w:val="28"/>
        </w:rPr>
        <w:t>2005年3月3日，黄石港区安全生产监督管理局从于黄石港区经济发展局合署办公中独立出来，调整为区政府工作部门，与区安全生产委员会办公室合署办公，为正科级行政单位。</w:t>
      </w:r>
    </w:p>
    <w:p>
      <w:pPr>
        <w:ind w:firstLine="640"/>
        <w:rPr>
          <w:rFonts w:hint="eastAsia" w:ascii="宋体" w:hAnsi="宋体" w:cs="仿宋"/>
          <w:sz w:val="28"/>
          <w:szCs w:val="28"/>
        </w:rPr>
      </w:pPr>
      <w:r>
        <w:rPr>
          <w:rFonts w:hint="eastAsia" w:ascii="宋体" w:hAnsi="宋体" w:cs="仿宋"/>
          <w:sz w:val="28"/>
          <w:szCs w:val="28"/>
        </w:rPr>
        <w:t>2021年3月，因机构改革，原黄石港区安全生产监督管理局更名为黄石市黄石港区应急管理局，黄石港区安全生产监督管理大队更名为黄石港区安全生产执法监察大队，为区应急管理局所属相当副科级事业单位。</w:t>
      </w:r>
    </w:p>
    <w:p>
      <w:pPr>
        <w:ind w:firstLine="640"/>
        <w:rPr>
          <w:rFonts w:hint="eastAsia" w:ascii="宋体" w:hAnsi="宋体" w:cs="仿宋"/>
          <w:b/>
          <w:bCs/>
          <w:sz w:val="28"/>
          <w:szCs w:val="28"/>
        </w:rPr>
      </w:pPr>
      <w:r>
        <w:rPr>
          <w:rFonts w:hint="eastAsia" w:ascii="宋体" w:hAnsi="宋体" w:cs="仿宋"/>
          <w:b/>
          <w:bCs/>
          <w:sz w:val="28"/>
          <w:szCs w:val="28"/>
        </w:rPr>
        <w:t>3、人员情况：</w:t>
      </w:r>
    </w:p>
    <w:p>
      <w:pPr>
        <w:ind w:firstLine="640"/>
        <w:rPr>
          <w:rFonts w:hint="eastAsia" w:ascii="宋体" w:hAnsi="宋体" w:cs="仿宋"/>
          <w:sz w:val="28"/>
          <w:szCs w:val="28"/>
        </w:rPr>
      </w:pPr>
      <w:r>
        <w:rPr>
          <w:rFonts w:hint="eastAsia" w:ascii="宋体" w:hAnsi="宋体" w:cs="仿宋"/>
          <w:sz w:val="28"/>
          <w:szCs w:val="28"/>
        </w:rPr>
        <w:t>黄石市黄石港区应急管理局，定编3名，其中兼职1人，行政编制和事业编制各1名。机构改革后，黄石市黄石港区应急管理局编制数为5名，行政编制2名，事业编制3名。</w:t>
      </w:r>
    </w:p>
    <w:p>
      <w:pPr>
        <w:spacing w:line="560" w:lineRule="exact"/>
        <w:ind w:firstLine="560" w:firstLineChars="200"/>
        <w:rPr>
          <w:rFonts w:hint="default" w:asciiTheme="minorEastAsia" w:hAnsiTheme="minorEastAsia" w:eastAsiaTheme="minorEastAsia" w:cstheme="minorEastAsia"/>
          <w:b w:val="0"/>
          <w:i w:val="0"/>
          <w:caps w:val="0"/>
          <w:color w:val="000000"/>
          <w:spacing w:val="0"/>
          <w:sz w:val="28"/>
          <w:szCs w:val="28"/>
          <w:shd w:val="clear" w:color="auto" w:fill="auto"/>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eastAsia="zh-CN"/>
        </w:rPr>
        <w:sectPr>
          <w:pgSz w:w="16838" w:h="11906" w:orient="landscape"/>
          <w:pgMar w:top="1803" w:right="1440" w:bottom="1803" w:left="1440" w:header="851" w:footer="992" w:gutter="0"/>
          <w:cols w:space="0" w:num="1"/>
          <w:rtlGutter w:val="0"/>
          <w:docGrid w:type="lines" w:linePitch="319" w:charSpace="0"/>
        </w:sect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450" w:lineRule="atLeast"/>
        <w:ind w:right="0" w:rightChars="0"/>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eastAsia="zh-CN"/>
        </w:rPr>
        <w:t>第二部分：部门</w:t>
      </w:r>
      <w:r>
        <w:rPr>
          <w:rFonts w:hint="eastAsia" w:ascii="微软雅黑" w:hAnsi="微软雅黑" w:eastAsia="微软雅黑" w:cs="微软雅黑"/>
          <w:b/>
          <w:bCs/>
          <w:lang w:val="en-US" w:eastAsia="zh-CN"/>
        </w:rPr>
        <w:t>2021年部门决算表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tbl>
      <w:tblPr>
        <w:tblStyle w:val="5"/>
        <w:tblW w:w="1798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9"/>
        <w:gridCol w:w="339"/>
        <w:gridCol w:w="339"/>
        <w:gridCol w:w="1982"/>
        <w:gridCol w:w="573"/>
        <w:gridCol w:w="133"/>
        <w:gridCol w:w="187"/>
        <w:gridCol w:w="507"/>
        <w:gridCol w:w="93"/>
        <w:gridCol w:w="133"/>
        <w:gridCol w:w="426"/>
        <w:gridCol w:w="494"/>
        <w:gridCol w:w="334"/>
        <w:gridCol w:w="93"/>
        <w:gridCol w:w="1120"/>
        <w:gridCol w:w="269"/>
        <w:gridCol w:w="251"/>
        <w:gridCol w:w="240"/>
        <w:gridCol w:w="800"/>
        <w:gridCol w:w="27"/>
        <w:gridCol w:w="346"/>
        <w:gridCol w:w="547"/>
        <w:gridCol w:w="99"/>
        <w:gridCol w:w="261"/>
        <w:gridCol w:w="613"/>
        <w:gridCol w:w="134"/>
        <w:gridCol w:w="309"/>
        <w:gridCol w:w="651"/>
        <w:gridCol w:w="200"/>
        <w:gridCol w:w="320"/>
        <w:gridCol w:w="1061"/>
        <w:gridCol w:w="672"/>
        <w:gridCol w:w="614"/>
        <w:gridCol w:w="26"/>
        <w:gridCol w:w="416"/>
        <w:gridCol w:w="91"/>
        <w:gridCol w:w="2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75" w:hRule="atLeast"/>
        </w:trPr>
        <w:tc>
          <w:tcPr>
            <w:tcW w:w="3572"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360" w:type="dxa"/>
            <w:gridSpan w:val="1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c>
          <w:tcPr>
            <w:tcW w:w="1707"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67"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20"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80"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960" w:type="dxa"/>
            <w:gridSpan w:val="10"/>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07"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67" w:type="dxa"/>
            <w:gridSpan w:val="5"/>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920"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80" w:type="dxa"/>
            <w:gridSpan w:val="5"/>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2021年度</w:t>
            </w:r>
          </w:p>
        </w:tc>
        <w:tc>
          <w:tcPr>
            <w:tcW w:w="3960" w:type="dxa"/>
            <w:gridSpan w:val="10"/>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07"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867" w:type="dxa"/>
            <w:gridSpan w:val="5"/>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5972" w:type="dxa"/>
            <w:gridSpan w:val="1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8534" w:type="dxa"/>
            <w:gridSpan w:val="19"/>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48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2867"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920" w:type="dxa"/>
            <w:gridSpan w:val="4"/>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8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707" w:type="dxa"/>
            <w:gridSpan w:val="4"/>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867"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216.90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53.63</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270.54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270.54</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270.54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0.95</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80"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60" w:type="dxa"/>
            <w:gridSpan w:val="10"/>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2867" w:type="dxa"/>
            <w:gridSpan w:val="5"/>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3572"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920" w:type="dxa"/>
            <w:gridSpan w:val="4"/>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271.49</w:t>
            </w:r>
          </w:p>
        </w:tc>
        <w:tc>
          <w:tcPr>
            <w:tcW w:w="396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70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286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271.49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14506" w:type="dxa"/>
            <w:gridSpan w:val="33"/>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4"/>
          <w:wAfter w:w="3481" w:type="dxa"/>
          <w:trHeight w:val="300" w:hRule="atLeast"/>
        </w:trPr>
        <w:tc>
          <w:tcPr>
            <w:tcW w:w="14506" w:type="dxa"/>
            <w:gridSpan w:val="3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48" w:type="dxa"/>
          <w:trHeight w:val="375" w:hRule="atLeast"/>
        </w:trPr>
        <w:tc>
          <w:tcPr>
            <w:tcW w:w="15039" w:type="dxa"/>
            <w:gridSpan w:val="36"/>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48" w:type="dxa"/>
          <w:trHeight w:val="300" w:hRule="atLeast"/>
        </w:trPr>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82"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80"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33"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3"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54"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80"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80" w:type="dxa"/>
            <w:gridSpan w:val="6"/>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48" w:type="dxa"/>
          <w:trHeight w:val="300" w:hRule="atLeast"/>
        </w:trPr>
        <w:tc>
          <w:tcPr>
            <w:tcW w:w="4399" w:type="dxa"/>
            <w:gridSpan w:val="8"/>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1480"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33" w:type="dxa"/>
            <w:gridSpan w:val="4"/>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413"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654"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80"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880" w:type="dxa"/>
            <w:gridSpan w:val="6"/>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48" w:type="dxa"/>
          <w:trHeight w:val="300" w:hRule="atLeast"/>
        </w:trPr>
        <w:tc>
          <w:tcPr>
            <w:tcW w:w="4399" w:type="dxa"/>
            <w:gridSpan w:val="8"/>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80"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733"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1413"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1654"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1480"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1733"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1147"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48" w:type="dxa"/>
          <w:trHeight w:val="300" w:hRule="atLeast"/>
        </w:trPr>
        <w:tc>
          <w:tcPr>
            <w:tcW w:w="101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3382" w:type="dxa"/>
            <w:gridSpan w:val="5"/>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80"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33"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13"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54"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80"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33"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47"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48" w:type="dxa"/>
          <w:trHeight w:val="300"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382" w:type="dxa"/>
            <w:gridSpan w:val="5"/>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80"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33"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13"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54"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80"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33"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47"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48" w:type="dxa"/>
          <w:trHeight w:val="300"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382" w:type="dxa"/>
            <w:gridSpan w:val="5"/>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80"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33"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13"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654"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80"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33"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47"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48" w:type="dxa"/>
          <w:trHeight w:val="300" w:hRule="atLeast"/>
        </w:trPr>
        <w:tc>
          <w:tcPr>
            <w:tcW w:w="4399" w:type="dxa"/>
            <w:gridSpan w:val="8"/>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80"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733"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3"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54"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80"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33"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47"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48" w:type="dxa"/>
          <w:trHeight w:val="300" w:hRule="atLeast"/>
        </w:trPr>
        <w:tc>
          <w:tcPr>
            <w:tcW w:w="4399" w:type="dxa"/>
            <w:gridSpan w:val="8"/>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270.54</w:t>
            </w:r>
          </w:p>
        </w:tc>
        <w:tc>
          <w:tcPr>
            <w:tcW w:w="1733"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216.90</w:t>
            </w:r>
          </w:p>
        </w:tc>
        <w:tc>
          <w:tcPr>
            <w:tcW w:w="1413"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54"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8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3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47"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53.63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48"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w:t>
            </w:r>
          </w:p>
        </w:tc>
        <w:tc>
          <w:tcPr>
            <w:tcW w:w="3382"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148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270.54</w:t>
            </w:r>
          </w:p>
        </w:tc>
        <w:tc>
          <w:tcPr>
            <w:tcW w:w="1733"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216.90</w:t>
            </w:r>
          </w:p>
        </w:tc>
        <w:tc>
          <w:tcPr>
            <w:tcW w:w="1413"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54"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8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4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48"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22401</w:t>
            </w:r>
          </w:p>
        </w:tc>
        <w:tc>
          <w:tcPr>
            <w:tcW w:w="3382"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应急管理事务</w:t>
            </w:r>
          </w:p>
        </w:tc>
        <w:tc>
          <w:tcPr>
            <w:tcW w:w="148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270.54</w:t>
            </w:r>
          </w:p>
        </w:tc>
        <w:tc>
          <w:tcPr>
            <w:tcW w:w="1733"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216.90</w:t>
            </w:r>
          </w:p>
        </w:tc>
        <w:tc>
          <w:tcPr>
            <w:tcW w:w="1413"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654"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48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733"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147"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948"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2240101</w:t>
            </w:r>
          </w:p>
        </w:tc>
        <w:tc>
          <w:tcPr>
            <w:tcW w:w="3382" w:type="dxa"/>
            <w:gridSpan w:val="5"/>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48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270.54</w:t>
            </w:r>
          </w:p>
        </w:tc>
        <w:tc>
          <w:tcPr>
            <w:tcW w:w="1733"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216.90</w:t>
            </w:r>
          </w:p>
        </w:tc>
        <w:tc>
          <w:tcPr>
            <w:tcW w:w="1413"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654"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3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47"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53.63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987" w:type="dxa"/>
            <w:gridSpan w:val="3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5" w:type="dxa"/>
          <w:trHeight w:val="375" w:hRule="atLeast"/>
        </w:trPr>
        <w:tc>
          <w:tcPr>
            <w:tcW w:w="14532" w:type="dxa"/>
            <w:gridSpan w:val="34"/>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5" w:type="dxa"/>
          <w:trHeight w:val="300" w:hRule="atLeast"/>
        </w:trPr>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75"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53"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7"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87"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66"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94"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93" w:type="dxa"/>
            <w:gridSpan w:val="5"/>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5" w:type="dxa"/>
          <w:trHeight w:val="300" w:hRule="atLeast"/>
        </w:trPr>
        <w:tc>
          <w:tcPr>
            <w:tcW w:w="3892" w:type="dxa"/>
            <w:gridSpan w:val="7"/>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1653" w:type="dxa"/>
            <w:gridSpan w:val="5"/>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547"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87"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866"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294"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693" w:type="dxa"/>
            <w:gridSpan w:val="5"/>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5" w:type="dxa"/>
          <w:trHeight w:val="300" w:hRule="atLeast"/>
        </w:trPr>
        <w:tc>
          <w:tcPr>
            <w:tcW w:w="3892"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653"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547"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587"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1866"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1294"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2693"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5" w:type="dxa"/>
          <w:trHeight w:val="300" w:hRule="atLeast"/>
        </w:trPr>
        <w:tc>
          <w:tcPr>
            <w:tcW w:w="101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2875" w:type="dxa"/>
            <w:gridSpan w:val="4"/>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653"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7"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87"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66"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94"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93"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5" w:type="dxa"/>
          <w:trHeight w:val="300"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875" w:type="dxa"/>
            <w:gridSpan w:val="4"/>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653"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7"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87"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66"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94"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93"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5" w:type="dxa"/>
          <w:trHeight w:val="312"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875" w:type="dxa"/>
            <w:gridSpan w:val="4"/>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653"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47"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587"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866"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294"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93"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5" w:type="dxa"/>
          <w:trHeight w:val="300" w:hRule="atLeast"/>
        </w:trPr>
        <w:tc>
          <w:tcPr>
            <w:tcW w:w="3892"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653"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47"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87"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866"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94"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693" w:type="dxa"/>
            <w:gridSpan w:val="5"/>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5" w:type="dxa"/>
          <w:trHeight w:val="300" w:hRule="atLeast"/>
        </w:trPr>
        <w:tc>
          <w:tcPr>
            <w:tcW w:w="3892"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653"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270.54</w:t>
            </w:r>
          </w:p>
        </w:tc>
        <w:tc>
          <w:tcPr>
            <w:tcW w:w="154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270.54</w:t>
            </w:r>
          </w:p>
        </w:tc>
        <w:tc>
          <w:tcPr>
            <w:tcW w:w="158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86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29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693"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5"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w:t>
            </w:r>
          </w:p>
        </w:tc>
        <w:tc>
          <w:tcPr>
            <w:tcW w:w="287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1653"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270.54</w:t>
            </w:r>
          </w:p>
        </w:tc>
        <w:tc>
          <w:tcPr>
            <w:tcW w:w="1547"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270.54</w:t>
            </w:r>
          </w:p>
        </w:tc>
        <w:tc>
          <w:tcPr>
            <w:tcW w:w="1587"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866"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29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693"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5"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22401</w:t>
            </w:r>
          </w:p>
        </w:tc>
        <w:tc>
          <w:tcPr>
            <w:tcW w:w="2875"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应急管理事务</w:t>
            </w:r>
          </w:p>
        </w:tc>
        <w:tc>
          <w:tcPr>
            <w:tcW w:w="1653"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270.54</w:t>
            </w:r>
          </w:p>
        </w:tc>
        <w:tc>
          <w:tcPr>
            <w:tcW w:w="1547"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270.54</w:t>
            </w:r>
          </w:p>
        </w:tc>
        <w:tc>
          <w:tcPr>
            <w:tcW w:w="1587"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866"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129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c>
          <w:tcPr>
            <w:tcW w:w="2693"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5"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2240101</w:t>
            </w:r>
          </w:p>
        </w:tc>
        <w:tc>
          <w:tcPr>
            <w:tcW w:w="2875" w:type="dxa"/>
            <w:gridSpan w:val="4"/>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653"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270.54</w:t>
            </w:r>
          </w:p>
        </w:tc>
        <w:tc>
          <w:tcPr>
            <w:tcW w:w="1547"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270.54</w:t>
            </w:r>
          </w:p>
        </w:tc>
        <w:tc>
          <w:tcPr>
            <w:tcW w:w="1587"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86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294"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693"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3"/>
          <w:wAfter w:w="3455" w:type="dxa"/>
          <w:trHeight w:val="300" w:hRule="atLeast"/>
        </w:trPr>
        <w:tc>
          <w:tcPr>
            <w:tcW w:w="14532" w:type="dxa"/>
            <w:gridSpan w:val="34"/>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75" w:hRule="atLeast"/>
        </w:trPr>
        <w:tc>
          <w:tcPr>
            <w:tcW w:w="14948" w:type="dxa"/>
            <w:gridSpan w:val="35"/>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0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20"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227" w:type="dxa"/>
            <w:gridSpan w:val="8"/>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80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20"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16" w:type="dxa"/>
            <w:gridSpan w:val="5"/>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960" w:type="dxa"/>
            <w:gridSpan w:val="8"/>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4625" w:type="dxa"/>
            <w:gridSpan w:val="10"/>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3227" w:type="dxa"/>
            <w:gridSpan w:val="8"/>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720" w:type="dxa"/>
            <w:gridSpan w:val="4"/>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2021年度</w:t>
            </w:r>
          </w:p>
        </w:tc>
        <w:tc>
          <w:tcPr>
            <w:tcW w:w="1416"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960" w:type="dxa"/>
            <w:gridSpan w:val="8"/>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4625" w:type="dxa"/>
            <w:gridSpan w:val="10"/>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10323" w:type="dxa"/>
            <w:gridSpan w:val="2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285" w:hRule="atLeast"/>
        </w:trPr>
        <w:tc>
          <w:tcPr>
            <w:tcW w:w="2999" w:type="dxa"/>
            <w:gridSpan w:val="4"/>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70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20"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227" w:type="dxa"/>
            <w:gridSpan w:val="8"/>
            <w:vMerge w:val="restart"/>
            <w:tcBorders>
              <w:top w:val="nil"/>
              <w:left w:val="nil"/>
              <w:bottom w:val="single" w:color="000000" w:sz="4" w:space="0"/>
              <w:right w:val="single" w:color="000000" w:sz="4" w:space="0"/>
            </w:tcBorders>
            <w:shd w:val="clear" w:color="auto" w:fill="C0C0C0"/>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0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920" w:type="dxa"/>
            <w:gridSpan w:val="3"/>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16"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2232"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1728"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600" w:hRule="atLeast"/>
        </w:trPr>
        <w:tc>
          <w:tcPr>
            <w:tcW w:w="2999" w:type="dxa"/>
            <w:gridSpan w:val="4"/>
            <w:vMerge w:val="continue"/>
            <w:tcBorders>
              <w:top w:val="nil"/>
              <w:left w:val="single" w:color="000000" w:sz="4" w:space="0"/>
              <w:bottom w:val="single" w:color="000000" w:sz="4" w:space="0"/>
              <w:right w:val="single" w:color="000000" w:sz="4" w:space="0"/>
            </w:tcBorders>
            <w:shd w:val="clear" w:color="auto" w:fill="C0C0C0"/>
            <w:vAlign w:val="center"/>
          </w:tcPr>
          <w:p>
            <w:pPr>
              <w:jc w:val="both"/>
              <w:rPr>
                <w:rFonts w:hint="eastAsia" w:ascii="宋体" w:hAnsi="宋体" w:eastAsia="宋体" w:cs="宋体"/>
                <w:i w:val="0"/>
                <w:iCs w:val="0"/>
                <w:color w:val="000000"/>
                <w:sz w:val="20"/>
                <w:szCs w:val="20"/>
                <w:u w:val="none"/>
              </w:rPr>
            </w:pPr>
          </w:p>
        </w:tc>
        <w:tc>
          <w:tcPr>
            <w:tcW w:w="70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0"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227" w:type="dxa"/>
            <w:gridSpan w:val="8"/>
            <w:vMerge w:val="continue"/>
            <w:tcBorders>
              <w:top w:val="nil"/>
              <w:left w:val="nil"/>
              <w:bottom w:val="single" w:color="000000" w:sz="4" w:space="0"/>
              <w:right w:val="single" w:color="000000" w:sz="4" w:space="0"/>
            </w:tcBorders>
            <w:shd w:val="clear" w:color="auto" w:fill="C0C0C0"/>
            <w:vAlign w:val="bottom"/>
          </w:tcPr>
          <w:p>
            <w:pPr>
              <w:jc w:val="both"/>
              <w:rPr>
                <w:rFonts w:hint="eastAsia" w:ascii="宋体" w:hAnsi="宋体" w:eastAsia="宋体" w:cs="宋体"/>
                <w:i w:val="0"/>
                <w:iCs w:val="0"/>
                <w:color w:val="000000"/>
                <w:sz w:val="20"/>
                <w:szCs w:val="20"/>
                <w:u w:val="none"/>
              </w:rPr>
            </w:pPr>
          </w:p>
        </w:tc>
        <w:tc>
          <w:tcPr>
            <w:tcW w:w="80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0" w:type="dxa"/>
            <w:gridSpan w:val="3"/>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416"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232"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28"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706" w:type="dxa"/>
            <w:gridSpan w:val="2"/>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20"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227" w:type="dxa"/>
            <w:gridSpan w:val="8"/>
            <w:tcBorders>
              <w:top w:val="nil"/>
              <w:left w:val="nil"/>
              <w:bottom w:val="single" w:color="000000" w:sz="4" w:space="0"/>
              <w:right w:val="single" w:color="000000" w:sz="4" w:space="0"/>
            </w:tcBorders>
            <w:shd w:val="clear" w:color="auto" w:fill="C0C0C0"/>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800" w:type="dxa"/>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92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416"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32"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728"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216.90</w:t>
            </w: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216.90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216.90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eastAsia" w:ascii="宋体" w:hAnsi="宋体" w:eastAsia="宋体" w:cs="宋体"/>
                <w:b/>
                <w:bCs/>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20"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216.90</w:t>
            </w: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216.90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216.90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27" w:type="dxa"/>
            <w:gridSpan w:val="8"/>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920"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16"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32"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28"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27" w:type="dxa"/>
            <w:gridSpan w:val="8"/>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920"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16"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32"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28"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706" w:type="dxa"/>
            <w:gridSpan w:val="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3227" w:type="dxa"/>
            <w:gridSpan w:val="8"/>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920" w:type="dxa"/>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416" w:type="dxa"/>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232"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728" w:type="dxa"/>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2999" w:type="dxa"/>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706" w:type="dxa"/>
            <w:gridSpan w:val="2"/>
            <w:tcBorders>
              <w:top w:val="nil"/>
              <w:left w:val="nil"/>
              <w:bottom w:val="single" w:color="000000" w:sz="12"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920"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216.90</w:t>
            </w:r>
          </w:p>
        </w:tc>
        <w:tc>
          <w:tcPr>
            <w:tcW w:w="3227"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8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9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216.90</w:t>
            </w:r>
          </w:p>
        </w:tc>
        <w:tc>
          <w:tcPr>
            <w:tcW w:w="1416"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216.90</w:t>
            </w:r>
          </w:p>
        </w:tc>
        <w:tc>
          <w:tcPr>
            <w:tcW w:w="2232"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728" w:type="dxa"/>
            <w:gridSpan w:val="4"/>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13220" w:type="dxa"/>
            <w:gridSpan w:val="3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1728"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3039" w:type="dxa"/>
          <w:trHeight w:val="300" w:hRule="atLeast"/>
        </w:trPr>
        <w:tc>
          <w:tcPr>
            <w:tcW w:w="13220" w:type="dxa"/>
            <w:gridSpan w:val="31"/>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tc>
        <w:tc>
          <w:tcPr>
            <w:tcW w:w="1728"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4767" w:type="dxa"/>
          <w:trHeight w:val="375" w:hRule="atLeast"/>
        </w:trPr>
        <w:tc>
          <w:tcPr>
            <w:tcW w:w="13220" w:type="dxa"/>
            <w:gridSpan w:val="31"/>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4767" w:type="dxa"/>
          <w:trHeight w:val="300" w:hRule="atLeast"/>
        </w:trPr>
        <w:tc>
          <w:tcPr>
            <w:tcW w:w="13220" w:type="dxa"/>
            <w:gridSpan w:val="31"/>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4767" w:type="dxa"/>
          <w:trHeight w:val="300" w:hRule="atLeast"/>
        </w:trPr>
        <w:tc>
          <w:tcPr>
            <w:tcW w:w="5051" w:type="dxa"/>
            <w:gridSpan w:val="11"/>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2310" w:type="dxa"/>
            <w:gridSpan w:val="5"/>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2021年度</w:t>
            </w:r>
          </w:p>
        </w:tc>
        <w:tc>
          <w:tcPr>
            <w:tcW w:w="2310" w:type="dxa"/>
            <w:gridSpan w:val="7"/>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3549" w:type="dxa"/>
            <w:gridSpan w:val="8"/>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4767" w:type="dxa"/>
          <w:trHeight w:val="300" w:hRule="atLeast"/>
        </w:trPr>
        <w:tc>
          <w:tcPr>
            <w:tcW w:w="5051" w:type="dxa"/>
            <w:gridSpan w:val="11"/>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8169" w:type="dxa"/>
            <w:gridSpan w:val="20"/>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4767" w:type="dxa"/>
          <w:trHeight w:val="300" w:hRule="atLeast"/>
        </w:trPr>
        <w:tc>
          <w:tcPr>
            <w:tcW w:w="1017"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4034" w:type="dxa"/>
            <w:gridSpan w:val="8"/>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310" w:type="dxa"/>
            <w:gridSpan w:val="5"/>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310" w:type="dxa"/>
            <w:gridSpan w:val="7"/>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549" w:type="dxa"/>
            <w:gridSpan w:val="8"/>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4767" w:type="dxa"/>
          <w:trHeight w:val="270"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4034" w:type="dxa"/>
            <w:gridSpan w:val="8"/>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310"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10" w:type="dxa"/>
            <w:gridSpan w:val="7"/>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549" w:type="dxa"/>
            <w:gridSpan w:val="8"/>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4767" w:type="dxa"/>
          <w:trHeight w:val="300"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4034" w:type="dxa"/>
            <w:gridSpan w:val="8"/>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2310" w:type="dxa"/>
            <w:gridSpan w:val="5"/>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10" w:type="dxa"/>
            <w:gridSpan w:val="7"/>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549" w:type="dxa"/>
            <w:gridSpan w:val="8"/>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4767" w:type="dxa"/>
          <w:trHeight w:val="300" w:hRule="atLeast"/>
        </w:trPr>
        <w:tc>
          <w:tcPr>
            <w:tcW w:w="5051" w:type="dxa"/>
            <w:gridSpan w:val="11"/>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31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31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549"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4767" w:type="dxa"/>
          <w:trHeight w:val="300" w:hRule="atLeast"/>
        </w:trPr>
        <w:tc>
          <w:tcPr>
            <w:tcW w:w="5051" w:type="dxa"/>
            <w:gridSpan w:val="11"/>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31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bCs/>
                <w:i w:val="0"/>
                <w:iCs w:val="0"/>
                <w:color w:val="000000"/>
                <w:kern w:val="0"/>
                <w:sz w:val="20"/>
                <w:szCs w:val="20"/>
                <w:u w:val="none"/>
                <w:lang w:val="en-US" w:eastAsia="zh-CN" w:bidi="ar"/>
              </w:rPr>
              <w:t>216.90</w:t>
            </w:r>
          </w:p>
        </w:tc>
        <w:tc>
          <w:tcPr>
            <w:tcW w:w="2310" w:type="dxa"/>
            <w:gridSpan w:val="7"/>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216.90</w:t>
            </w:r>
          </w:p>
        </w:tc>
        <w:tc>
          <w:tcPr>
            <w:tcW w:w="3549" w:type="dxa"/>
            <w:gridSpan w:val="8"/>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4767"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w:t>
            </w:r>
          </w:p>
        </w:tc>
        <w:tc>
          <w:tcPr>
            <w:tcW w:w="4034"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灾害防治及应急管理支出</w:t>
            </w:r>
          </w:p>
        </w:tc>
        <w:tc>
          <w:tcPr>
            <w:tcW w:w="231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216.90</w:t>
            </w:r>
          </w:p>
        </w:tc>
        <w:tc>
          <w:tcPr>
            <w:tcW w:w="231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216.90</w:t>
            </w:r>
          </w:p>
        </w:tc>
        <w:tc>
          <w:tcPr>
            <w:tcW w:w="3549"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4767"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22401</w:t>
            </w:r>
          </w:p>
        </w:tc>
        <w:tc>
          <w:tcPr>
            <w:tcW w:w="4034"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应急管理事务</w:t>
            </w:r>
          </w:p>
        </w:tc>
        <w:tc>
          <w:tcPr>
            <w:tcW w:w="2310" w:type="dxa"/>
            <w:gridSpan w:val="5"/>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216.90</w:t>
            </w:r>
          </w:p>
        </w:tc>
        <w:tc>
          <w:tcPr>
            <w:tcW w:w="2310" w:type="dxa"/>
            <w:gridSpan w:val="7"/>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216.90</w:t>
            </w:r>
          </w:p>
        </w:tc>
        <w:tc>
          <w:tcPr>
            <w:tcW w:w="3549" w:type="dxa"/>
            <w:gridSpan w:val="8"/>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4767" w:type="dxa"/>
          <w:trHeight w:val="300" w:hRule="atLeast"/>
        </w:trPr>
        <w:tc>
          <w:tcPr>
            <w:tcW w:w="1017"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2240101</w:t>
            </w:r>
          </w:p>
        </w:tc>
        <w:tc>
          <w:tcPr>
            <w:tcW w:w="4034" w:type="dxa"/>
            <w:gridSpan w:val="8"/>
            <w:tcBorders>
              <w:top w:val="nil"/>
              <w:left w:val="nil"/>
              <w:bottom w:val="single" w:color="000000" w:sz="4" w:space="0"/>
              <w:right w:val="single" w:color="000000" w:sz="4" w:space="0"/>
            </w:tcBorders>
            <w:shd w:val="clear" w:color="auto" w:fill="CC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2310" w:type="dxa"/>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216.90</w:t>
            </w:r>
          </w:p>
        </w:tc>
        <w:tc>
          <w:tcPr>
            <w:tcW w:w="2310" w:type="dxa"/>
            <w:gridSpan w:val="7"/>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216.90</w:t>
            </w:r>
          </w:p>
        </w:tc>
        <w:tc>
          <w:tcPr>
            <w:tcW w:w="3549" w:type="dxa"/>
            <w:gridSpan w:val="8"/>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6"/>
          <w:wAfter w:w="4767" w:type="dxa"/>
          <w:trHeight w:val="300" w:hRule="atLeast"/>
        </w:trPr>
        <w:tc>
          <w:tcPr>
            <w:tcW w:w="13220" w:type="dxa"/>
            <w:gridSpan w:val="31"/>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ightChars="0"/>
        <w:jc w:val="both"/>
        <w:rPr>
          <w:color w:val="333333"/>
          <w:sz w:val="24"/>
          <w:szCs w:val="24"/>
        </w:rPr>
      </w:pPr>
    </w:p>
    <w:tbl>
      <w:tblPr>
        <w:tblStyle w:val="5"/>
        <w:tblpPr w:leftFromText="180" w:rightFromText="180" w:vertAnchor="text" w:horzAnchor="page" w:tblpX="1537" w:tblpY="204"/>
        <w:tblOverlap w:val="never"/>
        <w:tblW w:w="149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6"/>
        <w:gridCol w:w="286"/>
        <w:gridCol w:w="1160"/>
        <w:gridCol w:w="1133"/>
        <w:gridCol w:w="755"/>
        <w:gridCol w:w="445"/>
        <w:gridCol w:w="471"/>
        <w:gridCol w:w="767"/>
        <w:gridCol w:w="216"/>
        <w:gridCol w:w="1546"/>
        <w:gridCol w:w="538"/>
        <w:gridCol w:w="476"/>
        <w:gridCol w:w="541"/>
        <w:gridCol w:w="750"/>
        <w:gridCol w:w="29"/>
        <w:gridCol w:w="1480"/>
        <w:gridCol w:w="1307"/>
        <w:gridCol w:w="186"/>
        <w:gridCol w:w="1120"/>
        <w:gridCol w:w="9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75" w:hRule="atLeast"/>
        </w:trPr>
        <w:tc>
          <w:tcPr>
            <w:tcW w:w="13972" w:type="dxa"/>
            <w:gridSpan w:val="19"/>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34" w:type="dxa"/>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16"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6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00"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17"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5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816"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06" w:type="dxa"/>
            <w:gridSpan w:val="2"/>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4100" w:type="dxa"/>
            <w:gridSpan w:val="5"/>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部门：黄石市黄石港区应急管理局</w:t>
            </w:r>
          </w:p>
        </w:tc>
        <w:tc>
          <w:tcPr>
            <w:tcW w:w="916"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67"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300"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p>
        </w:tc>
        <w:tc>
          <w:tcPr>
            <w:tcW w:w="1017"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75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4122" w:type="dxa"/>
            <w:gridSpan w:val="5"/>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5016" w:type="dxa"/>
            <w:gridSpan w:val="7"/>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8956" w:type="dxa"/>
            <w:gridSpan w:val="12"/>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334" w:type="dxa"/>
            <w:gridSpan w:val="4"/>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91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6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300"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017"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75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2816"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306"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334" w:type="dxa"/>
            <w:gridSpan w:val="4"/>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1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6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300"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17"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75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816"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06"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113.20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97.03</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28.55</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5.36</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16.75</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0.47</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26.69</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0.96</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11.13</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9.08</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0.85</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10.60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1.13</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9.44</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0.12</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3.72</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3.72</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20.79</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65.15</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1.89</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0.22</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816"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816" w:type="dxa"/>
            <w:gridSpan w:val="3"/>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30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3334" w:type="dxa"/>
            <w:gridSpan w:val="4"/>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75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816" w:type="dxa"/>
            <w:gridSpan w:val="3"/>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30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766" w:type="dxa"/>
            <w:tcBorders>
              <w:top w:val="nil"/>
              <w:left w:val="single" w:color="000000" w:sz="4" w:space="0"/>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3334" w:type="dxa"/>
            <w:gridSpan w:val="4"/>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91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6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300" w:type="dxa"/>
            <w:gridSpan w:val="3"/>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1017"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1.30</w:t>
            </w:r>
          </w:p>
        </w:tc>
        <w:tc>
          <w:tcPr>
            <w:tcW w:w="750" w:type="dxa"/>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2816" w:type="dxa"/>
            <w:gridSpan w:val="3"/>
            <w:tcBorders>
              <w:top w:val="nil"/>
              <w:left w:val="nil"/>
              <w:bottom w:val="single" w:color="000000" w:sz="4" w:space="0"/>
              <w:right w:val="single" w:color="000000" w:sz="4" w:space="0"/>
            </w:tcBorders>
            <w:shd w:val="clear" w:color="auto" w:fill="C0C0C0"/>
            <w:noWrap/>
            <w:vAlign w:val="center"/>
          </w:tcPr>
          <w:p>
            <w:pPr>
              <w:jc w:val="left"/>
              <w:rPr>
                <w:rFonts w:hint="eastAsia" w:ascii="宋体" w:hAnsi="宋体" w:eastAsia="宋体" w:cs="宋体"/>
                <w:i w:val="0"/>
                <w:iCs w:val="0"/>
                <w:color w:val="000000"/>
                <w:sz w:val="20"/>
                <w:szCs w:val="20"/>
                <w:u w:val="none"/>
              </w:rPr>
            </w:pPr>
          </w:p>
        </w:tc>
        <w:tc>
          <w:tcPr>
            <w:tcW w:w="1306" w:type="dxa"/>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4100" w:type="dxa"/>
            <w:gridSpan w:val="5"/>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91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116.92</w:t>
            </w:r>
          </w:p>
        </w:tc>
        <w:tc>
          <w:tcPr>
            <w:tcW w:w="7650" w:type="dxa"/>
            <w:gridSpan w:val="10"/>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1306"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987" w:type="dxa"/>
          <w:trHeight w:val="300" w:hRule="atLeast"/>
        </w:trPr>
        <w:tc>
          <w:tcPr>
            <w:tcW w:w="13972" w:type="dxa"/>
            <w:gridSpan w:val="1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987" w:type="dxa"/>
          <w:trHeight w:val="300" w:hRule="atLeast"/>
        </w:trPr>
        <w:tc>
          <w:tcPr>
            <w:tcW w:w="13972" w:type="dxa"/>
            <w:gridSpan w:val="1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52"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p>
            <w:pPr>
              <w:jc w:val="left"/>
              <w:rPr>
                <w:rFonts w:hint="eastAsia" w:ascii="宋体" w:hAnsi="宋体" w:eastAsia="宋体" w:cs="宋体"/>
                <w:i w:val="0"/>
                <w:iCs w:val="0"/>
                <w:color w:val="000000"/>
                <w:sz w:val="18"/>
                <w:szCs w:val="18"/>
                <w:u w:val="none"/>
              </w:rPr>
            </w:pPr>
          </w:p>
        </w:tc>
        <w:tc>
          <w:tcPr>
            <w:tcW w:w="116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640" w:type="dxa"/>
            <w:gridSpan w:val="15"/>
            <w:tcBorders>
              <w:top w:val="nil"/>
              <w:left w:val="nil"/>
              <w:bottom w:val="nil"/>
              <w:right w:val="nil"/>
            </w:tcBorders>
            <w:shd w:val="clear" w:color="auto" w:fill="FFFFFF"/>
            <w:noWrap/>
            <w:vAlign w:val="center"/>
          </w:tcPr>
          <w:p>
            <w:pPr>
              <w:jc w:val="left"/>
              <w:rPr>
                <w:rFonts w:hint="eastAsia" w:ascii="宋体" w:hAnsi="宋体" w:eastAsia="黑体" w:cs="宋体"/>
                <w:i w:val="0"/>
                <w:iCs w:val="0"/>
                <w:color w:val="000000"/>
                <w:sz w:val="18"/>
                <w:szCs w:val="18"/>
                <w:u w:val="none"/>
                <w:lang w:val="en-US" w:eastAsia="zh-CN"/>
              </w:rPr>
            </w:pPr>
            <w:r>
              <w:rPr>
                <w:rFonts w:hint="eastAsia" w:ascii="黑体" w:hAnsi="宋体" w:eastAsia="黑体" w:cs="黑体"/>
                <w:i w:val="0"/>
                <w:iCs w:val="0"/>
                <w:color w:val="000000"/>
                <w:kern w:val="0"/>
                <w:sz w:val="44"/>
                <w:szCs w:val="44"/>
                <w:highlight w:val="none"/>
                <w:u w:val="none"/>
                <w:lang w:val="en-US" w:eastAsia="zh-CN" w:bidi="ar"/>
              </w:rPr>
              <w:t>一般公共预算财政拨款“三公”经费支出决算表</w:t>
            </w:r>
          </w:p>
        </w:tc>
        <w:tc>
          <w:tcPr>
            <w:tcW w:w="11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8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2" w:type="dxa"/>
            <w:gridSpan w:val="2"/>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16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3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00"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54"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4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14"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20" w:type="dxa"/>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8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493" w:type="dxa"/>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0"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987" w:type="dxa"/>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345" w:type="dxa"/>
            <w:gridSpan w:val="4"/>
            <w:tcBorders>
              <w:top w:val="nil"/>
              <w:left w:val="nil"/>
              <w:bottom w:val="single" w:color="00000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1200"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54"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546" w:type="dxa"/>
            <w:tcBorders>
              <w:top w:val="nil"/>
              <w:left w:val="nil"/>
              <w:bottom w:val="single" w:color="000000" w:sz="4" w:space="0"/>
              <w:right w:val="nil"/>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1014"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320" w:type="dxa"/>
            <w:gridSpan w:val="3"/>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80" w:type="dxa"/>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1493" w:type="dxa"/>
            <w:gridSpan w:val="2"/>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2107" w:type="dxa"/>
            <w:gridSpan w:val="2"/>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7545" w:type="dxa"/>
            <w:gridSpan w:val="10"/>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highlight w:val="none"/>
                <w:u w:val="none"/>
                <w:lang w:val="en-US" w:eastAsia="zh-CN" w:bidi="ar"/>
              </w:rPr>
              <w:t>预算数</w:t>
            </w:r>
          </w:p>
        </w:tc>
        <w:tc>
          <w:tcPr>
            <w:tcW w:w="7414" w:type="dxa"/>
            <w:gridSpan w:val="10"/>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ind w:right="2243" w:rightChars="1068"/>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2" w:type="dxa"/>
            <w:gridSpan w:val="2"/>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60"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787" w:type="dxa"/>
            <w:gridSpan w:val="6"/>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546"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014" w:type="dxa"/>
            <w:gridSpan w:val="2"/>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320" w:type="dxa"/>
            <w:gridSpan w:val="3"/>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4093" w:type="dxa"/>
            <w:gridSpan w:val="4"/>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987"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52" w:type="dxa"/>
            <w:gridSpan w:val="2"/>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60"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1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0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454"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546"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014" w:type="dxa"/>
            <w:gridSpan w:val="2"/>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320" w:type="dxa"/>
            <w:gridSpan w:val="3"/>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4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493"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1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987"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52" w:type="dxa"/>
            <w:gridSpan w:val="2"/>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6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33"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00"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454"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46"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14"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20"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48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493" w:type="dxa"/>
            <w:gridSpan w:val="2"/>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20"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987" w:type="dxa"/>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52" w:type="dxa"/>
            <w:gridSpan w:val="2"/>
            <w:tcBorders>
              <w:top w:val="nil"/>
              <w:left w:val="single" w:color="000000" w:sz="4" w:space="0"/>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1160" w:type="dxa"/>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0.00</w:t>
            </w:r>
          </w:p>
        </w:tc>
        <w:tc>
          <w:tcPr>
            <w:tcW w:w="1133" w:type="dxa"/>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0.00</w:t>
            </w:r>
          </w:p>
        </w:tc>
        <w:tc>
          <w:tcPr>
            <w:tcW w:w="1200" w:type="dxa"/>
            <w:gridSpan w:val="2"/>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0.00</w:t>
            </w:r>
          </w:p>
        </w:tc>
        <w:tc>
          <w:tcPr>
            <w:tcW w:w="1454" w:type="dxa"/>
            <w:gridSpan w:val="3"/>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0.00</w:t>
            </w:r>
          </w:p>
        </w:tc>
        <w:tc>
          <w:tcPr>
            <w:tcW w:w="1546" w:type="dxa"/>
            <w:tcBorders>
              <w:top w:val="nil"/>
              <w:left w:val="nil"/>
              <w:bottom w:val="single" w:color="000000" w:sz="4" w:space="0"/>
              <w:right w:val="single" w:color="000000" w:sz="4" w:space="0"/>
            </w:tcBorders>
            <w:shd w:val="clear" w:color="auto" w:fill="FFFFFF"/>
            <w:noWrap/>
            <w:vAlign w:val="center"/>
          </w:tcPr>
          <w:p>
            <w:pPr>
              <w:jc w:val="right"/>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1.00</w:t>
            </w:r>
          </w:p>
        </w:tc>
        <w:tc>
          <w:tcPr>
            <w:tcW w:w="1014"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320"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8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493" w:type="dxa"/>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1120"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c>
          <w:tcPr>
            <w:tcW w:w="98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0" w:hRule="atLeast"/>
        </w:trPr>
        <w:tc>
          <w:tcPr>
            <w:tcW w:w="14959" w:type="dxa"/>
            <w:gridSpan w:val="20"/>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财政拨款“三公”经费支出预决算情况。其中，预算数为“三公”经费年初预算数，包括一般公共预算财政拨款预算数和政府性基金财政拨款及国有资本经营预算财政拨款预算数，此数据由单位自己填报。决算数包括当年一般公共预算财政拨款、政府性基金预算财政拨款、国有资本经营预算财政拨款和以前年度结转资金安排的实际支出。</w:t>
            </w:r>
          </w:p>
        </w:tc>
      </w:tr>
    </w:tbl>
    <w:tbl>
      <w:tblPr>
        <w:tblStyle w:val="5"/>
        <w:tblpPr w:leftFromText="180" w:rightFromText="180" w:vertAnchor="text" w:horzAnchor="page" w:tblpX="1535" w:tblpY="-4091"/>
        <w:tblOverlap w:val="never"/>
        <w:tblW w:w="13820" w:type="dxa"/>
        <w:tblInd w:w="0" w:type="dxa"/>
        <w:shd w:val="clear" w:color="auto" w:fill="auto"/>
        <w:tblLayout w:type="fixed"/>
        <w:tblCellMar>
          <w:top w:w="0" w:type="dxa"/>
          <w:left w:w="0" w:type="dxa"/>
          <w:bottom w:w="0" w:type="dxa"/>
          <w:right w:w="0" w:type="dxa"/>
        </w:tblCellMar>
      </w:tblPr>
      <w:tblGrid>
        <w:gridCol w:w="5569"/>
        <w:gridCol w:w="843"/>
        <w:gridCol w:w="843"/>
        <w:gridCol w:w="843"/>
        <w:gridCol w:w="843"/>
        <w:gridCol w:w="843"/>
        <w:gridCol w:w="4036"/>
      </w:tblGrid>
      <w:tr>
        <w:tblPrEx>
          <w:shd w:val="clear" w:color="auto" w:fill="auto"/>
        </w:tblPrEx>
        <w:trPr>
          <w:trHeight w:val="110" w:hRule="atLeast"/>
        </w:trPr>
        <w:tc>
          <w:tcPr>
            <w:tcW w:w="13820" w:type="dxa"/>
            <w:gridSpan w:val="7"/>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shd w:val="clear" w:color="auto" w:fill="auto"/>
        </w:tblPrEx>
        <w:trPr>
          <w:trHeight w:val="110" w:hRule="atLeast"/>
        </w:trPr>
        <w:tc>
          <w:tcPr>
            <w:tcW w:w="5569"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i w:val="0"/>
                <w:color w:val="000000"/>
                <w:kern w:val="0"/>
                <w:sz w:val="22"/>
                <w:szCs w:val="22"/>
                <w:u w:val="none"/>
                <w:lang w:val="en-US" w:eastAsia="zh-CN" w:bidi="ar"/>
              </w:rPr>
              <w:t>黄石市黄石港区应急管理局</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shd w:val="clear" w:color="auto" w:fill="auto"/>
          <w:tblCellMar>
            <w:top w:w="0" w:type="dxa"/>
            <w:left w:w="0" w:type="dxa"/>
            <w:bottom w:w="0" w:type="dxa"/>
            <w:right w:w="0" w:type="dxa"/>
          </w:tblCellMar>
        </w:tblPrEx>
        <w:trPr>
          <w:trHeight w:val="114" w:hRule="atLeast"/>
        </w:trPr>
        <w:tc>
          <w:tcPr>
            <w:tcW w:w="5569" w:type="dxa"/>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Style w:val="7"/>
          <w:rFonts w:hint="eastAsia" w:ascii="微软雅黑" w:hAnsi="微软雅黑" w:eastAsia="微软雅黑" w:cs="微软雅黑"/>
          <w:i w:val="0"/>
          <w:caps w:val="0"/>
          <w:color w:val="333333"/>
          <w:spacing w:val="0"/>
          <w:sz w:val="24"/>
          <w:szCs w:val="24"/>
          <w:shd w:val="clear" w:fill="FFFFFF"/>
          <w:lang w:eastAsia="zh-CN"/>
        </w:rPr>
      </w:pPr>
    </w:p>
    <w:tbl>
      <w:tblPr>
        <w:tblStyle w:val="5"/>
        <w:tblW w:w="13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36"/>
        <w:gridCol w:w="274"/>
        <w:gridCol w:w="274"/>
        <w:gridCol w:w="1253"/>
        <w:gridCol w:w="1868"/>
        <w:gridCol w:w="825"/>
        <w:gridCol w:w="651"/>
        <w:gridCol w:w="825"/>
        <w:gridCol w:w="825"/>
        <w:gridCol w:w="2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3820" w:type="dxa"/>
            <w:gridSpan w:val="10"/>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87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92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2481"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260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446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39"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92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921"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6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3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4463"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87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639"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921"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26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0"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0" w:type="auto"/>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w:t>
            </w:r>
          </w:p>
        </w:tc>
      </w:tr>
    </w:tbl>
    <w:p>
      <w:pPr>
        <w:pStyle w:val="4"/>
        <w:widowControl/>
        <w:spacing w:before="76" w:beforeAutospacing="0" w:after="76" w:afterAutospacing="0" w:line="450" w:lineRule="atLeast"/>
        <w:ind w:firstLine="240" w:firstLineChars="100"/>
        <w:rPr>
          <w:rStyle w:val="7"/>
          <w:rFonts w:ascii="微软雅黑" w:hAnsi="微软雅黑" w:eastAsia="微软雅黑" w:cs="微软雅黑"/>
          <w:color w:val="333333"/>
          <w:shd w:val="clear" w:color="auto" w:fill="FFFFFF"/>
        </w:rPr>
      </w:pPr>
      <w:r>
        <w:rPr>
          <w:rStyle w:val="7"/>
          <w:rFonts w:hint="eastAsia" w:ascii="微软雅黑" w:hAnsi="微软雅黑" w:eastAsia="微软雅黑" w:cs="微软雅黑"/>
          <w:color w:val="333333"/>
          <w:shd w:val="clear" w:color="auto" w:fill="FFFFFF"/>
        </w:rPr>
        <w:t>我部门（单位）无此项内容，本表无数据</w:t>
      </w:r>
    </w:p>
    <w:p/>
    <w:p/>
    <w:tbl>
      <w:tblPr>
        <w:tblStyle w:val="5"/>
        <w:tblW w:w="13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2"/>
        <w:gridCol w:w="316"/>
        <w:gridCol w:w="316"/>
        <w:gridCol w:w="1641"/>
        <w:gridCol w:w="1511"/>
        <w:gridCol w:w="1511"/>
        <w:gridCol w:w="3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trPr>
        <w:tc>
          <w:tcPr>
            <w:tcW w:w="13960" w:type="dxa"/>
            <w:gridSpan w:val="7"/>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部门：黄石市黄石港区应急管理局</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776" w:type="dxa"/>
            <w:gridSpan w:val="3"/>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5566"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0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04"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368" w:type="dxa"/>
            <w:vMerge w:val="restart"/>
            <w:tcBorders>
              <w:top w:val="nil"/>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566"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36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5566"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1704"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c>
          <w:tcPr>
            <w:tcW w:w="3368" w:type="dxa"/>
            <w:vMerge w:val="continue"/>
            <w:tcBorders>
              <w:top w:val="nil"/>
              <w:left w:val="nil"/>
              <w:bottom w:val="single" w:color="000000" w:sz="4" w:space="0"/>
              <w:right w:val="single" w:color="000000" w:sz="4" w:space="0"/>
            </w:tcBorders>
            <w:shd w:val="clear" w:color="auto" w:fill="C0C0C0"/>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gridSpan w:val="4"/>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CC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w:t>
            </w:r>
          </w:p>
        </w:tc>
      </w:tr>
    </w:tbl>
    <w:p>
      <w:pPr>
        <w:pStyle w:val="4"/>
        <w:widowControl/>
        <w:spacing w:before="76" w:beforeAutospacing="0" w:after="76" w:afterAutospacing="0" w:line="450" w:lineRule="atLeast"/>
        <w:ind w:firstLine="240" w:firstLineChars="100"/>
        <w:rPr>
          <w:rStyle w:val="7"/>
          <w:rFonts w:ascii="微软雅黑" w:hAnsi="微软雅黑" w:eastAsia="微软雅黑" w:cs="微软雅黑"/>
          <w:color w:val="333333"/>
          <w:shd w:val="clear" w:color="auto" w:fill="FFFFFF"/>
        </w:rPr>
      </w:pPr>
      <w:r>
        <w:rPr>
          <w:rStyle w:val="7"/>
          <w:rFonts w:hint="eastAsia" w:ascii="微软雅黑" w:hAnsi="微软雅黑" w:eastAsia="微软雅黑" w:cs="微软雅黑"/>
          <w:color w:val="333333"/>
          <w:shd w:val="clear" w:color="auto" w:fill="FFFFFF"/>
        </w:rPr>
        <w:t>我部门（单位）无此项内容，本表无数据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Style w:val="7"/>
          <w:rFonts w:hint="eastAsia" w:ascii="微软雅黑" w:hAnsi="微软雅黑" w:eastAsia="微软雅黑" w:cs="微软雅黑"/>
          <w:i w:val="0"/>
          <w:caps w:val="0"/>
          <w:color w:val="333333"/>
          <w:spacing w:val="0"/>
          <w:sz w:val="24"/>
          <w:szCs w:val="24"/>
          <w:shd w:val="clear" w:fill="FFFFFF"/>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right="0"/>
        <w:rPr>
          <w:rStyle w:val="7"/>
          <w:rFonts w:hint="eastAsia" w:ascii="微软雅黑" w:hAnsi="微软雅黑" w:eastAsia="微软雅黑" w:cs="微软雅黑"/>
          <w:i w:val="0"/>
          <w:caps w:val="0"/>
          <w:color w:val="333333"/>
          <w:spacing w:val="0"/>
          <w:sz w:val="24"/>
          <w:szCs w:val="24"/>
          <w:shd w:val="clear" w:fill="FFFFFF"/>
          <w:lang w:eastAsia="zh-CN"/>
        </w:rPr>
        <w:sectPr>
          <w:pgSz w:w="16838" w:h="11906" w:orient="landscape"/>
          <w:pgMar w:top="1803" w:right="1440" w:bottom="1803" w:left="1440" w:header="851" w:footer="992" w:gutter="0"/>
          <w:cols w:space="0" w:num="1"/>
          <w:rtlGutter w:val="0"/>
          <w:docGrid w:type="lines" w:linePitch="319" w:charSpace="0"/>
        </w:sectPr>
      </w:pP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7"/>
          <w:rFonts w:hint="eastAsia" w:ascii="微软雅黑" w:hAnsi="微软雅黑" w:eastAsia="微软雅黑" w:cs="微软雅黑"/>
          <w:i w:val="0"/>
          <w:caps w:val="0"/>
          <w:color w:val="333333"/>
          <w:spacing w:val="0"/>
          <w:sz w:val="24"/>
          <w:szCs w:val="24"/>
          <w:highlight w:val="none"/>
          <w:shd w:val="clear" w:fill="FFFFFF"/>
        </w:rPr>
      </w:pPr>
      <w:r>
        <w:rPr>
          <w:rStyle w:val="7"/>
          <w:rFonts w:hint="eastAsia" w:ascii="微软雅黑" w:hAnsi="微软雅黑" w:eastAsia="微软雅黑" w:cs="微软雅黑"/>
          <w:i w:val="0"/>
          <w:caps w:val="0"/>
          <w:color w:val="333333"/>
          <w:spacing w:val="0"/>
          <w:sz w:val="24"/>
          <w:szCs w:val="24"/>
          <w:highlight w:val="none"/>
          <w:shd w:val="clear" w:fill="FFFFFF"/>
        </w:rPr>
        <w:t>20</w:t>
      </w:r>
      <w:r>
        <w:rPr>
          <w:rStyle w:val="7"/>
          <w:rFonts w:hint="eastAsia" w:ascii="微软雅黑" w:hAnsi="微软雅黑" w:eastAsia="微软雅黑" w:cs="微软雅黑"/>
          <w:i w:val="0"/>
          <w:caps w:val="0"/>
          <w:color w:val="333333"/>
          <w:spacing w:val="0"/>
          <w:sz w:val="24"/>
          <w:szCs w:val="24"/>
          <w:highlight w:val="none"/>
          <w:shd w:val="clear" w:fill="FFFFFF"/>
          <w:lang w:val="en-US" w:eastAsia="zh-CN"/>
        </w:rPr>
        <w:t>21</w:t>
      </w:r>
      <w:r>
        <w:rPr>
          <w:rStyle w:val="7"/>
          <w:rFonts w:hint="eastAsia" w:ascii="微软雅黑" w:hAnsi="微软雅黑" w:eastAsia="微软雅黑" w:cs="微软雅黑"/>
          <w:i w:val="0"/>
          <w:caps w:val="0"/>
          <w:color w:val="333333"/>
          <w:spacing w:val="0"/>
          <w:sz w:val="24"/>
          <w:szCs w:val="24"/>
          <w:highlight w:val="none"/>
          <w:shd w:val="clear" w:fill="FFFFFF"/>
        </w:rPr>
        <w:t>年部门决算情况说明</w:t>
      </w:r>
    </w:p>
    <w:p>
      <w:pPr>
        <w:pStyle w:val="10"/>
        <w:widowControl/>
        <w:pBdr>
          <w:top w:val="none" w:color="auto" w:sz="0" w:space="0"/>
          <w:left w:val="none" w:color="auto" w:sz="0" w:space="0"/>
          <w:bottom w:val="none" w:color="auto" w:sz="0" w:space="0"/>
          <w:right w:val="none" w:color="auto" w:sz="0" w:space="0"/>
        </w:pBdr>
        <w:spacing w:before="76" w:beforeAutospacing="0" w:after="76" w:afterAutospacing="0" w:line="450" w:lineRule="atLeast"/>
        <w:ind w:right="0" w:firstLine="281" w:firstLineChars="100"/>
        <w:jc w:val="left"/>
        <w:rPr>
          <w:rStyle w:val="7"/>
          <w:rFonts w:hint="eastAsia" w:ascii="宋体" w:hAnsi="宋体" w:eastAsia="宋体" w:cs="宋体"/>
          <w:b/>
          <w:bCs/>
          <w:i w:val="0"/>
          <w:caps w:val="0"/>
          <w:color w:val="333333"/>
          <w:spacing w:val="0"/>
          <w:sz w:val="28"/>
          <w:szCs w:val="28"/>
          <w:highlight w:val="none"/>
          <w:shd w:val="clear" w:fill="FFFFFF"/>
        </w:rPr>
      </w:pPr>
      <w:r>
        <w:rPr>
          <w:rFonts w:hint="eastAsia" w:ascii="宋体" w:hAnsi="宋体" w:eastAsia="宋体" w:cs="宋体"/>
          <w:b/>
          <w:bCs/>
          <w:i w:val="0"/>
          <w:caps w:val="0"/>
          <w:color w:val="333333"/>
          <w:spacing w:val="0"/>
          <w:sz w:val="28"/>
          <w:szCs w:val="28"/>
          <w:highlight w:val="none"/>
          <w:shd w:val="clear" w:color="080000" w:fill="FFFFFF"/>
          <w:lang w:eastAsia="zh-CN"/>
        </w:rPr>
        <w:t>一、</w:t>
      </w:r>
      <w:r>
        <w:rPr>
          <w:rFonts w:hint="eastAsia" w:ascii="宋体" w:hAnsi="宋体" w:eastAsia="宋体" w:cs="宋体"/>
          <w:b/>
          <w:bCs/>
          <w:i w:val="0"/>
          <w:caps w:val="0"/>
          <w:color w:val="333333"/>
          <w:spacing w:val="0"/>
          <w:sz w:val="28"/>
          <w:szCs w:val="28"/>
          <w:highlight w:val="none"/>
          <w:shd w:val="clear" w:color="080000" w:fill="FFFFFF"/>
        </w:rPr>
        <w:t>预算执行情况分析</w:t>
      </w:r>
    </w:p>
    <w:p>
      <w:pPr>
        <w:widowControl/>
        <w:rPr>
          <w:rFonts w:hint="eastAsia" w:ascii="宋体" w:hAnsi="宋体"/>
          <w:b/>
          <w:color w:val="000000"/>
          <w:spacing w:val="2"/>
          <w:sz w:val="28"/>
          <w:szCs w:val="28"/>
          <w:highlight w:val="none"/>
        </w:rPr>
      </w:pPr>
      <w:r>
        <w:rPr>
          <w:rFonts w:hint="eastAsia" w:ascii="宋体" w:hAnsi="宋体"/>
          <w:b/>
          <w:color w:val="000000"/>
          <w:spacing w:val="2"/>
          <w:sz w:val="28"/>
          <w:szCs w:val="28"/>
          <w:highlight w:val="none"/>
        </w:rPr>
        <w:t>（一）收入支出预算安排情况</w:t>
      </w:r>
    </w:p>
    <w:p>
      <w:pPr>
        <w:widowControl/>
        <w:ind w:firstLine="556" w:firstLineChars="196"/>
        <w:rPr>
          <w:rFonts w:hint="eastAsia" w:ascii="宋体" w:hAnsi="宋体"/>
          <w:color w:val="000000"/>
          <w:spacing w:val="2"/>
          <w:sz w:val="28"/>
          <w:szCs w:val="28"/>
          <w:highlight w:val="none"/>
        </w:rPr>
      </w:pPr>
      <w:r>
        <w:rPr>
          <w:rFonts w:hint="eastAsia" w:ascii="宋体" w:hAnsi="宋体"/>
          <w:color w:val="000000"/>
          <w:spacing w:val="2"/>
          <w:sz w:val="28"/>
          <w:szCs w:val="28"/>
          <w:highlight w:val="none"/>
        </w:rPr>
        <w:t>2021年财政收入预算数810485元，其中人员经费486720元，公用经费323765元, 2021年财政支出预算数</w:t>
      </w:r>
      <w:r>
        <w:rPr>
          <w:rFonts w:ascii="宋体" w:hAnsi="宋体"/>
          <w:color w:val="000000"/>
          <w:spacing w:val="2"/>
          <w:sz w:val="28"/>
          <w:szCs w:val="28"/>
          <w:highlight w:val="none"/>
        </w:rPr>
        <w:t>1</w:t>
      </w:r>
      <w:r>
        <w:rPr>
          <w:rFonts w:hint="eastAsia" w:ascii="宋体" w:hAnsi="宋体"/>
          <w:color w:val="000000"/>
          <w:spacing w:val="2"/>
          <w:sz w:val="28"/>
          <w:szCs w:val="28"/>
          <w:highlight w:val="none"/>
        </w:rPr>
        <w:t>810485元，其中人员经费486720元，公用经费323765元,, 2020年财政收入预算数</w:t>
      </w:r>
      <w:r>
        <w:rPr>
          <w:rFonts w:ascii="宋体" w:hAnsi="宋体"/>
          <w:color w:val="000000"/>
          <w:spacing w:val="2"/>
          <w:sz w:val="28"/>
          <w:szCs w:val="28"/>
          <w:highlight w:val="none"/>
        </w:rPr>
        <w:t>1068429</w:t>
      </w:r>
      <w:r>
        <w:rPr>
          <w:rFonts w:hint="eastAsia" w:ascii="宋体" w:hAnsi="宋体"/>
          <w:color w:val="000000"/>
          <w:spacing w:val="2"/>
          <w:sz w:val="28"/>
          <w:szCs w:val="28"/>
          <w:highlight w:val="none"/>
        </w:rPr>
        <w:t>元，其中人员经费</w:t>
      </w:r>
      <w:r>
        <w:rPr>
          <w:rFonts w:ascii="宋体" w:hAnsi="宋体"/>
          <w:color w:val="000000"/>
          <w:spacing w:val="2"/>
          <w:sz w:val="28"/>
          <w:szCs w:val="28"/>
          <w:highlight w:val="none"/>
        </w:rPr>
        <w:t>686337</w:t>
      </w:r>
      <w:r>
        <w:rPr>
          <w:rFonts w:hint="eastAsia" w:ascii="宋体" w:hAnsi="宋体"/>
          <w:color w:val="000000"/>
          <w:spacing w:val="2"/>
          <w:sz w:val="28"/>
          <w:szCs w:val="28"/>
          <w:highlight w:val="none"/>
        </w:rPr>
        <w:t>元，公用经费</w:t>
      </w:r>
      <w:r>
        <w:rPr>
          <w:rFonts w:ascii="宋体" w:hAnsi="宋体"/>
          <w:color w:val="000000"/>
          <w:spacing w:val="2"/>
          <w:sz w:val="28"/>
          <w:szCs w:val="28"/>
          <w:highlight w:val="none"/>
        </w:rPr>
        <w:t>382092</w:t>
      </w:r>
      <w:r>
        <w:rPr>
          <w:rFonts w:hint="eastAsia" w:ascii="宋体" w:hAnsi="宋体"/>
          <w:color w:val="000000"/>
          <w:spacing w:val="2"/>
          <w:sz w:val="28"/>
          <w:szCs w:val="28"/>
          <w:highlight w:val="none"/>
        </w:rPr>
        <w:t>元, 2020年财政支出预算数</w:t>
      </w:r>
      <w:r>
        <w:rPr>
          <w:rFonts w:ascii="宋体" w:hAnsi="宋体"/>
          <w:color w:val="000000"/>
          <w:spacing w:val="2"/>
          <w:sz w:val="28"/>
          <w:szCs w:val="28"/>
          <w:highlight w:val="none"/>
        </w:rPr>
        <w:t>1068429</w:t>
      </w:r>
      <w:r>
        <w:rPr>
          <w:rFonts w:hint="eastAsia" w:ascii="宋体" w:hAnsi="宋体"/>
          <w:color w:val="000000"/>
          <w:spacing w:val="2"/>
          <w:sz w:val="28"/>
          <w:szCs w:val="28"/>
          <w:highlight w:val="none"/>
        </w:rPr>
        <w:t>元，其中人员经费</w:t>
      </w:r>
      <w:r>
        <w:rPr>
          <w:rFonts w:ascii="宋体" w:hAnsi="宋体"/>
          <w:color w:val="000000"/>
          <w:spacing w:val="2"/>
          <w:sz w:val="28"/>
          <w:szCs w:val="28"/>
          <w:highlight w:val="none"/>
        </w:rPr>
        <w:t>686337</w:t>
      </w:r>
      <w:r>
        <w:rPr>
          <w:rFonts w:hint="eastAsia" w:ascii="宋体" w:hAnsi="宋体"/>
          <w:color w:val="000000"/>
          <w:spacing w:val="2"/>
          <w:sz w:val="28"/>
          <w:szCs w:val="28"/>
          <w:highlight w:val="none"/>
        </w:rPr>
        <w:t>元，公用经费</w:t>
      </w:r>
      <w:r>
        <w:rPr>
          <w:rFonts w:ascii="宋体" w:hAnsi="宋体"/>
          <w:color w:val="000000"/>
          <w:spacing w:val="2"/>
          <w:sz w:val="28"/>
          <w:szCs w:val="28"/>
          <w:highlight w:val="none"/>
        </w:rPr>
        <w:t>382092</w:t>
      </w:r>
      <w:r>
        <w:rPr>
          <w:rFonts w:hint="eastAsia" w:ascii="宋体" w:hAnsi="宋体"/>
          <w:color w:val="000000"/>
          <w:spacing w:val="2"/>
          <w:sz w:val="28"/>
          <w:szCs w:val="28"/>
          <w:highlight w:val="none"/>
        </w:rPr>
        <w:t>元,2021年收入预算数安排比上年增加</w:t>
      </w:r>
      <w:r>
        <w:rPr>
          <w:rFonts w:ascii="宋体" w:hAnsi="宋体"/>
          <w:color w:val="000000"/>
          <w:spacing w:val="2"/>
          <w:sz w:val="28"/>
          <w:szCs w:val="28"/>
          <w:highlight w:val="none"/>
        </w:rPr>
        <w:t>232415</w:t>
      </w:r>
      <w:r>
        <w:rPr>
          <w:rFonts w:hint="eastAsia" w:ascii="宋体" w:hAnsi="宋体"/>
          <w:color w:val="000000"/>
          <w:spacing w:val="2"/>
          <w:sz w:val="28"/>
          <w:szCs w:val="28"/>
          <w:highlight w:val="none"/>
        </w:rPr>
        <w:t>元， 2021年支出预算数安排比上年减少257944元。</w:t>
      </w:r>
    </w:p>
    <w:p>
      <w:pPr>
        <w:widowControl/>
        <w:rPr>
          <w:rFonts w:hint="eastAsia" w:ascii="宋体" w:hAnsi="宋体"/>
          <w:b/>
          <w:color w:val="000000"/>
          <w:spacing w:val="2"/>
          <w:sz w:val="28"/>
          <w:szCs w:val="28"/>
          <w:highlight w:val="none"/>
        </w:rPr>
      </w:pPr>
      <w:r>
        <w:rPr>
          <w:rFonts w:hint="eastAsia" w:ascii="宋体" w:hAnsi="宋体"/>
          <w:b/>
          <w:color w:val="000000"/>
          <w:spacing w:val="2"/>
          <w:sz w:val="28"/>
          <w:szCs w:val="28"/>
          <w:highlight w:val="none"/>
        </w:rPr>
        <w:t>（二）收入支出预算执行情况</w:t>
      </w:r>
    </w:p>
    <w:p>
      <w:pPr>
        <w:widowControl/>
        <w:ind w:firstLine="426" w:firstLineChars="150"/>
        <w:rPr>
          <w:rFonts w:hint="eastAsia" w:ascii="宋体" w:hAnsi="宋体"/>
          <w:color w:val="000000"/>
          <w:spacing w:val="2"/>
          <w:sz w:val="28"/>
          <w:szCs w:val="28"/>
          <w:highlight w:val="none"/>
        </w:rPr>
      </w:pPr>
      <w:r>
        <w:rPr>
          <w:rFonts w:hint="eastAsia" w:ascii="宋体" w:hAnsi="宋体"/>
          <w:color w:val="000000"/>
          <w:spacing w:val="2"/>
          <w:sz w:val="28"/>
          <w:szCs w:val="28"/>
          <w:highlight w:val="none"/>
        </w:rPr>
        <w:t>2021年财政收入预算执行数810485元，其中人员经费486720元，公用经费323765元, 2021年财政支出预算执行数810485元，其中人员经费486720元，公用经费323765元, 2021年收入预算数执行比上年减少257944元， 2021年支出预算数执行比上年减少257944元。</w:t>
      </w:r>
    </w:p>
    <w:p>
      <w:pPr>
        <w:widowControl/>
        <w:rPr>
          <w:rFonts w:hint="eastAsia" w:ascii="宋体" w:hAnsi="宋体"/>
          <w:b/>
          <w:color w:val="000000"/>
          <w:spacing w:val="2"/>
          <w:sz w:val="28"/>
          <w:szCs w:val="28"/>
          <w:highlight w:val="none"/>
        </w:rPr>
      </w:pPr>
      <w:r>
        <w:rPr>
          <w:rFonts w:hint="eastAsia" w:ascii="宋体" w:hAnsi="宋体"/>
          <w:b/>
          <w:color w:val="000000"/>
          <w:spacing w:val="2"/>
          <w:sz w:val="28"/>
          <w:szCs w:val="28"/>
          <w:highlight w:val="none"/>
        </w:rPr>
        <w:t>（三）收入支出与预算对比分析</w:t>
      </w:r>
    </w:p>
    <w:p>
      <w:pPr>
        <w:spacing w:line="360" w:lineRule="auto"/>
        <w:ind w:firstLine="568" w:firstLineChars="200"/>
        <w:rPr>
          <w:rFonts w:hint="eastAsia" w:ascii="宋体" w:hAnsi="宋体"/>
          <w:color w:val="000000"/>
          <w:spacing w:val="2"/>
          <w:sz w:val="28"/>
          <w:szCs w:val="28"/>
          <w:highlight w:val="none"/>
        </w:rPr>
      </w:pPr>
      <w:r>
        <w:rPr>
          <w:rFonts w:hint="eastAsia" w:ascii="宋体" w:hAnsi="宋体"/>
          <w:color w:val="000000"/>
          <w:spacing w:val="2"/>
          <w:sz w:val="28"/>
          <w:szCs w:val="28"/>
          <w:highlight w:val="none"/>
        </w:rPr>
        <w:t>2021年全年总收入2705353.08元,其中财拔款决算收入2169007.46元,其他收入536345.62元， 2021年全年决算总支出2705353.08元,其中财拔款决算支出2169007.46元,2021年财政预算数810485元，财</w:t>
      </w:r>
      <w:r>
        <w:rPr>
          <w:rFonts w:hint="eastAsia" w:ascii="宋体" w:hAnsi="宋体"/>
          <w:color w:val="000000"/>
          <w:spacing w:val="2"/>
          <w:sz w:val="28"/>
          <w:szCs w:val="28"/>
          <w:highlight w:val="none"/>
          <w:lang w:val="en-US" w:eastAsia="zh-CN"/>
        </w:rPr>
        <w:t>拨</w:t>
      </w:r>
      <w:r>
        <w:rPr>
          <w:rFonts w:hint="eastAsia" w:ascii="宋体" w:hAnsi="宋体"/>
          <w:color w:val="000000"/>
          <w:spacing w:val="2"/>
          <w:sz w:val="28"/>
          <w:szCs w:val="28"/>
          <w:highlight w:val="none"/>
        </w:rPr>
        <w:t>决算比预算多1358522.46元,幅度为167.62%,原因为业务增加。</w:t>
      </w:r>
    </w:p>
    <w:p>
      <w:pPr>
        <w:spacing w:line="440" w:lineRule="exact"/>
        <w:rPr>
          <w:rFonts w:hint="eastAsia" w:ascii="宋体" w:hAnsi="宋体"/>
          <w:b/>
          <w:color w:val="000000"/>
          <w:spacing w:val="2"/>
          <w:sz w:val="28"/>
          <w:szCs w:val="28"/>
          <w:highlight w:val="none"/>
        </w:rPr>
      </w:pPr>
      <w:r>
        <w:rPr>
          <w:rFonts w:hint="eastAsia" w:ascii="宋体" w:hAnsi="宋体"/>
          <w:b/>
          <w:color w:val="000000"/>
          <w:spacing w:val="2"/>
          <w:sz w:val="28"/>
          <w:szCs w:val="28"/>
          <w:highlight w:val="none"/>
        </w:rPr>
        <w:t>（四）收入支出结构分析</w:t>
      </w:r>
    </w:p>
    <w:p>
      <w:pPr>
        <w:spacing w:line="440" w:lineRule="exact"/>
        <w:ind w:firstLine="568" w:firstLineChars="200"/>
        <w:rPr>
          <w:rFonts w:hint="eastAsia" w:ascii="宋体" w:hAnsi="宋体"/>
          <w:color w:val="000000"/>
          <w:spacing w:val="2"/>
          <w:sz w:val="28"/>
          <w:szCs w:val="28"/>
          <w:highlight w:val="none"/>
        </w:rPr>
      </w:pPr>
      <w:r>
        <w:rPr>
          <w:rFonts w:hint="eastAsia" w:ascii="宋体" w:hAnsi="宋体"/>
          <w:color w:val="000000"/>
          <w:spacing w:val="2"/>
          <w:sz w:val="28"/>
          <w:szCs w:val="28"/>
          <w:highlight w:val="none"/>
        </w:rPr>
        <w:t>2021年全年总收入2705353.08元,</w:t>
      </w:r>
      <w:r>
        <w:rPr>
          <w:rFonts w:hint="eastAsia" w:ascii="宋体" w:hAnsi="宋体"/>
          <w:color w:val="000000"/>
          <w:spacing w:val="2"/>
          <w:sz w:val="28"/>
          <w:szCs w:val="28"/>
          <w:highlight w:val="none"/>
          <w:lang w:val="en-US" w:eastAsia="zh-CN"/>
        </w:rPr>
        <w:t>同比上升26.40%，</w:t>
      </w:r>
      <w:r>
        <w:rPr>
          <w:rFonts w:hint="eastAsia" w:ascii="宋体" w:hAnsi="宋体"/>
          <w:color w:val="000000"/>
          <w:spacing w:val="2"/>
          <w:sz w:val="28"/>
          <w:szCs w:val="28"/>
          <w:highlight w:val="none"/>
        </w:rPr>
        <w:t>其中财拔款决算收入2169007.46元,其他收入536345.62元</w:t>
      </w:r>
    </w:p>
    <w:p>
      <w:pPr>
        <w:spacing w:line="440" w:lineRule="exact"/>
        <w:ind w:firstLine="568" w:firstLineChars="200"/>
        <w:rPr>
          <w:rFonts w:hint="eastAsia" w:ascii="宋体" w:hAnsi="宋体"/>
          <w:color w:val="000000"/>
          <w:spacing w:val="2"/>
          <w:sz w:val="28"/>
          <w:szCs w:val="28"/>
          <w:highlight w:val="none"/>
        </w:rPr>
      </w:pPr>
      <w:r>
        <w:rPr>
          <w:rFonts w:hint="eastAsia" w:ascii="宋体" w:hAnsi="宋体"/>
          <w:color w:val="000000"/>
          <w:spacing w:val="2"/>
          <w:sz w:val="28"/>
          <w:szCs w:val="28"/>
          <w:highlight w:val="none"/>
        </w:rPr>
        <w:t>2021年全年总支出</w:t>
      </w:r>
      <w:r>
        <w:rPr>
          <w:rFonts w:ascii="宋体" w:hAnsi="宋体"/>
          <w:color w:val="000000"/>
          <w:spacing w:val="2"/>
          <w:sz w:val="28"/>
          <w:szCs w:val="28"/>
          <w:highlight w:val="none"/>
        </w:rPr>
        <w:t>2140350.2</w:t>
      </w:r>
      <w:r>
        <w:rPr>
          <w:rFonts w:hint="eastAsia" w:ascii="宋体" w:hAnsi="宋体"/>
          <w:color w:val="000000"/>
          <w:spacing w:val="2"/>
          <w:sz w:val="28"/>
          <w:szCs w:val="28"/>
          <w:highlight w:val="none"/>
        </w:rPr>
        <w:t>元,</w:t>
      </w:r>
      <w:r>
        <w:rPr>
          <w:rFonts w:hint="eastAsia" w:ascii="宋体" w:hAnsi="宋体"/>
          <w:color w:val="000000"/>
          <w:spacing w:val="2"/>
          <w:sz w:val="28"/>
          <w:szCs w:val="28"/>
          <w:highlight w:val="none"/>
          <w:lang w:val="en-US" w:eastAsia="zh-CN"/>
        </w:rPr>
        <w:t>同比上升26.40%，主要为增加防火建设、应急物资，</w:t>
      </w:r>
      <w:r>
        <w:rPr>
          <w:rFonts w:hint="eastAsia" w:ascii="宋体" w:hAnsi="宋体"/>
          <w:color w:val="000000"/>
          <w:spacing w:val="2"/>
          <w:sz w:val="28"/>
          <w:szCs w:val="28"/>
          <w:highlight w:val="none"/>
        </w:rPr>
        <w:t>其中财拔款决算支出2169007.46元，其他收入536345.62元。支出按以下分类说明：</w:t>
      </w:r>
    </w:p>
    <w:p>
      <w:pPr>
        <w:spacing w:line="440" w:lineRule="exact"/>
        <w:ind w:firstLine="568" w:firstLineChars="200"/>
        <w:rPr>
          <w:rFonts w:hint="eastAsia" w:ascii="宋体" w:hAnsi="宋体"/>
          <w:color w:val="000000"/>
          <w:spacing w:val="2"/>
          <w:sz w:val="28"/>
          <w:szCs w:val="28"/>
          <w:highlight w:val="none"/>
        </w:rPr>
      </w:pPr>
      <w:r>
        <w:rPr>
          <w:rFonts w:hint="eastAsia" w:ascii="宋体" w:hAnsi="宋体"/>
          <w:color w:val="000000"/>
          <w:spacing w:val="2"/>
          <w:sz w:val="28"/>
          <w:szCs w:val="28"/>
          <w:highlight w:val="none"/>
        </w:rPr>
        <w:t>（1）支出功能分类：2705353.08元;其中灾害防治及应急管理支出2705353.08元。</w:t>
      </w:r>
    </w:p>
    <w:p>
      <w:pPr>
        <w:spacing w:line="440" w:lineRule="exact"/>
        <w:ind w:firstLine="568" w:firstLineChars="200"/>
        <w:rPr>
          <w:rFonts w:hint="eastAsia" w:ascii="宋体" w:hAnsi="宋体"/>
          <w:color w:val="000000"/>
          <w:spacing w:val="2"/>
          <w:sz w:val="28"/>
          <w:szCs w:val="28"/>
          <w:highlight w:val="none"/>
        </w:rPr>
      </w:pPr>
      <w:r>
        <w:rPr>
          <w:rFonts w:hint="eastAsia" w:ascii="宋体" w:hAnsi="宋体"/>
          <w:color w:val="000000"/>
          <w:spacing w:val="2"/>
          <w:sz w:val="28"/>
          <w:szCs w:val="28"/>
          <w:highlight w:val="none"/>
        </w:rPr>
        <w:t>（2）支出性质分类：2705353.08元，其中人员经费</w:t>
      </w:r>
      <w:r>
        <w:rPr>
          <w:rFonts w:ascii="宋体" w:hAnsi="宋体"/>
          <w:color w:val="000000"/>
          <w:spacing w:val="2"/>
          <w:sz w:val="28"/>
          <w:szCs w:val="28"/>
          <w:highlight w:val="none"/>
        </w:rPr>
        <w:t>1174877.66</w:t>
      </w:r>
      <w:r>
        <w:rPr>
          <w:rFonts w:hint="eastAsia" w:ascii="宋体" w:hAnsi="宋体"/>
          <w:color w:val="000000"/>
          <w:spacing w:val="2"/>
          <w:sz w:val="28"/>
          <w:szCs w:val="28"/>
          <w:highlight w:val="none"/>
        </w:rPr>
        <w:t>元，公用经费</w:t>
      </w:r>
      <w:r>
        <w:rPr>
          <w:rFonts w:ascii="宋体" w:hAnsi="宋体"/>
          <w:color w:val="000000"/>
          <w:spacing w:val="2"/>
          <w:sz w:val="28"/>
          <w:szCs w:val="28"/>
          <w:highlight w:val="none"/>
        </w:rPr>
        <w:t>1530475.42</w:t>
      </w:r>
      <w:r>
        <w:rPr>
          <w:rFonts w:hint="eastAsia" w:ascii="宋体" w:hAnsi="宋体"/>
          <w:color w:val="000000"/>
          <w:spacing w:val="2"/>
          <w:sz w:val="28"/>
          <w:szCs w:val="28"/>
          <w:highlight w:val="none"/>
        </w:rPr>
        <w:t>元;</w:t>
      </w:r>
      <w:r>
        <w:rPr>
          <w:rFonts w:hint="eastAsia" w:ascii="宋体" w:hAnsi="宋体"/>
          <w:color w:val="FF0000"/>
          <w:spacing w:val="2"/>
          <w:sz w:val="28"/>
          <w:szCs w:val="28"/>
          <w:highlight w:val="none"/>
        </w:rPr>
        <w:t xml:space="preserve"> </w:t>
      </w:r>
    </w:p>
    <w:p>
      <w:pPr>
        <w:spacing w:line="440" w:lineRule="exact"/>
        <w:ind w:firstLine="710" w:firstLineChars="250"/>
        <w:rPr>
          <w:rFonts w:hint="eastAsia" w:ascii="宋体" w:hAnsi="宋体"/>
          <w:color w:val="000000"/>
          <w:spacing w:val="2"/>
          <w:sz w:val="28"/>
          <w:szCs w:val="28"/>
          <w:highlight w:val="none"/>
        </w:rPr>
      </w:pPr>
      <w:r>
        <w:rPr>
          <w:rFonts w:hint="eastAsia" w:ascii="宋体" w:hAnsi="宋体"/>
          <w:color w:val="000000"/>
          <w:spacing w:val="2"/>
          <w:sz w:val="28"/>
          <w:szCs w:val="28"/>
          <w:highlight w:val="none"/>
        </w:rPr>
        <w:t>(3)支出经济分类：2705353.08元，其中工资福利支出1133477.66元，商品服务支出1495895.42元，对个人和家庭的补助支出41400元，其它资本性支出34580元。</w:t>
      </w:r>
    </w:p>
    <w:p>
      <w:pPr>
        <w:spacing w:line="440" w:lineRule="exact"/>
        <w:ind w:firstLine="568" w:firstLineChars="200"/>
        <w:rPr>
          <w:rFonts w:hint="eastAsia" w:ascii="宋体" w:hAnsi="宋体"/>
          <w:color w:val="000000"/>
          <w:spacing w:val="2"/>
          <w:sz w:val="28"/>
          <w:szCs w:val="28"/>
          <w:highlight w:val="none"/>
        </w:rPr>
      </w:pPr>
      <w:r>
        <w:rPr>
          <w:rFonts w:hint="eastAsia" w:ascii="宋体" w:hAnsi="宋体"/>
          <w:color w:val="000000"/>
          <w:spacing w:val="2"/>
          <w:sz w:val="28"/>
          <w:szCs w:val="28"/>
          <w:highlight w:val="none"/>
        </w:rPr>
        <w:t>（</w:t>
      </w:r>
      <w:r>
        <w:rPr>
          <w:rFonts w:hint="eastAsia" w:ascii="宋体" w:hAnsi="宋体"/>
          <w:color w:val="000000"/>
          <w:spacing w:val="2"/>
          <w:sz w:val="28"/>
          <w:szCs w:val="28"/>
          <w:highlight w:val="none"/>
          <w:lang w:val="en-US" w:eastAsia="zh-CN"/>
        </w:rPr>
        <w:t>4</w:t>
      </w:r>
      <w:r>
        <w:rPr>
          <w:rFonts w:hint="eastAsia" w:ascii="宋体" w:hAnsi="宋体"/>
          <w:color w:val="000000"/>
          <w:spacing w:val="2"/>
          <w:sz w:val="28"/>
          <w:szCs w:val="28"/>
          <w:highlight w:val="none"/>
        </w:rPr>
        <w:t>）支出按经济分类科目分析</w:t>
      </w:r>
    </w:p>
    <w:p>
      <w:pPr>
        <w:spacing w:line="440" w:lineRule="exact"/>
        <w:ind w:firstLine="710" w:firstLineChars="250"/>
        <w:rPr>
          <w:rFonts w:hint="eastAsia" w:ascii="宋体" w:hAnsi="宋体"/>
          <w:color w:val="000000"/>
          <w:spacing w:val="2"/>
          <w:sz w:val="28"/>
          <w:szCs w:val="28"/>
          <w:highlight w:val="none"/>
        </w:rPr>
      </w:pPr>
      <w:r>
        <w:rPr>
          <w:rFonts w:hint="eastAsia" w:ascii="宋体" w:hAnsi="宋体"/>
          <w:color w:val="000000"/>
          <w:spacing w:val="2"/>
          <w:sz w:val="28"/>
          <w:szCs w:val="28"/>
          <w:highlight w:val="none"/>
        </w:rPr>
        <w:t>2021年全年总支出2705353.08元，其中工资福利支出1133477.66元，商品服务支出1495895.42元，对个人和家庭的补助支出41400元，其它资本性支出34580元。</w:t>
      </w:r>
    </w:p>
    <w:p>
      <w:pPr>
        <w:spacing w:line="440" w:lineRule="exact"/>
        <w:rPr>
          <w:rFonts w:hint="eastAsia" w:ascii="宋体" w:hAnsi="宋体"/>
          <w:b/>
          <w:color w:val="FF6600"/>
          <w:spacing w:val="2"/>
          <w:sz w:val="28"/>
          <w:szCs w:val="28"/>
          <w:highlight w:val="none"/>
        </w:rPr>
      </w:pPr>
      <w:r>
        <w:rPr>
          <w:rFonts w:hint="eastAsia" w:ascii="宋体" w:hAnsi="宋体"/>
          <w:b/>
          <w:color w:val="000000"/>
          <w:spacing w:val="2"/>
          <w:sz w:val="28"/>
          <w:szCs w:val="28"/>
          <w:highlight w:val="none"/>
        </w:rPr>
        <w:t>（</w:t>
      </w:r>
      <w:r>
        <w:rPr>
          <w:rFonts w:hint="eastAsia" w:ascii="宋体" w:hAnsi="宋体"/>
          <w:b/>
          <w:color w:val="000000"/>
          <w:spacing w:val="2"/>
          <w:sz w:val="28"/>
          <w:szCs w:val="28"/>
          <w:highlight w:val="none"/>
          <w:lang w:eastAsia="zh-CN"/>
        </w:rPr>
        <w:t>五</w:t>
      </w:r>
      <w:r>
        <w:rPr>
          <w:rFonts w:hint="eastAsia" w:ascii="宋体" w:hAnsi="宋体"/>
          <w:b/>
          <w:color w:val="000000"/>
          <w:spacing w:val="2"/>
          <w:sz w:val="28"/>
          <w:szCs w:val="28"/>
          <w:highlight w:val="none"/>
        </w:rPr>
        <w:t>）财政拔款收入、支出分析</w:t>
      </w:r>
    </w:p>
    <w:p>
      <w:pPr>
        <w:spacing w:line="440" w:lineRule="exact"/>
        <w:ind w:firstLine="568" w:firstLineChars="200"/>
        <w:rPr>
          <w:rFonts w:hint="default" w:ascii="宋体" w:hAnsi="宋体" w:eastAsiaTheme="minorEastAsia"/>
          <w:color w:val="000000"/>
          <w:spacing w:val="2"/>
          <w:sz w:val="28"/>
          <w:szCs w:val="28"/>
          <w:lang w:val="en-US" w:eastAsia="zh-CN"/>
        </w:rPr>
      </w:pPr>
      <w:r>
        <w:rPr>
          <w:rFonts w:hint="eastAsia" w:ascii="宋体" w:hAnsi="宋体"/>
          <w:color w:val="000000"/>
          <w:spacing w:val="2"/>
          <w:sz w:val="28"/>
          <w:szCs w:val="28"/>
          <w:highlight w:val="none"/>
          <w:lang w:val="en-US" w:eastAsia="zh-CN"/>
        </w:rPr>
        <w:t>2021年</w:t>
      </w:r>
      <w:r>
        <w:rPr>
          <w:rFonts w:hint="eastAsia" w:ascii="宋体" w:hAnsi="宋体"/>
          <w:color w:val="000000"/>
          <w:spacing w:val="2"/>
          <w:sz w:val="28"/>
          <w:szCs w:val="28"/>
          <w:highlight w:val="none"/>
        </w:rPr>
        <w:t>财拔款决算收入2169007.46元，其中人员经费</w:t>
      </w:r>
      <w:r>
        <w:rPr>
          <w:rFonts w:ascii="宋体" w:hAnsi="宋体"/>
          <w:color w:val="000000"/>
          <w:spacing w:val="2"/>
          <w:sz w:val="28"/>
          <w:szCs w:val="28"/>
          <w:highlight w:val="none"/>
        </w:rPr>
        <w:t>1169188.66</w:t>
      </w:r>
      <w:r>
        <w:rPr>
          <w:rFonts w:hint="eastAsia" w:ascii="宋体" w:hAnsi="宋体"/>
          <w:color w:val="000000"/>
          <w:spacing w:val="2"/>
          <w:sz w:val="28"/>
          <w:szCs w:val="28"/>
          <w:highlight w:val="none"/>
        </w:rPr>
        <w:t>元，公用经费</w:t>
      </w:r>
      <w:r>
        <w:rPr>
          <w:rFonts w:ascii="宋体" w:hAnsi="宋体"/>
          <w:color w:val="000000"/>
          <w:spacing w:val="2"/>
          <w:sz w:val="28"/>
          <w:szCs w:val="28"/>
          <w:highlight w:val="none"/>
        </w:rPr>
        <w:t>999818.80</w:t>
      </w:r>
      <w:r>
        <w:rPr>
          <w:rFonts w:hint="eastAsia" w:ascii="宋体" w:hAnsi="宋体"/>
          <w:color w:val="000000"/>
          <w:spacing w:val="2"/>
          <w:sz w:val="28"/>
          <w:szCs w:val="28"/>
          <w:highlight w:val="none"/>
        </w:rPr>
        <w:t>元；</w:t>
      </w:r>
      <w:r>
        <w:rPr>
          <w:rFonts w:hint="eastAsia" w:ascii="宋体" w:hAnsi="宋体"/>
          <w:color w:val="000000"/>
          <w:spacing w:val="2"/>
          <w:sz w:val="28"/>
          <w:szCs w:val="28"/>
          <w:highlight w:val="none"/>
          <w:lang w:val="en-US" w:eastAsia="zh-CN"/>
        </w:rPr>
        <w:t>2020年</w:t>
      </w:r>
      <w:r>
        <w:rPr>
          <w:rFonts w:hint="eastAsia" w:ascii="宋体" w:hAnsi="宋体"/>
          <w:color w:val="000000"/>
          <w:spacing w:val="2"/>
          <w:sz w:val="28"/>
          <w:szCs w:val="28"/>
        </w:rPr>
        <w:t>财拔款决算收入</w:t>
      </w:r>
      <w:r>
        <w:rPr>
          <w:rFonts w:ascii="宋体" w:hAnsi="宋体"/>
          <w:color w:val="000000"/>
          <w:spacing w:val="2"/>
          <w:sz w:val="28"/>
          <w:szCs w:val="28"/>
        </w:rPr>
        <w:t>1878542.2</w:t>
      </w:r>
      <w:r>
        <w:rPr>
          <w:rFonts w:hint="eastAsia" w:ascii="宋体" w:hAnsi="宋体"/>
          <w:color w:val="000000"/>
          <w:spacing w:val="2"/>
          <w:sz w:val="28"/>
          <w:szCs w:val="28"/>
        </w:rPr>
        <w:t>元，其中人员经费</w:t>
      </w:r>
      <w:r>
        <w:rPr>
          <w:rFonts w:ascii="宋体" w:hAnsi="宋体"/>
          <w:color w:val="000000"/>
          <w:spacing w:val="2"/>
          <w:sz w:val="28"/>
          <w:szCs w:val="28"/>
        </w:rPr>
        <w:t>1245997.31</w:t>
      </w:r>
      <w:r>
        <w:rPr>
          <w:rFonts w:hint="eastAsia" w:ascii="宋体" w:hAnsi="宋体"/>
          <w:color w:val="000000"/>
          <w:spacing w:val="2"/>
          <w:sz w:val="28"/>
          <w:szCs w:val="28"/>
        </w:rPr>
        <w:t>元，公用经费</w:t>
      </w:r>
      <w:r>
        <w:rPr>
          <w:rFonts w:ascii="宋体" w:hAnsi="宋体"/>
          <w:color w:val="000000"/>
          <w:spacing w:val="2"/>
          <w:sz w:val="28"/>
          <w:szCs w:val="28"/>
        </w:rPr>
        <w:t>632544.89</w:t>
      </w:r>
      <w:r>
        <w:rPr>
          <w:rFonts w:hint="eastAsia" w:ascii="宋体" w:hAnsi="宋体"/>
          <w:color w:val="000000"/>
          <w:spacing w:val="2"/>
          <w:sz w:val="28"/>
          <w:szCs w:val="28"/>
        </w:rPr>
        <w:t>元；202</w:t>
      </w:r>
      <w:r>
        <w:rPr>
          <w:rFonts w:hint="eastAsia" w:ascii="宋体" w:hAnsi="宋体"/>
          <w:color w:val="000000"/>
          <w:spacing w:val="2"/>
          <w:sz w:val="28"/>
          <w:szCs w:val="28"/>
          <w:lang w:val="en-US" w:eastAsia="zh-CN"/>
        </w:rPr>
        <w:t>1</w:t>
      </w:r>
      <w:r>
        <w:rPr>
          <w:rFonts w:hint="eastAsia" w:ascii="宋体" w:hAnsi="宋体"/>
          <w:color w:val="000000"/>
          <w:spacing w:val="2"/>
          <w:sz w:val="28"/>
          <w:szCs w:val="28"/>
        </w:rPr>
        <w:t>年</w:t>
      </w:r>
      <w:r>
        <w:rPr>
          <w:rFonts w:hint="eastAsia" w:ascii="宋体" w:hAnsi="宋体"/>
          <w:color w:val="000000"/>
          <w:spacing w:val="2"/>
          <w:sz w:val="28"/>
          <w:szCs w:val="28"/>
          <w:highlight w:val="none"/>
        </w:rPr>
        <w:t>财拔款决算收入</w:t>
      </w:r>
      <w:r>
        <w:rPr>
          <w:rFonts w:hint="eastAsia" w:ascii="宋体" w:hAnsi="宋体"/>
          <w:color w:val="000000"/>
          <w:spacing w:val="2"/>
          <w:sz w:val="28"/>
          <w:szCs w:val="28"/>
        </w:rPr>
        <w:t>比上年增加</w:t>
      </w:r>
      <w:r>
        <w:rPr>
          <w:rFonts w:hint="eastAsia" w:ascii="宋体" w:hAnsi="宋体"/>
          <w:color w:val="000000"/>
          <w:spacing w:val="2"/>
          <w:sz w:val="28"/>
          <w:szCs w:val="28"/>
          <w:lang w:val="en-US" w:eastAsia="zh-CN"/>
        </w:rPr>
        <w:t>290465.26元，增加幅度为15.46%，</w:t>
      </w:r>
      <w:r>
        <w:rPr>
          <w:rFonts w:hint="eastAsia" w:ascii="宋体" w:hAnsi="宋体"/>
          <w:color w:val="000000"/>
          <w:spacing w:val="2"/>
          <w:sz w:val="28"/>
          <w:szCs w:val="28"/>
        </w:rPr>
        <w:t>原因为业务增加。</w:t>
      </w:r>
    </w:p>
    <w:p>
      <w:pPr>
        <w:spacing w:line="440" w:lineRule="exact"/>
        <w:ind w:firstLine="568" w:firstLineChars="200"/>
        <w:rPr>
          <w:rFonts w:hint="default" w:ascii="宋体" w:hAnsi="宋体" w:eastAsiaTheme="minorEastAsia"/>
          <w:color w:val="000000"/>
          <w:spacing w:val="2"/>
          <w:sz w:val="28"/>
          <w:szCs w:val="28"/>
          <w:highlight w:val="none"/>
          <w:lang w:val="en-US" w:eastAsia="zh-CN"/>
        </w:rPr>
      </w:pPr>
    </w:p>
    <w:p>
      <w:pPr>
        <w:spacing w:line="440" w:lineRule="exact"/>
        <w:ind w:firstLine="568" w:firstLineChars="200"/>
        <w:rPr>
          <w:rFonts w:hint="default" w:ascii="宋体" w:hAnsi="宋体" w:eastAsiaTheme="minorEastAsia"/>
          <w:color w:val="000000"/>
          <w:spacing w:val="2"/>
          <w:sz w:val="28"/>
          <w:szCs w:val="28"/>
          <w:highlight w:val="none"/>
          <w:lang w:val="en-US" w:eastAsia="zh-CN"/>
        </w:rPr>
      </w:pPr>
      <w:r>
        <w:rPr>
          <w:rFonts w:hint="eastAsia" w:ascii="宋体" w:hAnsi="宋体"/>
          <w:color w:val="000000"/>
          <w:spacing w:val="2"/>
          <w:sz w:val="28"/>
          <w:szCs w:val="28"/>
          <w:highlight w:val="none"/>
          <w:lang w:val="en-US" w:eastAsia="zh-CN"/>
        </w:rPr>
        <w:t>2021年</w:t>
      </w:r>
      <w:r>
        <w:rPr>
          <w:rFonts w:hint="eastAsia" w:ascii="宋体" w:hAnsi="宋体"/>
          <w:color w:val="000000"/>
          <w:spacing w:val="2"/>
          <w:sz w:val="28"/>
          <w:szCs w:val="28"/>
          <w:highlight w:val="none"/>
        </w:rPr>
        <w:t>财拔款决算支出2169007.46元，其中人员经费</w:t>
      </w:r>
      <w:r>
        <w:rPr>
          <w:rFonts w:ascii="宋体" w:hAnsi="宋体"/>
          <w:color w:val="000000"/>
          <w:spacing w:val="2"/>
          <w:sz w:val="28"/>
          <w:szCs w:val="28"/>
          <w:highlight w:val="none"/>
        </w:rPr>
        <w:t>1169188.66</w:t>
      </w:r>
      <w:r>
        <w:rPr>
          <w:rFonts w:hint="eastAsia" w:ascii="宋体" w:hAnsi="宋体"/>
          <w:color w:val="000000"/>
          <w:spacing w:val="2"/>
          <w:sz w:val="28"/>
          <w:szCs w:val="28"/>
          <w:highlight w:val="none"/>
        </w:rPr>
        <w:t>元，公用经费</w:t>
      </w:r>
      <w:r>
        <w:rPr>
          <w:rFonts w:ascii="宋体" w:hAnsi="宋体"/>
          <w:color w:val="000000"/>
          <w:spacing w:val="2"/>
          <w:sz w:val="28"/>
          <w:szCs w:val="28"/>
          <w:highlight w:val="none"/>
        </w:rPr>
        <w:t>999818.80</w:t>
      </w:r>
      <w:r>
        <w:rPr>
          <w:rFonts w:hint="eastAsia" w:ascii="宋体" w:hAnsi="宋体"/>
          <w:color w:val="000000"/>
          <w:spacing w:val="2"/>
          <w:sz w:val="28"/>
          <w:szCs w:val="28"/>
          <w:highlight w:val="none"/>
        </w:rPr>
        <w:t>元；</w:t>
      </w:r>
      <w:r>
        <w:rPr>
          <w:rFonts w:hint="eastAsia" w:ascii="宋体" w:hAnsi="宋体"/>
          <w:color w:val="000000"/>
          <w:spacing w:val="2"/>
          <w:sz w:val="28"/>
          <w:szCs w:val="28"/>
          <w:highlight w:val="none"/>
          <w:lang w:val="en-US" w:eastAsia="zh-CN"/>
        </w:rPr>
        <w:t>2020年</w:t>
      </w:r>
      <w:r>
        <w:rPr>
          <w:rFonts w:hint="eastAsia" w:ascii="宋体" w:hAnsi="宋体"/>
          <w:color w:val="000000"/>
          <w:spacing w:val="2"/>
          <w:sz w:val="28"/>
          <w:szCs w:val="28"/>
        </w:rPr>
        <w:t>财拔款决算支出</w:t>
      </w:r>
      <w:r>
        <w:rPr>
          <w:rFonts w:ascii="宋体" w:hAnsi="宋体"/>
          <w:color w:val="000000"/>
          <w:spacing w:val="2"/>
          <w:sz w:val="28"/>
          <w:szCs w:val="28"/>
        </w:rPr>
        <w:t>1878542.2</w:t>
      </w:r>
      <w:r>
        <w:rPr>
          <w:rFonts w:hint="eastAsia" w:ascii="宋体" w:hAnsi="宋体"/>
          <w:color w:val="000000"/>
          <w:spacing w:val="2"/>
          <w:sz w:val="28"/>
          <w:szCs w:val="28"/>
        </w:rPr>
        <w:t>元，其中人员经费</w:t>
      </w:r>
      <w:r>
        <w:rPr>
          <w:rFonts w:ascii="宋体" w:hAnsi="宋体"/>
          <w:color w:val="000000"/>
          <w:spacing w:val="2"/>
          <w:sz w:val="28"/>
          <w:szCs w:val="28"/>
        </w:rPr>
        <w:t>1245997.31</w:t>
      </w:r>
      <w:r>
        <w:rPr>
          <w:rFonts w:hint="eastAsia" w:ascii="宋体" w:hAnsi="宋体"/>
          <w:color w:val="000000"/>
          <w:spacing w:val="2"/>
          <w:sz w:val="28"/>
          <w:szCs w:val="28"/>
        </w:rPr>
        <w:t>元，公用经费</w:t>
      </w:r>
      <w:r>
        <w:rPr>
          <w:rFonts w:ascii="宋体" w:hAnsi="宋体"/>
          <w:color w:val="000000"/>
          <w:spacing w:val="2"/>
          <w:sz w:val="28"/>
          <w:szCs w:val="28"/>
        </w:rPr>
        <w:t>632544.89</w:t>
      </w:r>
      <w:r>
        <w:rPr>
          <w:rFonts w:hint="eastAsia" w:ascii="宋体" w:hAnsi="宋体"/>
          <w:color w:val="000000"/>
          <w:spacing w:val="2"/>
          <w:sz w:val="28"/>
          <w:szCs w:val="28"/>
        </w:rPr>
        <w:t>元；202</w:t>
      </w:r>
      <w:r>
        <w:rPr>
          <w:rFonts w:hint="eastAsia" w:ascii="宋体" w:hAnsi="宋体"/>
          <w:color w:val="000000"/>
          <w:spacing w:val="2"/>
          <w:sz w:val="28"/>
          <w:szCs w:val="28"/>
          <w:lang w:val="en-US" w:eastAsia="zh-CN"/>
        </w:rPr>
        <w:t>1</w:t>
      </w:r>
      <w:r>
        <w:rPr>
          <w:rFonts w:hint="eastAsia" w:ascii="宋体" w:hAnsi="宋体"/>
          <w:color w:val="000000"/>
          <w:spacing w:val="2"/>
          <w:sz w:val="28"/>
          <w:szCs w:val="28"/>
        </w:rPr>
        <w:t>年</w:t>
      </w:r>
      <w:r>
        <w:rPr>
          <w:rFonts w:hint="eastAsia" w:ascii="宋体" w:hAnsi="宋体"/>
          <w:color w:val="000000"/>
          <w:spacing w:val="2"/>
          <w:sz w:val="28"/>
          <w:szCs w:val="28"/>
          <w:highlight w:val="none"/>
        </w:rPr>
        <w:t>财拔款决算收入</w:t>
      </w:r>
      <w:r>
        <w:rPr>
          <w:rFonts w:hint="eastAsia" w:ascii="宋体" w:hAnsi="宋体"/>
          <w:color w:val="000000"/>
          <w:spacing w:val="2"/>
          <w:sz w:val="28"/>
          <w:szCs w:val="28"/>
        </w:rPr>
        <w:t>比上年增加</w:t>
      </w:r>
      <w:r>
        <w:rPr>
          <w:rFonts w:hint="eastAsia" w:ascii="宋体" w:hAnsi="宋体"/>
          <w:color w:val="000000"/>
          <w:spacing w:val="2"/>
          <w:sz w:val="28"/>
          <w:szCs w:val="28"/>
          <w:lang w:val="en-US" w:eastAsia="zh-CN"/>
        </w:rPr>
        <w:t>290465.26元，增加幅度为15.46%，</w:t>
      </w:r>
      <w:r>
        <w:rPr>
          <w:rFonts w:hint="eastAsia" w:ascii="宋体" w:hAnsi="宋体"/>
          <w:color w:val="000000"/>
          <w:spacing w:val="2"/>
          <w:sz w:val="28"/>
          <w:szCs w:val="28"/>
        </w:rPr>
        <w:t>原因为业务增加。</w:t>
      </w:r>
    </w:p>
    <w:p>
      <w:pPr>
        <w:spacing w:line="440" w:lineRule="exact"/>
        <w:rPr>
          <w:rFonts w:hint="eastAsia" w:ascii="宋体" w:hAnsi="宋体" w:eastAsiaTheme="minorEastAsia"/>
          <w:color w:val="000000"/>
          <w:spacing w:val="2"/>
          <w:sz w:val="28"/>
          <w:szCs w:val="28"/>
          <w:highlight w:val="none"/>
          <w:lang w:eastAsia="zh-CN"/>
        </w:rPr>
      </w:pPr>
      <w:r>
        <w:rPr>
          <w:rFonts w:hint="eastAsia" w:ascii="宋体" w:hAnsi="宋体"/>
          <w:b/>
          <w:bCs/>
          <w:color w:val="000000"/>
          <w:spacing w:val="2"/>
          <w:sz w:val="28"/>
          <w:szCs w:val="28"/>
          <w:highlight w:val="none"/>
          <w:lang w:eastAsia="zh-CN"/>
        </w:rPr>
        <w:t>二</w:t>
      </w:r>
      <w:r>
        <w:rPr>
          <w:rFonts w:hint="eastAsia" w:ascii="宋体" w:hAnsi="宋体"/>
          <w:b/>
          <w:bCs/>
          <w:color w:val="000000"/>
          <w:spacing w:val="2"/>
          <w:sz w:val="28"/>
          <w:szCs w:val="28"/>
          <w:highlight w:val="none"/>
        </w:rPr>
        <w:t>、关于“三公”经费支出</w:t>
      </w:r>
      <w:r>
        <w:rPr>
          <w:rFonts w:hint="eastAsia" w:ascii="宋体" w:hAnsi="宋体"/>
          <w:b/>
          <w:bCs/>
          <w:color w:val="000000"/>
          <w:spacing w:val="2"/>
          <w:sz w:val="28"/>
          <w:szCs w:val="28"/>
          <w:highlight w:val="none"/>
          <w:lang w:eastAsia="zh-CN"/>
        </w:rPr>
        <w:t>说明</w:t>
      </w:r>
    </w:p>
    <w:p>
      <w:pPr>
        <w:widowControl/>
        <w:spacing w:line="500" w:lineRule="exact"/>
        <w:rPr>
          <w:rFonts w:hint="eastAsia" w:asciiTheme="minorEastAsia" w:hAnsiTheme="minorEastAsia" w:eastAsiaTheme="minorEastAsia" w:cstheme="minorEastAsia"/>
          <w:b/>
          <w:bCs/>
          <w:color w:val="000000"/>
          <w:spacing w:val="2"/>
          <w:sz w:val="28"/>
          <w:szCs w:val="28"/>
          <w:highlight w:val="none"/>
          <w:lang w:val="en-US" w:eastAsia="zh-CN"/>
        </w:rPr>
      </w:pPr>
      <w:r>
        <w:rPr>
          <w:rFonts w:hint="eastAsia" w:ascii="宋体" w:hAnsi="宋体"/>
          <w:b/>
          <w:bCs/>
          <w:sz w:val="28"/>
          <w:szCs w:val="28"/>
          <w:highlight w:val="none"/>
        </w:rPr>
        <w:t>（1）</w:t>
      </w:r>
      <w:r>
        <w:rPr>
          <w:rFonts w:hint="eastAsia" w:asciiTheme="minorEastAsia" w:hAnsiTheme="minorEastAsia" w:cstheme="minorEastAsia"/>
          <w:b/>
          <w:bCs/>
          <w:color w:val="000000"/>
          <w:spacing w:val="2"/>
          <w:sz w:val="28"/>
          <w:szCs w:val="28"/>
          <w:highlight w:val="none"/>
        </w:rPr>
        <w:t>“三公”经费支出情况</w:t>
      </w:r>
      <w:r>
        <w:rPr>
          <w:rFonts w:hint="eastAsia" w:asciiTheme="minorEastAsia" w:hAnsiTheme="minorEastAsia" w:cstheme="minorEastAsia"/>
          <w:b/>
          <w:bCs/>
          <w:color w:val="000000"/>
          <w:spacing w:val="2"/>
          <w:sz w:val="28"/>
          <w:szCs w:val="28"/>
          <w:highlight w:val="none"/>
          <w:lang w:eastAsia="zh-CN"/>
        </w:rPr>
        <w:t>：</w:t>
      </w:r>
    </w:p>
    <w:p>
      <w:pPr>
        <w:spacing w:line="440" w:lineRule="exact"/>
        <w:rPr>
          <w:rFonts w:hint="eastAsia" w:ascii="宋体" w:hAnsi="宋体"/>
          <w:color w:val="FF6600"/>
          <w:sz w:val="28"/>
          <w:szCs w:val="28"/>
          <w:highlight w:val="none"/>
        </w:rPr>
      </w:pPr>
      <w:r>
        <w:rPr>
          <w:rFonts w:hint="eastAsia" w:ascii="宋体" w:hAnsi="宋体"/>
          <w:sz w:val="28"/>
          <w:szCs w:val="28"/>
          <w:highlight w:val="none"/>
        </w:rPr>
        <w:t xml:space="preserve"> </w:t>
      </w:r>
      <w:r>
        <w:rPr>
          <w:rFonts w:hint="eastAsia" w:ascii="宋体" w:hAnsi="宋体"/>
          <w:sz w:val="28"/>
          <w:szCs w:val="28"/>
          <w:highlight w:val="none"/>
          <w:lang w:val="en-US" w:eastAsia="zh-CN"/>
        </w:rPr>
        <w:t xml:space="preserve">   </w:t>
      </w:r>
      <w:r>
        <w:rPr>
          <w:rFonts w:hint="eastAsia" w:ascii="宋体" w:hAnsi="宋体"/>
          <w:sz w:val="28"/>
          <w:szCs w:val="28"/>
          <w:highlight w:val="none"/>
        </w:rPr>
        <w:t>2021年“三公”经费</w:t>
      </w:r>
      <w:r>
        <w:rPr>
          <w:rFonts w:hint="eastAsia" w:ascii="宋体" w:hAnsi="宋体"/>
          <w:sz w:val="28"/>
          <w:szCs w:val="28"/>
          <w:highlight w:val="none"/>
          <w:lang w:val="en-US" w:eastAsia="zh-CN"/>
        </w:rPr>
        <w:t>预算数10000元，</w:t>
      </w:r>
      <w:r>
        <w:rPr>
          <w:rFonts w:hint="eastAsia" w:ascii="宋体" w:hAnsi="宋体"/>
          <w:sz w:val="28"/>
          <w:szCs w:val="28"/>
          <w:highlight w:val="none"/>
        </w:rPr>
        <w:t>决算总支出0元，，与2020年度持平</w:t>
      </w:r>
      <w:r>
        <w:rPr>
          <w:rFonts w:hint="eastAsia" w:ascii="宋体" w:hAnsi="宋体"/>
          <w:sz w:val="28"/>
          <w:szCs w:val="28"/>
          <w:highlight w:val="none"/>
          <w:lang w:eastAsia="zh-CN"/>
        </w:rPr>
        <w:t>，</w:t>
      </w:r>
      <w:r>
        <w:rPr>
          <w:rFonts w:hint="eastAsia" w:ascii="宋体" w:hAnsi="宋体"/>
          <w:sz w:val="28"/>
          <w:szCs w:val="28"/>
          <w:highlight w:val="none"/>
        </w:rPr>
        <w:t>其中：</w:t>
      </w:r>
    </w:p>
    <w:p>
      <w:pPr>
        <w:spacing w:line="440" w:lineRule="exact"/>
        <w:ind w:firstLine="560" w:firstLineChars="200"/>
        <w:rPr>
          <w:rFonts w:hint="eastAsia" w:ascii="宋体" w:hAnsi="宋体"/>
          <w:sz w:val="28"/>
          <w:szCs w:val="28"/>
          <w:highlight w:val="none"/>
        </w:rPr>
      </w:pPr>
      <w:r>
        <w:rPr>
          <w:rFonts w:hint="eastAsia" w:ascii="宋体" w:hAnsi="宋体"/>
          <w:sz w:val="28"/>
          <w:szCs w:val="28"/>
          <w:highlight w:val="none"/>
        </w:rPr>
        <w:t>1.因公出国（境）费</w:t>
      </w:r>
      <w:r>
        <w:rPr>
          <w:rFonts w:hint="eastAsia" w:ascii="宋体" w:hAnsi="宋体"/>
          <w:sz w:val="28"/>
          <w:szCs w:val="28"/>
          <w:highlight w:val="none"/>
          <w:lang w:val="en-US" w:eastAsia="zh-CN"/>
        </w:rPr>
        <w:t>0</w:t>
      </w:r>
      <w:r>
        <w:rPr>
          <w:rFonts w:hint="eastAsia" w:ascii="宋体" w:hAnsi="宋体"/>
          <w:sz w:val="28"/>
          <w:szCs w:val="28"/>
          <w:highlight w:val="none"/>
        </w:rPr>
        <w:t>元，预算数</w:t>
      </w:r>
      <w:r>
        <w:rPr>
          <w:rFonts w:hint="eastAsia" w:ascii="宋体" w:hAnsi="宋体"/>
          <w:sz w:val="28"/>
          <w:szCs w:val="28"/>
          <w:highlight w:val="none"/>
          <w:lang w:val="en-US" w:eastAsia="zh-CN"/>
        </w:rPr>
        <w:t>0</w:t>
      </w:r>
      <w:r>
        <w:rPr>
          <w:rFonts w:hint="eastAsia" w:ascii="宋体" w:hAnsi="宋体"/>
          <w:sz w:val="28"/>
          <w:szCs w:val="28"/>
          <w:highlight w:val="none"/>
        </w:rPr>
        <w:t>元，决算数比预算数增加</w:t>
      </w:r>
      <w:r>
        <w:rPr>
          <w:rFonts w:hint="eastAsia" w:ascii="宋体" w:hAnsi="宋体"/>
          <w:sz w:val="28"/>
          <w:szCs w:val="28"/>
          <w:highlight w:val="none"/>
          <w:lang w:val="en-US" w:eastAsia="zh-CN"/>
        </w:rPr>
        <w:t>0</w:t>
      </w:r>
      <w:r>
        <w:rPr>
          <w:rFonts w:hint="eastAsia" w:ascii="宋体" w:hAnsi="宋体"/>
          <w:sz w:val="28"/>
          <w:szCs w:val="28"/>
          <w:highlight w:val="none"/>
        </w:rPr>
        <w:t>元，增长幅度为</w:t>
      </w:r>
      <w:r>
        <w:rPr>
          <w:rFonts w:hint="eastAsia" w:ascii="宋体" w:hAnsi="宋体"/>
          <w:sz w:val="28"/>
          <w:szCs w:val="28"/>
          <w:highlight w:val="none"/>
          <w:lang w:val="en-US" w:eastAsia="zh-CN"/>
        </w:rPr>
        <w:t>0</w:t>
      </w:r>
      <w:r>
        <w:rPr>
          <w:rFonts w:hint="eastAsia" w:ascii="宋体" w:hAnsi="宋体"/>
          <w:sz w:val="28"/>
          <w:szCs w:val="28"/>
          <w:highlight w:val="none"/>
        </w:rPr>
        <w:t>%，我部门因公出国（境）团组数</w:t>
      </w:r>
      <w:r>
        <w:rPr>
          <w:rFonts w:hint="eastAsia" w:ascii="宋体" w:hAnsi="宋体"/>
          <w:sz w:val="28"/>
          <w:szCs w:val="28"/>
          <w:highlight w:val="none"/>
          <w:lang w:val="en-US" w:eastAsia="zh-CN"/>
        </w:rPr>
        <w:t>0</w:t>
      </w:r>
      <w:r>
        <w:rPr>
          <w:rFonts w:hint="eastAsia" w:ascii="宋体" w:hAnsi="宋体"/>
          <w:sz w:val="28"/>
          <w:szCs w:val="28"/>
          <w:highlight w:val="none"/>
        </w:rPr>
        <w:t>、人数</w:t>
      </w:r>
      <w:r>
        <w:rPr>
          <w:rFonts w:hint="eastAsia" w:ascii="宋体" w:hAnsi="宋体"/>
          <w:sz w:val="28"/>
          <w:szCs w:val="28"/>
          <w:highlight w:val="none"/>
          <w:lang w:val="en-US" w:eastAsia="zh-CN"/>
        </w:rPr>
        <w:t>0</w:t>
      </w:r>
      <w:r>
        <w:rPr>
          <w:rFonts w:hint="eastAsia" w:ascii="宋体" w:hAnsi="宋体"/>
          <w:sz w:val="28"/>
          <w:szCs w:val="28"/>
          <w:highlight w:val="none"/>
        </w:rPr>
        <w:t>，与2020年度持平</w:t>
      </w:r>
    </w:p>
    <w:p>
      <w:pPr>
        <w:spacing w:line="440" w:lineRule="exact"/>
        <w:ind w:firstLine="560" w:firstLineChars="200"/>
        <w:rPr>
          <w:rFonts w:hint="eastAsia" w:ascii="宋体" w:hAnsi="宋体"/>
          <w:sz w:val="28"/>
          <w:szCs w:val="28"/>
          <w:highlight w:val="none"/>
        </w:rPr>
      </w:pPr>
      <w:r>
        <w:rPr>
          <w:rFonts w:hint="eastAsia" w:ascii="宋体" w:hAnsi="宋体"/>
          <w:sz w:val="28"/>
          <w:szCs w:val="28"/>
          <w:highlight w:val="none"/>
        </w:rPr>
        <w:t>2.公务用车购置及运行费支出决算为</w:t>
      </w:r>
      <w:r>
        <w:rPr>
          <w:rFonts w:hint="eastAsia" w:ascii="宋体" w:hAnsi="宋体"/>
          <w:sz w:val="28"/>
          <w:szCs w:val="28"/>
          <w:highlight w:val="none"/>
          <w:lang w:val="en-US" w:eastAsia="zh-CN"/>
        </w:rPr>
        <w:t>0</w:t>
      </w:r>
      <w:r>
        <w:rPr>
          <w:rFonts w:hint="eastAsia" w:ascii="宋体" w:hAnsi="宋体"/>
          <w:sz w:val="28"/>
          <w:szCs w:val="28"/>
          <w:highlight w:val="none"/>
        </w:rPr>
        <w:t>万元，年初预算</w:t>
      </w:r>
      <w:r>
        <w:rPr>
          <w:rFonts w:hint="eastAsia" w:ascii="宋体" w:hAnsi="宋体"/>
          <w:sz w:val="28"/>
          <w:szCs w:val="28"/>
          <w:highlight w:val="none"/>
          <w:lang w:val="en-US" w:eastAsia="zh-CN"/>
        </w:rPr>
        <w:t>0</w:t>
      </w:r>
      <w:r>
        <w:rPr>
          <w:rFonts w:hint="eastAsia" w:ascii="宋体" w:hAnsi="宋体"/>
          <w:sz w:val="28"/>
          <w:szCs w:val="28"/>
          <w:highlight w:val="none"/>
        </w:rPr>
        <w:t>元；其中：</w:t>
      </w:r>
    </w:p>
    <w:p>
      <w:pPr>
        <w:spacing w:line="440" w:lineRule="exact"/>
        <w:rPr>
          <w:rFonts w:hint="eastAsia" w:ascii="宋体" w:hAnsi="宋体"/>
          <w:sz w:val="28"/>
          <w:szCs w:val="28"/>
          <w:highlight w:val="none"/>
        </w:rPr>
      </w:pPr>
      <w:r>
        <w:rPr>
          <w:rFonts w:hint="eastAsia" w:ascii="宋体" w:hAnsi="宋体"/>
          <w:sz w:val="28"/>
          <w:szCs w:val="28"/>
          <w:highlight w:val="none"/>
        </w:rPr>
        <w:t>公务车运行维护费</w:t>
      </w:r>
      <w:r>
        <w:rPr>
          <w:rFonts w:hint="eastAsia" w:ascii="宋体" w:hAnsi="宋体"/>
          <w:sz w:val="28"/>
          <w:szCs w:val="28"/>
          <w:highlight w:val="none"/>
          <w:lang w:val="en-US" w:eastAsia="zh-CN"/>
        </w:rPr>
        <w:t>0</w:t>
      </w:r>
      <w:r>
        <w:rPr>
          <w:rFonts w:hint="eastAsia" w:ascii="宋体" w:hAnsi="宋体"/>
          <w:sz w:val="28"/>
          <w:szCs w:val="28"/>
          <w:highlight w:val="none"/>
        </w:rPr>
        <w:t>元，年初预算数</w:t>
      </w:r>
      <w:r>
        <w:rPr>
          <w:rFonts w:hint="eastAsia" w:ascii="宋体" w:hAnsi="宋体"/>
          <w:sz w:val="28"/>
          <w:szCs w:val="28"/>
          <w:highlight w:val="none"/>
          <w:lang w:val="en-US" w:eastAsia="zh-CN"/>
        </w:rPr>
        <w:t>0</w:t>
      </w:r>
      <w:r>
        <w:rPr>
          <w:rFonts w:hint="eastAsia" w:ascii="宋体" w:hAnsi="宋体"/>
          <w:sz w:val="28"/>
          <w:szCs w:val="28"/>
          <w:highlight w:val="none"/>
        </w:rPr>
        <w:t>元，决算数比预算数增加</w:t>
      </w:r>
      <w:r>
        <w:rPr>
          <w:rFonts w:hint="eastAsia" w:ascii="宋体" w:hAnsi="宋体"/>
          <w:sz w:val="28"/>
          <w:szCs w:val="28"/>
          <w:highlight w:val="none"/>
          <w:lang w:val="en-US" w:eastAsia="zh-CN"/>
        </w:rPr>
        <w:t>0</w:t>
      </w:r>
      <w:r>
        <w:rPr>
          <w:rFonts w:hint="eastAsia" w:ascii="宋体" w:hAnsi="宋体"/>
          <w:sz w:val="28"/>
          <w:szCs w:val="28"/>
          <w:highlight w:val="none"/>
        </w:rPr>
        <w:t>元，增加幅度为</w:t>
      </w:r>
      <w:r>
        <w:rPr>
          <w:rFonts w:hint="eastAsia" w:ascii="宋体" w:hAnsi="宋体"/>
          <w:sz w:val="28"/>
          <w:szCs w:val="28"/>
          <w:highlight w:val="none"/>
          <w:lang w:val="en-US" w:eastAsia="zh-CN"/>
        </w:rPr>
        <w:t>0</w:t>
      </w:r>
      <w:r>
        <w:rPr>
          <w:rFonts w:hint="eastAsia" w:ascii="宋体" w:hAnsi="宋体"/>
          <w:sz w:val="28"/>
          <w:szCs w:val="28"/>
          <w:highlight w:val="none"/>
        </w:rPr>
        <w:t>%；公务车实物量</w:t>
      </w:r>
      <w:r>
        <w:rPr>
          <w:rFonts w:hint="eastAsia" w:ascii="宋体" w:hAnsi="宋体"/>
          <w:sz w:val="28"/>
          <w:szCs w:val="28"/>
          <w:highlight w:val="none"/>
          <w:lang w:val="en-US" w:eastAsia="zh-CN"/>
        </w:rPr>
        <w:t>0</w:t>
      </w:r>
      <w:r>
        <w:rPr>
          <w:rFonts w:hint="eastAsia" w:ascii="宋体" w:hAnsi="宋体"/>
          <w:sz w:val="28"/>
          <w:szCs w:val="28"/>
          <w:highlight w:val="none"/>
        </w:rPr>
        <w:t>，保有量</w:t>
      </w:r>
      <w:r>
        <w:rPr>
          <w:rFonts w:hint="eastAsia" w:ascii="宋体" w:hAnsi="宋体"/>
          <w:sz w:val="28"/>
          <w:szCs w:val="28"/>
          <w:highlight w:val="none"/>
          <w:lang w:val="en-US" w:eastAsia="zh-CN"/>
        </w:rPr>
        <w:t>0</w:t>
      </w:r>
      <w:r>
        <w:rPr>
          <w:rFonts w:hint="eastAsia" w:ascii="宋体" w:hAnsi="宋体"/>
          <w:sz w:val="28"/>
          <w:szCs w:val="28"/>
          <w:highlight w:val="none"/>
        </w:rPr>
        <w:t>，与2020年度持平；</w:t>
      </w:r>
    </w:p>
    <w:p>
      <w:pPr>
        <w:spacing w:line="440" w:lineRule="exact"/>
        <w:rPr>
          <w:rFonts w:hint="eastAsia" w:ascii="宋体" w:hAnsi="宋体"/>
          <w:sz w:val="28"/>
          <w:szCs w:val="28"/>
          <w:highlight w:val="none"/>
        </w:rPr>
      </w:pPr>
      <w:r>
        <w:rPr>
          <w:rFonts w:hint="eastAsia" w:ascii="宋体" w:hAnsi="宋体"/>
          <w:sz w:val="28"/>
          <w:szCs w:val="28"/>
          <w:highlight w:val="none"/>
        </w:rPr>
        <w:t>公务用车购置费</w:t>
      </w:r>
      <w:r>
        <w:rPr>
          <w:rFonts w:hint="eastAsia" w:ascii="宋体" w:hAnsi="宋体"/>
          <w:sz w:val="28"/>
          <w:szCs w:val="28"/>
          <w:highlight w:val="none"/>
          <w:lang w:val="en-US" w:eastAsia="zh-CN"/>
        </w:rPr>
        <w:t>0</w:t>
      </w:r>
      <w:r>
        <w:rPr>
          <w:rFonts w:hint="eastAsia" w:ascii="宋体" w:hAnsi="宋体"/>
          <w:sz w:val="28"/>
          <w:szCs w:val="28"/>
          <w:highlight w:val="none"/>
        </w:rPr>
        <w:t>元，年初预算年初预算数</w:t>
      </w:r>
      <w:r>
        <w:rPr>
          <w:rFonts w:hint="eastAsia" w:ascii="宋体" w:hAnsi="宋体"/>
          <w:sz w:val="28"/>
          <w:szCs w:val="28"/>
          <w:highlight w:val="none"/>
          <w:lang w:val="en-US" w:eastAsia="zh-CN"/>
        </w:rPr>
        <w:t>0</w:t>
      </w:r>
      <w:r>
        <w:rPr>
          <w:rFonts w:hint="eastAsia" w:ascii="宋体" w:hAnsi="宋体"/>
          <w:sz w:val="28"/>
          <w:szCs w:val="28"/>
          <w:highlight w:val="none"/>
        </w:rPr>
        <w:t>元，决算数比预算数增加</w:t>
      </w:r>
      <w:r>
        <w:rPr>
          <w:rFonts w:hint="eastAsia" w:ascii="宋体" w:hAnsi="宋体"/>
          <w:sz w:val="28"/>
          <w:szCs w:val="28"/>
          <w:highlight w:val="none"/>
          <w:lang w:val="en-US" w:eastAsia="zh-CN"/>
        </w:rPr>
        <w:t>0</w:t>
      </w:r>
      <w:r>
        <w:rPr>
          <w:rFonts w:hint="eastAsia" w:ascii="宋体" w:hAnsi="宋体"/>
          <w:sz w:val="28"/>
          <w:szCs w:val="28"/>
          <w:highlight w:val="none"/>
        </w:rPr>
        <w:t>元，与2020年度持平；</w:t>
      </w:r>
    </w:p>
    <w:p>
      <w:pPr>
        <w:spacing w:line="440" w:lineRule="exact"/>
        <w:ind w:firstLine="560" w:firstLineChars="200"/>
        <w:rPr>
          <w:rFonts w:hint="eastAsia" w:ascii="宋体" w:hAnsi="宋体"/>
          <w:sz w:val="28"/>
          <w:szCs w:val="28"/>
          <w:highlight w:val="none"/>
        </w:rPr>
      </w:pPr>
      <w:r>
        <w:rPr>
          <w:rFonts w:hint="eastAsia" w:ascii="宋体" w:hAnsi="宋体"/>
          <w:sz w:val="28"/>
          <w:szCs w:val="28"/>
          <w:highlight w:val="none"/>
        </w:rPr>
        <w:t>3.公务接待费</w:t>
      </w:r>
      <w:r>
        <w:rPr>
          <w:rFonts w:hint="eastAsia" w:ascii="宋体" w:hAnsi="宋体"/>
          <w:sz w:val="28"/>
          <w:szCs w:val="28"/>
          <w:highlight w:val="none"/>
          <w:lang w:val="en-US" w:eastAsia="zh-CN"/>
        </w:rPr>
        <w:t>0</w:t>
      </w:r>
      <w:r>
        <w:rPr>
          <w:rFonts w:hint="eastAsia" w:ascii="宋体" w:hAnsi="宋体"/>
          <w:sz w:val="28"/>
          <w:szCs w:val="28"/>
          <w:highlight w:val="none"/>
        </w:rPr>
        <w:t>元，年初预算数10000元，决算数比预算数增加-10000元，增长幅度为-100%；我部门公务接待批次</w:t>
      </w:r>
      <w:r>
        <w:rPr>
          <w:rFonts w:hint="eastAsia" w:ascii="宋体" w:hAnsi="宋体"/>
          <w:sz w:val="28"/>
          <w:szCs w:val="28"/>
          <w:highlight w:val="none"/>
          <w:lang w:val="en-US" w:eastAsia="zh-CN"/>
        </w:rPr>
        <w:t>0</w:t>
      </w:r>
      <w:r>
        <w:rPr>
          <w:rFonts w:hint="eastAsia" w:ascii="宋体" w:hAnsi="宋体"/>
          <w:sz w:val="28"/>
          <w:szCs w:val="28"/>
          <w:highlight w:val="none"/>
        </w:rPr>
        <w:t>，公务接待人数</w:t>
      </w:r>
      <w:r>
        <w:rPr>
          <w:rFonts w:hint="eastAsia" w:ascii="宋体" w:hAnsi="宋体"/>
          <w:sz w:val="28"/>
          <w:szCs w:val="28"/>
          <w:highlight w:val="none"/>
          <w:lang w:val="en-US" w:eastAsia="zh-CN"/>
        </w:rPr>
        <w:t>0</w:t>
      </w:r>
      <w:r>
        <w:rPr>
          <w:rFonts w:hint="eastAsia" w:ascii="宋体" w:hAnsi="宋体"/>
          <w:sz w:val="28"/>
          <w:szCs w:val="28"/>
          <w:highlight w:val="none"/>
        </w:rPr>
        <w:t>，与2020年度持平；</w:t>
      </w:r>
    </w:p>
    <w:p>
      <w:pPr>
        <w:spacing w:line="440" w:lineRule="exact"/>
        <w:rPr>
          <w:rFonts w:hint="eastAsia" w:ascii="宋体"/>
          <w:color w:val="000000"/>
          <w:spacing w:val="2"/>
          <w:sz w:val="30"/>
          <w:szCs w:val="30"/>
          <w:highlight w:val="none"/>
        </w:rPr>
      </w:pPr>
      <w:r>
        <w:rPr>
          <w:rFonts w:hint="eastAsia" w:ascii="宋体" w:hAnsi="宋体"/>
          <w:b/>
          <w:bCs/>
          <w:color w:val="000000"/>
          <w:spacing w:val="2"/>
          <w:sz w:val="30"/>
          <w:szCs w:val="30"/>
          <w:highlight w:val="none"/>
        </w:rPr>
        <w:t xml:space="preserve">(2)会议费支出情况: </w:t>
      </w:r>
    </w:p>
    <w:p>
      <w:pPr>
        <w:spacing w:line="440" w:lineRule="exact"/>
        <w:ind w:firstLine="568" w:firstLineChars="200"/>
        <w:rPr>
          <w:rFonts w:hint="eastAsia" w:ascii="宋体" w:hAnsi="宋体"/>
          <w:sz w:val="28"/>
          <w:szCs w:val="28"/>
          <w:highlight w:val="none"/>
        </w:rPr>
      </w:pPr>
      <w:r>
        <w:rPr>
          <w:rFonts w:hint="eastAsia" w:ascii="宋体" w:hAnsi="宋体"/>
          <w:color w:val="000000"/>
          <w:spacing w:val="2"/>
          <w:sz w:val="28"/>
          <w:szCs w:val="28"/>
          <w:highlight w:val="none"/>
        </w:rPr>
        <w:t>2021年决算会议费为</w:t>
      </w:r>
      <w:r>
        <w:rPr>
          <w:rFonts w:hint="eastAsia" w:ascii="宋体"/>
          <w:color w:val="000000"/>
          <w:spacing w:val="2"/>
          <w:sz w:val="28"/>
          <w:szCs w:val="28"/>
          <w:highlight w:val="none"/>
        </w:rPr>
        <w:t>0</w:t>
      </w:r>
      <w:r>
        <w:rPr>
          <w:rFonts w:hint="eastAsia" w:ascii="宋体" w:hAnsi="宋体"/>
          <w:color w:val="000000"/>
          <w:spacing w:val="2"/>
          <w:sz w:val="28"/>
          <w:szCs w:val="28"/>
          <w:highlight w:val="none"/>
        </w:rPr>
        <w:t>元；</w:t>
      </w:r>
      <w:r>
        <w:rPr>
          <w:rFonts w:hint="eastAsia" w:ascii="宋体" w:hAnsi="宋体"/>
          <w:sz w:val="28"/>
          <w:szCs w:val="28"/>
          <w:highlight w:val="none"/>
        </w:rPr>
        <w:t>年初预算数0元，决算数比预算数减少0元，减少幅度为0%；</w:t>
      </w:r>
    </w:p>
    <w:p>
      <w:pPr>
        <w:spacing w:line="440" w:lineRule="exact"/>
        <w:rPr>
          <w:rFonts w:hint="eastAsia" w:ascii="宋体"/>
          <w:color w:val="000000"/>
          <w:spacing w:val="2"/>
          <w:sz w:val="28"/>
          <w:szCs w:val="28"/>
          <w:highlight w:val="none"/>
        </w:rPr>
      </w:pPr>
      <w:r>
        <w:rPr>
          <w:rFonts w:hint="eastAsia" w:ascii="宋体" w:hAnsi="宋体"/>
          <w:b/>
          <w:bCs/>
          <w:color w:val="000000"/>
          <w:spacing w:val="2"/>
          <w:sz w:val="28"/>
          <w:szCs w:val="28"/>
          <w:highlight w:val="none"/>
        </w:rPr>
        <w:t>(3)培训费支出情况：</w:t>
      </w:r>
    </w:p>
    <w:p>
      <w:pPr>
        <w:spacing w:line="440" w:lineRule="exact"/>
        <w:ind w:firstLine="560" w:firstLineChars="200"/>
        <w:rPr>
          <w:rFonts w:hint="eastAsia" w:ascii="宋体" w:hAnsi="宋体"/>
          <w:color w:val="000000"/>
          <w:spacing w:val="2"/>
          <w:sz w:val="28"/>
          <w:szCs w:val="28"/>
          <w:highlight w:val="none"/>
        </w:rPr>
      </w:pPr>
      <w:r>
        <w:rPr>
          <w:sz w:val="28"/>
          <w:szCs w:val="28"/>
          <w:highlight w:val="none"/>
        </w:rPr>
        <w:t>2021</w:t>
      </w:r>
      <w:r>
        <w:rPr>
          <w:rFonts w:hint="eastAsia"/>
          <w:sz w:val="28"/>
          <w:szCs w:val="28"/>
          <w:highlight w:val="none"/>
        </w:rPr>
        <w:t>年决算培训费</w:t>
      </w:r>
      <w:r>
        <w:rPr>
          <w:sz w:val="28"/>
          <w:szCs w:val="28"/>
          <w:highlight w:val="none"/>
        </w:rPr>
        <w:t>0</w:t>
      </w:r>
      <w:r>
        <w:rPr>
          <w:rFonts w:hint="eastAsia"/>
          <w:sz w:val="28"/>
          <w:szCs w:val="28"/>
          <w:highlight w:val="none"/>
        </w:rPr>
        <w:t>元，</w:t>
      </w:r>
      <w:r>
        <w:rPr>
          <w:rFonts w:hint="eastAsia" w:ascii="宋体" w:hAnsi="宋体"/>
          <w:sz w:val="28"/>
          <w:szCs w:val="28"/>
          <w:highlight w:val="none"/>
        </w:rPr>
        <w:t>年初预算数0元，决算数比预算数减少0元，减少幅度为0%；</w:t>
      </w:r>
    </w:p>
    <w:p>
      <w:pPr>
        <w:spacing w:line="440" w:lineRule="exact"/>
        <w:rPr>
          <w:rFonts w:hint="eastAsia" w:ascii="宋体" w:hAnsi="宋体"/>
          <w:b/>
          <w:color w:val="FF6600"/>
          <w:sz w:val="28"/>
          <w:szCs w:val="28"/>
          <w:highlight w:val="none"/>
        </w:rPr>
      </w:pPr>
      <w:r>
        <w:rPr>
          <w:rFonts w:hint="eastAsia" w:ascii="宋体" w:hAnsi="宋体"/>
          <w:b/>
          <w:sz w:val="28"/>
          <w:szCs w:val="28"/>
          <w:highlight w:val="none"/>
          <w:lang w:eastAsia="zh-CN"/>
        </w:rPr>
        <w:t>三</w:t>
      </w:r>
      <w:r>
        <w:rPr>
          <w:rFonts w:hint="eastAsia" w:ascii="宋体" w:hAnsi="宋体"/>
          <w:b/>
          <w:sz w:val="28"/>
          <w:szCs w:val="28"/>
          <w:highlight w:val="none"/>
        </w:rPr>
        <w:t>、关于机关运行经费支出说明</w:t>
      </w:r>
    </w:p>
    <w:p>
      <w:pPr>
        <w:widowControl/>
        <w:ind w:firstLine="568" w:firstLineChars="200"/>
        <w:rPr>
          <w:rFonts w:hint="eastAsia" w:ascii="宋体" w:hAnsi="宋体" w:eastAsiaTheme="minorEastAsia"/>
          <w:spacing w:val="2"/>
          <w:sz w:val="28"/>
          <w:szCs w:val="28"/>
          <w:highlight w:val="none"/>
          <w:lang w:eastAsia="zh-CN"/>
        </w:rPr>
      </w:pPr>
      <w:r>
        <w:rPr>
          <w:rFonts w:hint="eastAsia" w:ascii="宋体" w:hAnsi="宋体"/>
          <w:spacing w:val="2"/>
          <w:sz w:val="28"/>
          <w:szCs w:val="28"/>
          <w:highlight w:val="none"/>
        </w:rPr>
        <w:t xml:space="preserve">2021年机关运行经费支出999818.8元, </w:t>
      </w:r>
      <w:r>
        <w:rPr>
          <w:rFonts w:hint="eastAsia" w:ascii="宋体" w:hAnsi="宋体"/>
          <w:spacing w:val="2"/>
          <w:sz w:val="28"/>
          <w:szCs w:val="28"/>
          <w:highlight w:val="none"/>
          <w:lang w:eastAsia="zh-CN"/>
        </w:rPr>
        <w:t>年初财政预算数</w:t>
      </w:r>
      <w:r>
        <w:rPr>
          <w:rFonts w:hint="eastAsia" w:ascii="宋体" w:hAnsi="宋体"/>
          <w:spacing w:val="2"/>
          <w:sz w:val="28"/>
          <w:szCs w:val="28"/>
          <w:highlight w:val="none"/>
        </w:rPr>
        <w:t>323765元</w:t>
      </w:r>
      <w:r>
        <w:rPr>
          <w:rFonts w:hint="eastAsia" w:ascii="宋体" w:hAnsi="宋体"/>
          <w:spacing w:val="2"/>
          <w:sz w:val="28"/>
          <w:szCs w:val="28"/>
          <w:highlight w:val="none"/>
          <w:lang w:eastAsia="zh-CN"/>
        </w:rPr>
        <w:t>，</w:t>
      </w:r>
      <w:r>
        <w:rPr>
          <w:rFonts w:hint="eastAsia" w:ascii="宋体" w:hAnsi="宋体"/>
          <w:spacing w:val="2"/>
          <w:sz w:val="28"/>
          <w:szCs w:val="28"/>
          <w:highlight w:val="none"/>
        </w:rPr>
        <w:t>增加幅度为</w:t>
      </w:r>
      <w:r>
        <w:rPr>
          <w:rFonts w:hint="eastAsia" w:ascii="宋体" w:hAnsi="宋体"/>
          <w:spacing w:val="2"/>
          <w:sz w:val="28"/>
          <w:szCs w:val="28"/>
          <w:highlight w:val="none"/>
          <w:lang w:val="en-US" w:eastAsia="zh-CN"/>
        </w:rPr>
        <w:t>208.8</w:t>
      </w:r>
      <w:r>
        <w:rPr>
          <w:rFonts w:hint="eastAsia" w:ascii="宋体" w:hAnsi="宋体"/>
          <w:spacing w:val="2"/>
          <w:sz w:val="28"/>
          <w:szCs w:val="28"/>
          <w:highlight w:val="none"/>
        </w:rPr>
        <w:t>%</w:t>
      </w:r>
      <w:r>
        <w:rPr>
          <w:rFonts w:hint="eastAsia" w:ascii="宋体" w:hAnsi="宋体"/>
          <w:spacing w:val="2"/>
          <w:sz w:val="28"/>
          <w:szCs w:val="28"/>
          <w:highlight w:val="none"/>
          <w:lang w:eastAsia="zh-CN"/>
        </w:rPr>
        <w:t>。</w:t>
      </w:r>
      <w:r>
        <w:rPr>
          <w:rFonts w:hint="eastAsia" w:ascii="宋体" w:hAnsi="宋体"/>
          <w:spacing w:val="2"/>
          <w:sz w:val="28"/>
          <w:szCs w:val="28"/>
          <w:highlight w:val="none"/>
        </w:rPr>
        <w:t>2020年机关运行经费支出</w:t>
      </w:r>
      <w:r>
        <w:rPr>
          <w:rFonts w:ascii="宋体" w:hAnsi="宋体"/>
          <w:spacing w:val="2"/>
          <w:sz w:val="28"/>
          <w:szCs w:val="28"/>
          <w:highlight w:val="none"/>
        </w:rPr>
        <w:t>632544.89</w:t>
      </w:r>
      <w:r>
        <w:rPr>
          <w:rFonts w:hint="eastAsia" w:ascii="宋体" w:hAnsi="宋体"/>
          <w:spacing w:val="2"/>
          <w:sz w:val="28"/>
          <w:szCs w:val="28"/>
          <w:highlight w:val="none"/>
        </w:rPr>
        <w:t>元,同比上年增加367273.91元，增减58.06%，主要增加在公用经费李其他商品服务支出增加。拨给示示范社区创建经费100000元，大桥社区防火建设100000，购应急物资110945万等</w:t>
      </w:r>
      <w:r>
        <w:rPr>
          <w:rFonts w:hint="eastAsia" w:ascii="宋体" w:hAnsi="宋体"/>
          <w:spacing w:val="2"/>
          <w:sz w:val="28"/>
          <w:szCs w:val="28"/>
          <w:highlight w:val="none"/>
          <w:lang w:eastAsia="zh-CN"/>
        </w:rPr>
        <w:t>。</w:t>
      </w:r>
    </w:p>
    <w:p>
      <w:pPr>
        <w:widowControl/>
        <w:rPr>
          <w:rFonts w:hint="eastAsia" w:ascii="宋体" w:hAnsi="宋体"/>
          <w:b/>
          <w:color w:val="FF6600"/>
          <w:sz w:val="28"/>
          <w:szCs w:val="28"/>
          <w:highlight w:val="none"/>
        </w:rPr>
      </w:pPr>
      <w:r>
        <w:rPr>
          <w:rFonts w:hint="eastAsia" w:ascii="宋体" w:hAnsi="宋体"/>
          <w:b/>
          <w:sz w:val="28"/>
          <w:szCs w:val="28"/>
          <w:highlight w:val="none"/>
          <w:lang w:eastAsia="zh-CN"/>
        </w:rPr>
        <w:t>四</w:t>
      </w:r>
      <w:r>
        <w:rPr>
          <w:rFonts w:hint="eastAsia" w:ascii="宋体" w:hAnsi="宋体"/>
          <w:b/>
          <w:sz w:val="28"/>
          <w:szCs w:val="28"/>
          <w:highlight w:val="none"/>
        </w:rPr>
        <w:t>、关于政府采购支出说明</w:t>
      </w:r>
    </w:p>
    <w:p>
      <w:pPr>
        <w:widowControl/>
        <w:ind w:firstLine="568" w:firstLineChars="200"/>
        <w:rPr>
          <w:rFonts w:hint="eastAsia" w:ascii="宋体" w:hAnsi="宋体"/>
          <w:b/>
          <w:sz w:val="28"/>
          <w:szCs w:val="28"/>
          <w:highlight w:val="none"/>
          <w:lang w:eastAsia="zh-CN"/>
        </w:rPr>
      </w:pPr>
      <w:r>
        <w:rPr>
          <w:rFonts w:hint="eastAsia" w:ascii="宋体" w:hAnsi="宋体"/>
          <w:spacing w:val="2"/>
          <w:sz w:val="28"/>
          <w:szCs w:val="28"/>
          <w:highlight w:val="none"/>
          <w:lang w:eastAsia="zh-CN"/>
        </w:rPr>
        <w:t>本单位2021年度政府采购支出总额</w:t>
      </w:r>
      <w:r>
        <w:rPr>
          <w:rFonts w:hint="eastAsia" w:ascii="宋体" w:hAnsi="宋体"/>
          <w:spacing w:val="2"/>
          <w:sz w:val="28"/>
          <w:szCs w:val="28"/>
          <w:highlight w:val="none"/>
          <w:lang w:val="en-US" w:eastAsia="zh-CN"/>
        </w:rPr>
        <w:t>2.53</w:t>
      </w:r>
      <w:r>
        <w:rPr>
          <w:rFonts w:hint="eastAsia" w:ascii="宋体" w:hAnsi="宋体"/>
          <w:spacing w:val="2"/>
          <w:sz w:val="28"/>
          <w:szCs w:val="28"/>
          <w:highlight w:val="none"/>
          <w:lang w:eastAsia="zh-CN"/>
        </w:rPr>
        <w:t>万元，其中：政府采购货物支出</w:t>
      </w:r>
      <w:r>
        <w:rPr>
          <w:rFonts w:hint="eastAsia" w:ascii="宋体" w:hAnsi="宋体"/>
          <w:spacing w:val="2"/>
          <w:sz w:val="28"/>
          <w:szCs w:val="28"/>
          <w:highlight w:val="none"/>
          <w:lang w:val="en-US" w:eastAsia="zh-CN"/>
        </w:rPr>
        <w:t>2.53</w:t>
      </w:r>
      <w:r>
        <w:rPr>
          <w:rFonts w:hint="eastAsia" w:ascii="宋体" w:hAnsi="宋体"/>
          <w:spacing w:val="2"/>
          <w:sz w:val="28"/>
          <w:szCs w:val="28"/>
          <w:highlight w:val="none"/>
          <w:lang w:eastAsia="zh-CN"/>
        </w:rPr>
        <w:t>万元、政府采购工程支出0万元、政府采购服务支出0万元。授予中小企业合同金额</w:t>
      </w:r>
      <w:r>
        <w:rPr>
          <w:rFonts w:hint="eastAsia" w:ascii="宋体" w:hAnsi="宋体"/>
          <w:spacing w:val="2"/>
          <w:sz w:val="28"/>
          <w:szCs w:val="28"/>
          <w:highlight w:val="none"/>
          <w:lang w:val="en-US" w:eastAsia="zh-CN"/>
        </w:rPr>
        <w:t>2.53</w:t>
      </w:r>
      <w:r>
        <w:rPr>
          <w:rFonts w:hint="eastAsia" w:ascii="宋体" w:hAnsi="宋体"/>
          <w:spacing w:val="2"/>
          <w:sz w:val="28"/>
          <w:szCs w:val="28"/>
          <w:highlight w:val="none"/>
          <w:lang w:eastAsia="zh-CN"/>
        </w:rPr>
        <w:t>万元，占政府采购支出总额的</w:t>
      </w:r>
      <w:r>
        <w:rPr>
          <w:rFonts w:hint="eastAsia" w:ascii="宋体" w:hAnsi="宋体"/>
          <w:spacing w:val="2"/>
          <w:sz w:val="28"/>
          <w:szCs w:val="28"/>
          <w:highlight w:val="none"/>
          <w:lang w:val="en-US" w:eastAsia="zh-CN"/>
        </w:rPr>
        <w:t>10</w:t>
      </w:r>
      <w:r>
        <w:rPr>
          <w:rFonts w:hint="eastAsia" w:ascii="宋体" w:hAnsi="宋体"/>
          <w:spacing w:val="2"/>
          <w:sz w:val="28"/>
          <w:szCs w:val="28"/>
          <w:highlight w:val="none"/>
          <w:lang w:eastAsia="zh-CN"/>
        </w:rPr>
        <w:t>0%，其中：授予小微企业合同金额</w:t>
      </w:r>
      <w:r>
        <w:rPr>
          <w:rFonts w:hint="eastAsia" w:ascii="宋体" w:hAnsi="宋体"/>
          <w:spacing w:val="2"/>
          <w:sz w:val="28"/>
          <w:szCs w:val="28"/>
          <w:highlight w:val="none"/>
          <w:lang w:val="en-US" w:eastAsia="zh-CN"/>
        </w:rPr>
        <w:t>2.53</w:t>
      </w:r>
      <w:r>
        <w:rPr>
          <w:rFonts w:hint="eastAsia" w:ascii="宋体" w:hAnsi="宋体"/>
          <w:spacing w:val="2"/>
          <w:sz w:val="28"/>
          <w:szCs w:val="28"/>
          <w:highlight w:val="none"/>
          <w:lang w:eastAsia="zh-CN"/>
        </w:rPr>
        <w:t>万元，占政府采购支出总额的</w:t>
      </w:r>
      <w:r>
        <w:rPr>
          <w:rFonts w:hint="eastAsia" w:ascii="宋体" w:hAnsi="宋体"/>
          <w:spacing w:val="2"/>
          <w:sz w:val="28"/>
          <w:szCs w:val="28"/>
          <w:highlight w:val="none"/>
          <w:lang w:val="en-US" w:eastAsia="zh-CN"/>
        </w:rPr>
        <w:t>10</w:t>
      </w:r>
      <w:r>
        <w:rPr>
          <w:rFonts w:hint="eastAsia" w:ascii="宋体" w:hAnsi="宋体"/>
          <w:spacing w:val="2"/>
          <w:sz w:val="28"/>
          <w:szCs w:val="28"/>
          <w:highlight w:val="none"/>
          <w:lang w:eastAsia="zh-CN"/>
        </w:rPr>
        <w:t>0%。</w:t>
      </w:r>
    </w:p>
    <w:p>
      <w:pPr>
        <w:widowControl/>
        <w:shd w:val="clear" w:color="auto" w:fill="FFFFFF"/>
        <w:jc w:val="left"/>
        <w:rPr>
          <w:rFonts w:hint="eastAsia" w:ascii="宋体" w:hAnsi="宋体"/>
          <w:b/>
          <w:color w:val="FF6600"/>
          <w:sz w:val="28"/>
          <w:szCs w:val="28"/>
          <w:highlight w:val="none"/>
        </w:rPr>
      </w:pPr>
      <w:r>
        <w:rPr>
          <w:rFonts w:hint="eastAsia" w:ascii="宋体" w:hAnsi="宋体"/>
          <w:b/>
          <w:sz w:val="28"/>
          <w:szCs w:val="28"/>
          <w:highlight w:val="none"/>
          <w:lang w:eastAsia="zh-CN"/>
        </w:rPr>
        <w:t>五</w:t>
      </w:r>
      <w:r>
        <w:rPr>
          <w:rFonts w:hint="eastAsia" w:ascii="宋体" w:hAnsi="宋体"/>
          <w:b/>
          <w:sz w:val="28"/>
          <w:szCs w:val="28"/>
          <w:highlight w:val="none"/>
        </w:rPr>
        <w:t>、关于国有资产占用情况说明</w:t>
      </w:r>
      <w:bookmarkStart w:id="1" w:name="_GoBack"/>
      <w:bookmarkEnd w:id="1"/>
    </w:p>
    <w:p>
      <w:pPr>
        <w:numPr>
          <w:ilvl w:val="0"/>
          <w:numId w:val="0"/>
        </w:numPr>
        <w:spacing w:line="240" w:lineRule="auto"/>
        <w:ind w:firstLine="560" w:firstLineChars="200"/>
        <w:rPr>
          <w:rFonts w:hint="eastAsia" w:ascii="宋体" w:hAnsi="宋体" w:cs="Times New Roman"/>
          <w:sz w:val="28"/>
          <w:szCs w:val="28"/>
          <w:highlight w:val="none"/>
        </w:rPr>
      </w:pPr>
      <w:r>
        <w:rPr>
          <w:rFonts w:hint="eastAsia" w:ascii="宋体" w:hAnsi="宋体" w:cs="Times New Roman"/>
          <w:sz w:val="28"/>
          <w:szCs w:val="28"/>
          <w:highlight w:val="none"/>
        </w:rPr>
        <w:t>截至2021年12月31日，本部门（单位）共有车辆0辆，其中，主要领导干部用车0辆、机要通信用车0辆、应急保障用车0 辆、执法执勤用车0 辆、特种专业技术用车0 辆、离退休干部用车0辆、其他用车0辆；单位价值50万元以上通用设备0台（套）；单位价值100万元以上专用设备0台（套）。</w:t>
      </w:r>
    </w:p>
    <w:p>
      <w:pPr>
        <w:numPr>
          <w:ilvl w:val="0"/>
          <w:numId w:val="0"/>
        </w:numPr>
        <w:spacing w:line="240" w:lineRule="auto"/>
        <w:rPr>
          <w:rFonts w:hint="eastAsia" w:ascii="宋体" w:hAnsi="宋体"/>
          <w:b/>
          <w:color w:val="000000"/>
          <w:spacing w:val="2"/>
          <w:sz w:val="28"/>
          <w:szCs w:val="28"/>
          <w:highlight w:val="none"/>
          <w:lang w:eastAsia="zh-CN"/>
        </w:rPr>
      </w:pPr>
      <w:r>
        <w:rPr>
          <w:rFonts w:hint="eastAsia" w:ascii="宋体" w:hAnsi="宋体"/>
          <w:b/>
          <w:color w:val="000000"/>
          <w:spacing w:val="2"/>
          <w:sz w:val="28"/>
          <w:szCs w:val="28"/>
          <w:highlight w:val="none"/>
          <w:lang w:eastAsia="zh-CN"/>
        </w:rPr>
        <w:t>六、重点绩效评价结果等预算绩效情况说明</w:t>
      </w:r>
    </w:p>
    <w:p>
      <w:pPr>
        <w:spacing w:line="360" w:lineRule="auto"/>
        <w:ind w:firstLine="560" w:firstLineChars="200"/>
        <w:rPr>
          <w:rFonts w:hint="default" w:ascii="宋体" w:hAnsi="宋体" w:cs="Times New Roman" w:eastAsiaTheme="minorEastAsia"/>
          <w:kern w:val="2"/>
          <w:sz w:val="28"/>
          <w:szCs w:val="28"/>
          <w:highlight w:val="none"/>
          <w:lang w:val="en-US" w:eastAsia="zh-CN" w:bidi="ar-SA"/>
        </w:rPr>
      </w:pPr>
      <w:r>
        <w:rPr>
          <w:rFonts w:hint="eastAsia" w:ascii="宋体" w:hAnsi="宋体" w:cs="Times New Roman" w:eastAsiaTheme="minorEastAsia"/>
          <w:kern w:val="2"/>
          <w:sz w:val="28"/>
          <w:szCs w:val="28"/>
          <w:highlight w:val="none"/>
          <w:lang w:val="en-US" w:eastAsia="zh-CN" w:bidi="ar-SA"/>
        </w:rPr>
        <w:t>本年度未开展预算绩效评价工作</w:t>
      </w:r>
    </w:p>
    <w:p>
      <w:pPr>
        <w:spacing w:line="360" w:lineRule="auto"/>
        <w:rPr>
          <w:rFonts w:hint="eastAsia" w:ascii="宋体" w:hAnsi="宋体"/>
          <w:b/>
          <w:color w:val="FF6600"/>
          <w:spacing w:val="2"/>
          <w:sz w:val="28"/>
          <w:szCs w:val="28"/>
          <w:highlight w:val="none"/>
        </w:rPr>
      </w:pPr>
      <w:r>
        <w:rPr>
          <w:rFonts w:hint="eastAsia" w:ascii="宋体" w:hAnsi="宋体"/>
          <w:b/>
          <w:spacing w:val="2"/>
          <w:sz w:val="28"/>
          <w:szCs w:val="28"/>
          <w:highlight w:val="none"/>
          <w:lang w:eastAsia="zh-CN"/>
        </w:rPr>
        <w:t>七</w:t>
      </w:r>
      <w:r>
        <w:rPr>
          <w:rFonts w:hint="eastAsia" w:ascii="宋体" w:hAnsi="宋体"/>
          <w:b/>
          <w:spacing w:val="2"/>
          <w:sz w:val="28"/>
          <w:szCs w:val="28"/>
          <w:highlight w:val="none"/>
        </w:rPr>
        <w:t>、决算收支增减变化情况</w:t>
      </w:r>
    </w:p>
    <w:p>
      <w:pPr>
        <w:spacing w:line="360" w:lineRule="auto"/>
        <w:ind w:firstLine="568" w:firstLineChars="200"/>
        <w:rPr>
          <w:rFonts w:hint="eastAsia" w:ascii="宋体" w:hAnsi="宋体"/>
          <w:spacing w:val="2"/>
          <w:sz w:val="28"/>
          <w:szCs w:val="28"/>
          <w:highlight w:val="none"/>
        </w:rPr>
      </w:pPr>
      <w:r>
        <w:rPr>
          <w:rFonts w:hint="eastAsia" w:ascii="宋体" w:hAnsi="宋体"/>
          <w:spacing w:val="2"/>
          <w:sz w:val="28"/>
          <w:szCs w:val="28"/>
          <w:highlight w:val="none"/>
        </w:rPr>
        <w:t>1、收入增减变化情况</w:t>
      </w:r>
    </w:p>
    <w:p>
      <w:pPr>
        <w:widowControl/>
        <w:ind w:firstLine="568" w:firstLineChars="200"/>
        <w:rPr>
          <w:rFonts w:hint="eastAsia" w:ascii="宋体" w:hAnsi="宋体"/>
          <w:spacing w:val="2"/>
          <w:sz w:val="28"/>
          <w:szCs w:val="28"/>
          <w:highlight w:val="none"/>
        </w:rPr>
      </w:pPr>
      <w:r>
        <w:rPr>
          <w:rFonts w:hint="eastAsia" w:ascii="宋体" w:hAnsi="宋体"/>
          <w:spacing w:val="2"/>
          <w:sz w:val="28"/>
          <w:szCs w:val="28"/>
          <w:highlight w:val="none"/>
        </w:rPr>
        <w:t>2021年全年总收入2705353.08元, 2020年全年总收入</w:t>
      </w:r>
      <w:r>
        <w:rPr>
          <w:rFonts w:ascii="宋体" w:hAnsi="宋体"/>
          <w:spacing w:val="2"/>
          <w:sz w:val="28"/>
          <w:szCs w:val="28"/>
          <w:highlight w:val="none"/>
        </w:rPr>
        <w:t>2140350.2</w:t>
      </w:r>
      <w:r>
        <w:rPr>
          <w:rFonts w:hint="eastAsia" w:ascii="宋体" w:hAnsi="宋体"/>
          <w:spacing w:val="2"/>
          <w:sz w:val="28"/>
          <w:szCs w:val="28"/>
          <w:highlight w:val="none"/>
        </w:rPr>
        <w:t>元同比上年增加565002.88元，增加幅度为26.4%，本年收入比上年收入增加了290465.26元，主要增加在公用经费增加了897930.53元。</w:t>
      </w:r>
    </w:p>
    <w:p>
      <w:pPr>
        <w:widowControl/>
        <w:ind w:firstLine="284" w:firstLineChars="100"/>
        <w:rPr>
          <w:rFonts w:hint="eastAsia" w:ascii="宋体" w:hAnsi="宋体"/>
          <w:spacing w:val="2"/>
          <w:sz w:val="28"/>
          <w:szCs w:val="28"/>
          <w:highlight w:val="none"/>
        </w:rPr>
      </w:pPr>
      <w:r>
        <w:rPr>
          <w:rFonts w:hint="eastAsia" w:ascii="宋体" w:hAnsi="宋体"/>
          <w:spacing w:val="2"/>
          <w:sz w:val="28"/>
          <w:szCs w:val="28"/>
          <w:highlight w:val="none"/>
        </w:rPr>
        <w:t>2、支出增减变化情况</w:t>
      </w:r>
    </w:p>
    <w:p>
      <w:pPr>
        <w:widowControl/>
        <w:ind w:firstLine="568" w:firstLineChars="200"/>
        <w:rPr>
          <w:rFonts w:hint="eastAsia" w:ascii="宋体" w:hAnsi="宋体"/>
          <w:spacing w:val="2"/>
          <w:sz w:val="28"/>
          <w:szCs w:val="28"/>
          <w:highlight w:val="none"/>
        </w:rPr>
      </w:pPr>
      <w:r>
        <w:rPr>
          <w:rFonts w:hint="eastAsia" w:ascii="宋体" w:hAnsi="宋体"/>
          <w:spacing w:val="2"/>
          <w:sz w:val="28"/>
          <w:szCs w:val="28"/>
          <w:highlight w:val="none"/>
        </w:rPr>
        <w:t>2021年全年支出2705353.08元, 2020年全年支出</w:t>
      </w:r>
      <w:r>
        <w:rPr>
          <w:rFonts w:ascii="宋体" w:hAnsi="宋体"/>
          <w:spacing w:val="2"/>
          <w:sz w:val="28"/>
          <w:szCs w:val="28"/>
          <w:highlight w:val="none"/>
        </w:rPr>
        <w:t>2140350.2</w:t>
      </w:r>
      <w:r>
        <w:rPr>
          <w:rFonts w:hint="eastAsia" w:ascii="宋体" w:hAnsi="宋体"/>
          <w:spacing w:val="2"/>
          <w:sz w:val="28"/>
          <w:szCs w:val="28"/>
          <w:highlight w:val="none"/>
        </w:rPr>
        <w:t>元同比上年增加565002.88元，增加幅度为26.4%，本年支出比上年收入增加了290465.26元，主要增加在公用经费增加了897930.53元。</w:t>
      </w:r>
    </w:p>
    <w:p>
      <w:pPr>
        <w:rPr>
          <w:rFonts w:hint="eastAsia" w:ascii="宋体" w:hAnsi="宋体"/>
          <w:b/>
          <w:color w:val="000000"/>
          <w:spacing w:val="2"/>
          <w:sz w:val="28"/>
          <w:szCs w:val="28"/>
        </w:rPr>
      </w:pPr>
      <w:r>
        <w:rPr>
          <w:rFonts w:hint="eastAsia" w:ascii="宋体" w:hAnsi="宋体"/>
          <w:b/>
          <w:color w:val="000000"/>
          <w:spacing w:val="2"/>
          <w:sz w:val="28"/>
          <w:szCs w:val="28"/>
        </w:rPr>
        <w:br w:type="page"/>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right="0"/>
        <w:rPr>
          <w:rStyle w:val="7"/>
          <w:rFonts w:hint="eastAsia" w:ascii="微软雅黑" w:hAnsi="微软雅黑" w:eastAsia="微软雅黑" w:cs="微软雅黑"/>
          <w:i w:val="0"/>
          <w:caps w:val="0"/>
          <w:color w:val="333333"/>
          <w:spacing w:val="0"/>
          <w:sz w:val="24"/>
          <w:szCs w:val="24"/>
          <w:highlight w:val="none"/>
          <w:shd w:val="clear" w:fill="FFFFFF"/>
        </w:rPr>
      </w:pPr>
      <w:r>
        <w:rPr>
          <w:rStyle w:val="7"/>
          <w:rFonts w:hint="eastAsia" w:ascii="微软雅黑" w:hAnsi="微软雅黑" w:eastAsia="微软雅黑" w:cs="微软雅黑"/>
          <w:i w:val="0"/>
          <w:caps w:val="0"/>
          <w:color w:val="333333"/>
          <w:spacing w:val="0"/>
          <w:sz w:val="24"/>
          <w:szCs w:val="24"/>
          <w:highlight w:val="none"/>
          <w:shd w:val="clear" w:fill="FFFFFF"/>
        </w:rPr>
        <w:t>名词解释</w:t>
      </w:r>
    </w:p>
    <w:p>
      <w:pPr>
        <w:ind w:firstLine="568" w:firstLineChars="200"/>
        <w:rPr>
          <w:rFonts w:hint="eastAsia" w:ascii="宋体" w:hAnsi="宋体"/>
          <w:color w:val="000000"/>
          <w:spacing w:val="2"/>
          <w:sz w:val="28"/>
          <w:szCs w:val="28"/>
        </w:rPr>
      </w:pPr>
      <w:r>
        <w:rPr>
          <w:rFonts w:hint="eastAsia" w:ascii="宋体" w:hAnsi="宋体"/>
          <w:color w:val="000000"/>
          <w:spacing w:val="2"/>
          <w:sz w:val="28"/>
          <w:szCs w:val="28"/>
        </w:rPr>
        <w:t>（一）财政拨款（补助）：指省级财政当年拨付的资金。</w:t>
      </w:r>
    </w:p>
    <w:p>
      <w:pPr>
        <w:ind w:firstLine="568" w:firstLineChars="200"/>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 xml:space="preserve">（二）事业收入：指事业单位开展专业业务活动及其辅助活动取得的收入。 </w:t>
      </w:r>
    </w:p>
    <w:p>
      <w:pPr>
        <w:ind w:firstLine="568" w:firstLineChars="200"/>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 xml:space="preserve">　　（三）其他收入：指预算单位在“财政拨款补助收入”、“事业收入”、“经营收入”以外取得的收入。 </w:t>
      </w:r>
    </w:p>
    <w:p>
      <w:pPr>
        <w:ind w:firstLine="568" w:firstLineChars="200"/>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 xml:space="preserve">　　（四）上年结转：指以前年度尚未完成、结转到本年仍按原规定用途继续使用的资金。 </w:t>
      </w:r>
    </w:p>
    <w:p>
      <w:pPr>
        <w:ind w:firstLine="568" w:firstLineChars="200"/>
        <w:rPr>
          <w:rFonts w:hint="eastAsia" w:ascii="宋体" w:hAnsi="宋体" w:eastAsiaTheme="minorEastAsia"/>
          <w:color w:val="000000"/>
          <w:spacing w:val="2"/>
          <w:sz w:val="28"/>
          <w:szCs w:val="28"/>
          <w:lang w:eastAsia="zh-CN"/>
        </w:rPr>
      </w:pPr>
      <w:r>
        <w:rPr>
          <w:rFonts w:hint="eastAsia" w:ascii="宋体" w:hAnsi="宋体"/>
          <w:color w:val="000000"/>
          <w:spacing w:val="2"/>
          <w:sz w:val="28"/>
          <w:szCs w:val="28"/>
        </w:rPr>
        <w:t>　</w:t>
      </w:r>
      <w:r>
        <w:rPr>
          <w:rFonts w:hint="eastAsia" w:ascii="宋体" w:hAnsi="宋体"/>
          <w:color w:val="000000"/>
          <w:spacing w:val="2"/>
          <w:sz w:val="28"/>
          <w:szCs w:val="28"/>
          <w:lang w:val="en-US" w:eastAsia="zh-CN"/>
        </w:rPr>
        <w:t xml:space="preserve">  </w:t>
      </w:r>
      <w:r>
        <w:rPr>
          <w:rFonts w:hint="eastAsia" w:ascii="宋体" w:hAnsi="宋体"/>
          <w:color w:val="000000"/>
          <w:spacing w:val="2"/>
          <w:sz w:val="28"/>
          <w:szCs w:val="28"/>
        </w:rPr>
        <w:t xml:space="preserve">（五）基本支出：指为保障机构正常运转、完成日常工作任务而发生的人员支出和公用支出。 </w:t>
      </w:r>
    </w:p>
    <w:p>
      <w:pPr>
        <w:ind w:firstLine="568" w:firstLineChars="200"/>
        <w:rPr>
          <w:rFonts w:hint="eastAsia" w:ascii="宋体" w:hAnsi="宋体"/>
          <w:color w:val="000000"/>
          <w:spacing w:val="2"/>
          <w:sz w:val="28"/>
          <w:szCs w:val="28"/>
        </w:rPr>
      </w:pPr>
      <w:r>
        <w:rPr>
          <w:rFonts w:hint="eastAsia" w:ascii="宋体" w:hAnsi="宋体"/>
          <w:color w:val="000000"/>
          <w:spacing w:val="2"/>
          <w:sz w:val="28"/>
          <w:szCs w:val="28"/>
          <w:lang w:val="en-US" w:eastAsia="zh-CN"/>
        </w:rPr>
        <w:t xml:space="preserve">    </w:t>
      </w:r>
      <w:r>
        <w:rPr>
          <w:rFonts w:hint="eastAsia" w:ascii="宋体" w:hAnsi="宋体"/>
          <w:color w:val="000000"/>
          <w:spacing w:val="2"/>
          <w:sz w:val="28"/>
          <w:szCs w:val="28"/>
        </w:rPr>
        <w:t>（六）项目支出：指为完成特定的行政工作任务或事业发展目标，在基本支出之外发生的各项支出。</w:t>
      </w:r>
    </w:p>
    <w:p>
      <w:pPr>
        <w:ind w:firstLine="568" w:firstLineChars="200"/>
        <w:rPr>
          <w:rFonts w:hint="eastAsia" w:ascii="宋体" w:hAnsi="宋体"/>
          <w:color w:val="000000"/>
          <w:spacing w:val="2"/>
          <w:sz w:val="28"/>
          <w:szCs w:val="28"/>
          <w:lang w:eastAsia="zh-CN"/>
        </w:rPr>
      </w:pPr>
      <w:r>
        <w:rPr>
          <w:rFonts w:hint="eastAsia" w:ascii="宋体" w:hAnsi="宋体"/>
          <w:color w:val="000000"/>
          <w:spacing w:val="2"/>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ind w:firstLine="568" w:firstLineChars="200"/>
        <w:rPr>
          <w:rFonts w:hint="eastAsia" w:ascii="宋体" w:hAnsi="宋体"/>
          <w:color w:val="000000"/>
          <w:spacing w:val="2"/>
          <w:sz w:val="28"/>
          <w:szCs w:val="28"/>
        </w:rPr>
      </w:pPr>
      <w:r>
        <w:rPr>
          <w:rFonts w:hint="eastAsia" w:ascii="宋体" w:hAnsi="宋体"/>
          <w:color w:val="000000"/>
          <w:spacing w:val="2"/>
          <w:sz w:val="28"/>
          <w:szCs w:val="28"/>
        </w:rPr>
        <w:t>（八）行政运行（项）：指机关和实行公务员法管理事业单位用于保障机构正常运转的基本支出。</w:t>
      </w:r>
    </w:p>
    <w:p>
      <w:pPr>
        <w:rPr>
          <w:sz w:val="28"/>
          <w:szCs w:val="28"/>
        </w:rPr>
      </w:pPr>
    </w:p>
    <w:sectPr>
      <w:pgSz w:w="16838" w:h="11906" w:orient="landscape"/>
      <w:pgMar w:top="1800" w:right="1440" w:bottom="180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08EBE"/>
    <w:multiLevelType w:val="singleLevel"/>
    <w:tmpl w:val="89808EBE"/>
    <w:lvl w:ilvl="0" w:tentative="0">
      <w:start w:val="3"/>
      <w:numFmt w:val="chineseCounting"/>
      <w:suff w:val="space"/>
      <w:lvlText w:val="第%1部分"/>
      <w:lvlJc w:val="left"/>
      <w:rPr>
        <w:rFonts w:hint="eastAsia"/>
      </w:rPr>
    </w:lvl>
  </w:abstractNum>
  <w:abstractNum w:abstractNumId="1">
    <w:nsid w:val="376978C2"/>
    <w:multiLevelType w:val="multilevel"/>
    <w:tmpl w:val="376978C2"/>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00000000"/>
    <w:rsid w:val="04CA693D"/>
    <w:rsid w:val="04CB5C6D"/>
    <w:rsid w:val="061B0517"/>
    <w:rsid w:val="0664587B"/>
    <w:rsid w:val="08C015D3"/>
    <w:rsid w:val="0AF7057D"/>
    <w:rsid w:val="0E836A5F"/>
    <w:rsid w:val="11ED78A0"/>
    <w:rsid w:val="14CF77E1"/>
    <w:rsid w:val="170362D2"/>
    <w:rsid w:val="17971DDE"/>
    <w:rsid w:val="18B44CFB"/>
    <w:rsid w:val="1C911460"/>
    <w:rsid w:val="1CB3682B"/>
    <w:rsid w:val="228A65CA"/>
    <w:rsid w:val="228C0190"/>
    <w:rsid w:val="255E033E"/>
    <w:rsid w:val="26273B86"/>
    <w:rsid w:val="289C3E82"/>
    <w:rsid w:val="28EE6E7B"/>
    <w:rsid w:val="2C203A0A"/>
    <w:rsid w:val="2C2716FD"/>
    <w:rsid w:val="2D5063EA"/>
    <w:rsid w:val="30C96ACC"/>
    <w:rsid w:val="316717AA"/>
    <w:rsid w:val="32BD01BE"/>
    <w:rsid w:val="36A568D2"/>
    <w:rsid w:val="38203263"/>
    <w:rsid w:val="3C2D5DD2"/>
    <w:rsid w:val="3CF427BE"/>
    <w:rsid w:val="41053693"/>
    <w:rsid w:val="41AA1230"/>
    <w:rsid w:val="42377836"/>
    <w:rsid w:val="42F26E12"/>
    <w:rsid w:val="43720A33"/>
    <w:rsid w:val="489106AE"/>
    <w:rsid w:val="4BBC5AAB"/>
    <w:rsid w:val="50EA189A"/>
    <w:rsid w:val="514D2F0D"/>
    <w:rsid w:val="51A4752C"/>
    <w:rsid w:val="51C2049F"/>
    <w:rsid w:val="52CC78AC"/>
    <w:rsid w:val="544004AC"/>
    <w:rsid w:val="55450F91"/>
    <w:rsid w:val="563E0CA4"/>
    <w:rsid w:val="56A14C55"/>
    <w:rsid w:val="5BA12718"/>
    <w:rsid w:val="5DA52726"/>
    <w:rsid w:val="5E00547D"/>
    <w:rsid w:val="60390F38"/>
    <w:rsid w:val="61E12555"/>
    <w:rsid w:val="692B2102"/>
    <w:rsid w:val="6B5745D7"/>
    <w:rsid w:val="6F277B8C"/>
    <w:rsid w:val="6FED34A9"/>
    <w:rsid w:val="70A32328"/>
    <w:rsid w:val="746766E2"/>
    <w:rsid w:val="768D6BB8"/>
    <w:rsid w:val="772134E4"/>
    <w:rsid w:val="78186405"/>
    <w:rsid w:val="78A5412D"/>
    <w:rsid w:val="7ED07D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正文缩进 + 首行缩进:  2 字符"/>
    <w:basedOn w:val="1"/>
    <w:qFormat/>
    <w:uiPriority w:val="0"/>
    <w:pPr>
      <w:spacing w:line="560" w:lineRule="exact"/>
      <w:ind w:firstLine="640"/>
    </w:pPr>
    <w:rPr>
      <w:rFonts w:ascii="仿宋" w:hAnsi="仿宋" w:cs="宋体"/>
      <w:sz w:val="32"/>
      <w:szCs w:val="32"/>
    </w:rPr>
  </w:style>
  <w:style w:type="character" w:customStyle="1" w:styleId="9">
    <w:name w:val="ca-2"/>
    <w:basedOn w:val="6"/>
    <w:qFormat/>
    <w:uiPriority w:val="0"/>
  </w:style>
  <w:style w:type="paragraph" w:customStyle="1" w:styleId="10">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7831</Words>
  <Characters>10218</Characters>
  <Lines>0</Lines>
  <Paragraphs>0</Paragraphs>
  <TotalTime>21</TotalTime>
  <ScaleCrop>false</ScaleCrop>
  <LinksUpToDate>false</LinksUpToDate>
  <CharactersWithSpaces>10491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南有乔木</cp:lastModifiedBy>
  <cp:lastPrinted>2020-12-09T05:37:00Z</cp:lastPrinted>
  <dcterms:modified xsi:type="dcterms:W3CDTF">2023-08-23T08:57:30Z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5A43C6839C7B4C78A497B5F14425CAF4</vt:lpwstr>
  </property>
</Properties>
</file>