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.黄石港区消防救援大队</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7"/>
        <w:widowControl/>
        <w:spacing w:before="76" w:beforeAutospacing="0" w:after="76" w:afterAutospacing="0" w:line="450" w:lineRule="atLeast"/>
        <w:ind w:firstLine="420"/>
        <w:jc w:val="center"/>
        <w:rPr>
          <w:color w:val="333333"/>
        </w:rPr>
      </w:pPr>
      <w:r>
        <w:rPr>
          <w:rStyle w:val="11"/>
          <w:rFonts w:hint="eastAsia" w:ascii="微软雅黑" w:hAnsi="微软雅黑" w:eastAsia="微软雅黑" w:cs="微软雅黑"/>
          <w:color w:val="333333"/>
          <w:shd w:val="clear" w:color="auto" w:fill="FFFFFF"/>
          <w:lang w:val="en-US" w:eastAsia="zh-CN"/>
        </w:rPr>
        <w:t>黄石港区消防救援大队</w:t>
      </w:r>
      <w:r>
        <w:rPr>
          <w:rStyle w:val="11"/>
          <w:rFonts w:hint="eastAsia" w:ascii="微软雅黑" w:hAnsi="微软雅黑" w:eastAsia="微软雅黑" w:cs="微软雅黑"/>
          <w:color w:val="333333"/>
          <w:shd w:val="clear" w:color="auto" w:fill="FFFFFF"/>
        </w:rPr>
        <w:t>202</w:t>
      </w:r>
      <w:r>
        <w:rPr>
          <w:rStyle w:val="11"/>
          <w:rFonts w:hint="eastAsia" w:ascii="微软雅黑" w:hAnsi="微软雅黑" w:eastAsia="微软雅黑" w:cs="微软雅黑"/>
          <w:color w:val="333333"/>
          <w:shd w:val="clear" w:color="auto" w:fill="FFFFFF"/>
          <w:lang w:val="en-US" w:eastAsia="zh-CN"/>
        </w:rPr>
        <w:t>2</w:t>
      </w:r>
      <w:r>
        <w:rPr>
          <w:rStyle w:val="11"/>
          <w:rFonts w:hint="eastAsia" w:ascii="微软雅黑" w:hAnsi="微软雅黑" w:eastAsia="微软雅黑" w:cs="微软雅黑"/>
          <w:color w:val="333333"/>
          <w:shd w:val="clear" w:color="auto" w:fill="FFFFFF"/>
        </w:rPr>
        <w:t>年</w:t>
      </w:r>
      <w:r>
        <w:rPr>
          <w:rStyle w:val="11"/>
          <w:rFonts w:hint="eastAsia" w:ascii="微软雅黑" w:hAnsi="微软雅黑" w:eastAsia="微软雅黑" w:cs="微软雅黑"/>
          <w:color w:val="333333"/>
          <w:shd w:val="clear" w:color="auto" w:fill="FFFFFF"/>
          <w:lang w:val="en-US" w:eastAsia="zh-CN"/>
        </w:rPr>
        <w:t>部门</w:t>
      </w:r>
      <w:r>
        <w:rPr>
          <w:rStyle w:val="11"/>
          <w:rFonts w:hint="eastAsia" w:ascii="微软雅黑" w:hAnsi="微软雅黑" w:eastAsia="微软雅黑" w:cs="微软雅黑"/>
          <w:color w:val="333333"/>
          <w:shd w:val="clear" w:color="auto" w:fill="FFFFFF"/>
        </w:rPr>
        <w:t>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7"/>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黄石港区消防救援大队概况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黄石港区消防救援大队</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八、机关运行经费支出说明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十、国有资产占用情况说明</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7"/>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rPr>
          <w:rStyle w:val="10"/>
          <w:rFonts w:hint="eastAsia" w:ascii="黑体" w:hAnsi="黑体" w:eastAsia="黑体" w:cs="黑体"/>
          <w:kern w:val="2"/>
          <w:sz w:val="32"/>
          <w:szCs w:val="32"/>
          <w:rtl w:val="0"/>
          <w:lang w:val="en-US" w:eastAsia="zh-CN" w:bidi="ar-SA"/>
        </w:rPr>
      </w:pPr>
      <w:r>
        <w:rPr>
          <w:rStyle w:val="10"/>
          <w:rFonts w:hint="eastAsia" w:ascii="黑体" w:hAnsi="黑体" w:eastAsia="黑体" w:cs="黑体"/>
          <w:kern w:val="2"/>
          <w:sz w:val="32"/>
          <w:szCs w:val="32"/>
          <w:rtl w:val="0"/>
          <w:lang w:val="en-US" w:eastAsia="zh-CN" w:bidi="ar-SA"/>
        </w:rPr>
        <w:t>第一部分  部门概况</w:t>
      </w:r>
    </w:p>
    <w:p>
      <w:pPr>
        <w:pStyle w:val="12"/>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组织指导城乡综合性消防救援工作，负责相关灾害事故救援行动。</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组织指导火灾预防、消防监督执法以及火灾事故调查处理相关工作，依法行使消防安全综合监管职能。</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负责综合性消防救援预案编制、战术研究，组织指导执勤备战、训练演练等工作。</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组织指导开展相关救援行动应急通信保障工作。</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负责消防救援队伍建设、管理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规划与调度指挥。组织指导社会消防力量建设，参与组织协调动员各类社会救援力量参加救援任务。</w:t>
      </w:r>
    </w:p>
    <w:p>
      <w:pPr>
        <w:widowControl/>
        <w:shd w:val="clear" w:color="auto" w:fill="FFFFFF"/>
        <w:ind w:firstLine="468"/>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组织指导消防安全宣传教育工作。</w:t>
      </w:r>
    </w:p>
    <w:p>
      <w:pPr>
        <w:widowControl/>
        <w:shd w:val="clear" w:color="auto" w:fill="FFFFFF"/>
        <w:ind w:firstLine="468"/>
        <w:jc w:val="left"/>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完成</w:t>
      </w:r>
      <w:r>
        <w:rPr>
          <w:rFonts w:hint="eastAsia" w:ascii="仿宋_GB2312" w:hAnsi="仿宋_GB2312" w:eastAsia="仿宋_GB2312" w:cs="仿宋_GB2312"/>
          <w:sz w:val="28"/>
          <w:szCs w:val="28"/>
          <w:lang w:eastAsia="zh-CN"/>
        </w:rPr>
        <w:t>上级单位</w:t>
      </w:r>
      <w:r>
        <w:rPr>
          <w:rFonts w:hint="eastAsia" w:ascii="仿宋_GB2312" w:hAnsi="仿宋_GB2312" w:eastAsia="仿宋_GB2312" w:cs="仿宋_GB2312"/>
          <w:sz w:val="28"/>
          <w:szCs w:val="28"/>
        </w:rPr>
        <w:t>交办的跨区域应急救援等其他任务。</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widowControl/>
        <w:shd w:val="clear" w:color="auto" w:fill="FFFFFF"/>
        <w:ind w:firstLine="420" w:firstLineChars="150"/>
        <w:jc w:val="lef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sz w:val="28"/>
          <w:szCs w:val="28"/>
          <w:lang w:eastAsia="zh-CN"/>
        </w:rPr>
        <w:t>黄石港区消防救援大队</w:t>
      </w:r>
      <w:r>
        <w:rPr>
          <w:rFonts w:hint="eastAsia" w:ascii="仿宋_GB2312" w:hAnsi="仿宋_GB2312" w:eastAsia="仿宋_GB2312" w:cs="仿宋_GB2312"/>
          <w:sz w:val="28"/>
          <w:szCs w:val="28"/>
        </w:rPr>
        <w:t>属于行政单位，</w:t>
      </w:r>
      <w:r>
        <w:rPr>
          <w:rFonts w:hint="eastAsia" w:ascii="仿宋_GB2312" w:hAnsi="仿宋_GB2312" w:eastAsia="仿宋_GB2312" w:cs="仿宋_GB2312"/>
          <w:sz w:val="28"/>
          <w:szCs w:val="28"/>
          <w:lang w:eastAsia="zh-CN"/>
        </w:rPr>
        <w:t>下辖两个消防站，花湖消防救援站及华新路消防救援站，</w:t>
      </w:r>
      <w:r>
        <w:rPr>
          <w:rFonts w:hint="eastAsia" w:ascii="仿宋_GB2312" w:hAnsi="仿宋_GB2312" w:eastAsia="仿宋_GB2312" w:cs="仿宋_GB2312"/>
          <w:sz w:val="28"/>
          <w:szCs w:val="28"/>
        </w:rPr>
        <w:t>编制人</w:t>
      </w:r>
      <w:r>
        <w:rPr>
          <w:rFonts w:hint="eastAsia" w:ascii="仿宋_GB2312" w:hAnsi="仿宋_GB2312" w:eastAsia="仿宋_GB2312" w:cs="仿宋_GB2312"/>
          <w:sz w:val="28"/>
          <w:szCs w:val="28"/>
          <w:lang w:eastAsia="zh-CN"/>
        </w:rPr>
        <w:t>数</w:t>
      </w:r>
      <w:r>
        <w:rPr>
          <w:rFonts w:hint="eastAsia" w:ascii="仿宋_GB2312" w:hAnsi="仿宋_GB2312" w:eastAsia="仿宋_GB2312" w:cs="仿宋_GB2312"/>
          <w:sz w:val="28"/>
          <w:szCs w:val="28"/>
        </w:rPr>
        <w:t>员</w:t>
      </w:r>
      <w:r>
        <w:rPr>
          <w:rFonts w:hint="eastAsia" w:ascii="仿宋_GB2312" w:hAnsi="仿宋_GB2312" w:eastAsia="仿宋_GB2312" w:cs="仿宋_GB2312"/>
          <w:sz w:val="28"/>
          <w:szCs w:val="28"/>
          <w:lang w:val="en-US" w:eastAsia="zh-CN"/>
        </w:rPr>
        <w:t>71</w:t>
      </w:r>
      <w:r>
        <w:rPr>
          <w:rFonts w:hint="eastAsia" w:ascii="仿宋_GB2312" w:hAnsi="仿宋_GB2312" w:eastAsia="仿宋_GB2312" w:cs="仿宋_GB2312"/>
          <w:sz w:val="28"/>
          <w:szCs w:val="28"/>
        </w:rPr>
        <w:t>人，实有在编人员</w:t>
      </w:r>
      <w:r>
        <w:rPr>
          <w:rFonts w:hint="eastAsia" w:ascii="仿宋_GB2312" w:hAnsi="仿宋_GB2312" w:eastAsia="仿宋_GB2312" w:cs="仿宋_GB2312"/>
          <w:sz w:val="28"/>
          <w:szCs w:val="28"/>
          <w:lang w:val="en-US" w:eastAsia="zh-CN"/>
        </w:rPr>
        <w:t>43</w:t>
      </w:r>
      <w:r>
        <w:rPr>
          <w:rFonts w:hint="eastAsia" w:ascii="仿宋_GB2312" w:hAnsi="仿宋_GB2312" w:eastAsia="仿宋_GB2312" w:cs="仿宋_GB2312"/>
          <w:sz w:val="28"/>
          <w:szCs w:val="28"/>
        </w:rPr>
        <w:t>人</w:t>
      </w:r>
      <w:r>
        <w:rPr>
          <w:rFonts w:hint="eastAsia" w:ascii="仿宋_GB2312" w:hAnsi="仿宋_GB2312" w:eastAsia="仿宋_GB2312" w:cs="仿宋_GB2312"/>
          <w:sz w:val="28"/>
          <w:szCs w:val="28"/>
          <w:lang w:eastAsia="zh-CN"/>
        </w:rPr>
        <w:t>，专职消防员</w:t>
      </w:r>
      <w:r>
        <w:rPr>
          <w:rFonts w:hint="eastAsia" w:ascii="仿宋_GB2312" w:hAnsi="仿宋_GB2312" w:eastAsia="仿宋_GB2312" w:cs="仿宋_GB2312"/>
          <w:sz w:val="28"/>
          <w:szCs w:val="28"/>
          <w:lang w:val="en-US" w:eastAsia="zh-CN"/>
        </w:rPr>
        <w:t>15人，专职消防协管员20人。</w:t>
      </w:r>
    </w:p>
    <w:p>
      <w:pPr>
        <w:widowControl/>
        <w:shd w:val="clear" w:color="auto" w:fill="FFFFFF"/>
        <w:jc w:val="left"/>
        <w:rPr>
          <w:rFonts w:hint="eastAsia" w:ascii="仿宋_GB2312" w:hAnsi="仿宋_GB2312" w:eastAsia="仿宋_GB2312" w:cs="仿宋_GB2312"/>
          <w:color w:val="333333"/>
          <w:kern w:val="0"/>
          <w:sz w:val="32"/>
          <w:szCs w:val="32"/>
          <w:lang w:val="en-US" w:eastAsia="zh-CN"/>
        </w:rPr>
      </w:pPr>
    </w:p>
    <w:p>
      <w:pPr>
        <w:pStyle w:val="7"/>
        <w:widowControl/>
        <w:spacing w:before="76" w:beforeAutospacing="0" w:after="76" w:afterAutospacing="0" w:line="450" w:lineRule="atLeast"/>
        <w:ind w:firstLine="420"/>
        <w:rPr>
          <w:rStyle w:val="10"/>
          <w:rFonts w:hint="eastAsia" w:ascii="黑体" w:hAnsi="黑体" w:eastAsia="黑体" w:cs="黑体"/>
          <w:kern w:val="2"/>
          <w:sz w:val="32"/>
          <w:szCs w:val="32"/>
          <w:rtl w:val="0"/>
          <w:lang w:val="en-US" w:eastAsia="zh-CN" w:bidi="ar-SA"/>
        </w:rPr>
      </w:pPr>
      <w:r>
        <w:rPr>
          <w:rStyle w:val="10"/>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keepNext w:val="0"/>
        <w:keepLines w:val="0"/>
        <w:widowControl/>
        <w:suppressLineNumbers w:val="0"/>
        <w:jc w:val="left"/>
        <w:rPr>
          <w:rFonts w:hint="eastAsia" w:ascii="楷体" w:hAnsi="楷体" w:eastAsia="楷体" w:cs="楷体"/>
          <w:bCs/>
          <w:sz w:val="32"/>
          <w:szCs w:val="32"/>
          <w:highlight w:val="none"/>
          <w:u w:val="none"/>
        </w:rPr>
      </w:pPr>
      <w:r>
        <w:rPr>
          <w:rFonts w:ascii="宋体" w:hAnsi="宋体" w:eastAsia="宋体" w:cs="宋体"/>
          <w:kern w:val="0"/>
          <w:sz w:val="24"/>
          <w:szCs w:val="24"/>
          <w:lang w:val="en-US" w:eastAsia="zh-CN" w:bidi="ar"/>
        </w:rPr>
        <w:drawing>
          <wp:inline distT="0" distB="0" distL="114300" distR="114300">
            <wp:extent cx="6598285" cy="5256530"/>
            <wp:effectExtent l="0" t="0" r="12065"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98285" cy="5256530"/>
                    </a:xfrm>
                    <a:prstGeom prst="rect">
                      <a:avLst/>
                    </a:prstGeom>
                    <a:noFill/>
                    <a:ln w="9525">
                      <a:noFill/>
                    </a:ln>
                  </pic:spPr>
                </pic:pic>
              </a:graphicData>
            </a:graphic>
          </wp:inline>
        </w:drawing>
      </w: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261475" cy="2440305"/>
            <wp:effectExtent l="0" t="0" r="15875" b="1714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9261475" cy="2440305"/>
                    </a:xfrm>
                    <a:prstGeom prst="rect">
                      <a:avLst/>
                    </a:prstGeom>
                    <a:noFill/>
                    <a:ln w="9525">
                      <a:noFill/>
                    </a:ln>
                  </pic:spPr>
                </pic:pic>
              </a:graphicData>
            </a:graphic>
          </wp:inline>
        </w:drawing>
      </w:r>
    </w:p>
    <w:p>
      <w:pPr>
        <w:adjustRightInd w:val="0"/>
        <w:snapToGrid w:val="0"/>
        <w:spacing w:line="580" w:lineRule="atLeast"/>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721090" cy="2571115"/>
            <wp:effectExtent l="0" t="0" r="3810" b="63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8721090" cy="2571115"/>
                    </a:xfrm>
                    <a:prstGeom prst="rect">
                      <a:avLst/>
                    </a:prstGeom>
                    <a:noFill/>
                    <a:ln w="9525">
                      <a:noFill/>
                    </a:ln>
                  </pic:spPr>
                </pic:pic>
              </a:graphicData>
            </a:graphic>
          </wp:inline>
        </w:drawing>
      </w:r>
    </w:p>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p>
      <w:pPr>
        <w:keepNext w:val="0"/>
        <w:keepLines w:val="0"/>
        <w:widowControl/>
        <w:suppressLineNumbers w:val="0"/>
        <w:jc w:val="left"/>
        <w:rPr>
          <w:rFonts w:hint="eastAsia" w:ascii="楷体" w:hAnsi="楷体" w:eastAsia="楷体" w:cs="楷体"/>
          <w:bCs/>
          <w:sz w:val="32"/>
          <w:szCs w:val="32"/>
          <w:highlight w:val="none"/>
          <w:u w:val="none"/>
        </w:rPr>
      </w:pPr>
      <w:r>
        <w:rPr>
          <w:rFonts w:ascii="宋体" w:hAnsi="宋体" w:eastAsia="宋体" w:cs="宋体"/>
          <w:kern w:val="0"/>
          <w:sz w:val="24"/>
          <w:szCs w:val="24"/>
          <w:lang w:val="en-US" w:eastAsia="zh-CN" w:bidi="ar"/>
        </w:rPr>
        <w:drawing>
          <wp:inline distT="0" distB="0" distL="114300" distR="114300">
            <wp:extent cx="8088630" cy="5918200"/>
            <wp:effectExtent l="0" t="0" r="7620" b="635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8088630" cy="5918200"/>
                    </a:xfrm>
                    <a:prstGeom prst="rect">
                      <a:avLst/>
                    </a:prstGeom>
                    <a:noFill/>
                    <a:ln w="9525">
                      <a:noFill/>
                    </a:ln>
                  </pic:spPr>
                </pic:pic>
              </a:graphicData>
            </a:graphic>
          </wp:inline>
        </w:drawing>
      </w: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7362825" cy="2962275"/>
            <wp:effectExtent l="0" t="0" r="9525"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7362825" cy="2962275"/>
                    </a:xfrm>
                    <a:prstGeom prst="rect">
                      <a:avLst/>
                    </a:prstGeom>
                    <a:noFill/>
                    <a:ln w="9525">
                      <a:noFill/>
                    </a:ln>
                  </pic:spPr>
                </pic:pic>
              </a:graphicData>
            </a:graphic>
          </wp:inline>
        </w:drawing>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8433435" cy="4869180"/>
            <wp:effectExtent l="0" t="0" r="5715" b="762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9"/>
                    <a:stretch>
                      <a:fillRect/>
                    </a:stretch>
                  </pic:blipFill>
                  <pic:spPr>
                    <a:xfrm>
                      <a:off x="0" y="0"/>
                      <a:ext cx="8433435" cy="4869180"/>
                    </a:xfrm>
                    <a:prstGeom prst="rect">
                      <a:avLst/>
                    </a:prstGeom>
                    <a:noFill/>
                    <a:ln w="9525">
                      <a:noFill/>
                    </a:ln>
                  </pic:spPr>
                </pic:pic>
              </a:graphicData>
            </a:graphic>
          </wp:inline>
        </w:drawing>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374505" cy="1684020"/>
            <wp:effectExtent l="0" t="0" r="17145" b="11430"/>
            <wp:docPr id="7"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6"/>
                    <pic:cNvPicPr>
                      <a:picLocks noChangeAspect="1"/>
                    </pic:cNvPicPr>
                  </pic:nvPicPr>
                  <pic:blipFill>
                    <a:blip r:embed="rId10"/>
                    <a:stretch>
                      <a:fillRect/>
                    </a:stretch>
                  </pic:blipFill>
                  <pic:spPr>
                    <a:xfrm>
                      <a:off x="0" y="0"/>
                      <a:ext cx="9374505" cy="1684020"/>
                    </a:xfrm>
                    <a:prstGeom prst="rect">
                      <a:avLst/>
                    </a:prstGeom>
                    <a:noFill/>
                    <a:ln w="9525">
                      <a:noFill/>
                    </a:ln>
                  </pic:spPr>
                </pic:pic>
              </a:graphicData>
            </a:graphic>
          </wp:inline>
        </w:drawing>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9"/>
        <w:tblpPr w:leftFromText="180" w:rightFromText="180" w:vertAnchor="text" w:horzAnchor="page" w:tblpX="1063" w:tblpY="284"/>
        <w:tblOverlap w:val="never"/>
        <w:tblW w:w="15000" w:type="dxa"/>
        <w:tblInd w:w="0" w:type="dxa"/>
        <w:tblLayout w:type="autofit"/>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9"/>
        <w:tblW w:w="14860" w:type="dxa"/>
        <w:jc w:val="center"/>
        <w:tblLayout w:type="autofit"/>
        <w:tblCellMar>
          <w:top w:w="0" w:type="dxa"/>
          <w:left w:w="0" w:type="dxa"/>
          <w:bottom w:w="0" w:type="dxa"/>
          <w:right w:w="0" w:type="dxa"/>
        </w:tblCellMar>
      </w:tblPr>
      <w:tblGrid>
        <w:gridCol w:w="860"/>
        <w:gridCol w:w="49"/>
        <w:gridCol w:w="807"/>
        <w:gridCol w:w="4651"/>
        <w:gridCol w:w="1808"/>
        <w:gridCol w:w="1346"/>
        <w:gridCol w:w="5339"/>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rPr>
                <w:rFonts w:hint="eastAsia"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591"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3406" w:type="dxa"/>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0" w:type="auto"/>
            <w:tcBorders>
              <w:top w:val="nil"/>
              <w:left w:val="nil"/>
              <w:bottom w:val="nil"/>
              <w:right w:val="nil"/>
            </w:tcBorders>
            <w:noWrap/>
            <w:tcMar>
              <w:top w:w="15" w:type="dxa"/>
              <w:left w:w="15" w:type="dxa"/>
              <w:right w:w="15" w:type="dxa"/>
            </w:tcMar>
            <w:vAlign w:val="bottom"/>
          </w:tcPr>
          <w:p>
            <w:pPr>
              <w:rPr>
                <w:rFonts w:hint="default" w:ascii="Arial" w:hAnsi="Arial" w:cs="Arial"/>
                <w:i w:val="0"/>
                <w:color w:val="000000"/>
                <w:sz w:val="20"/>
                <w:szCs w:val="20"/>
                <w:u w:val="none"/>
              </w:rPr>
            </w:pPr>
          </w:p>
        </w:tc>
        <w:tc>
          <w:tcPr>
            <w:tcW w:w="0" w:type="auto"/>
            <w:tcBorders>
              <w:top w:val="nil"/>
              <w:left w:val="nil"/>
              <w:bottom w:val="nil"/>
              <w:right w:val="nil"/>
            </w:tcBorders>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831" w:type="dxa"/>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623" w:type="dxa"/>
            <w:gridSpan w:val="3"/>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0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22"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387" w:type="dxa"/>
            <w:vMerge w:val="restart"/>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623" w:type="dxa"/>
            <w:gridSpan w:val="3"/>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40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22"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87" w:type="dxa"/>
            <w:vMerge w:val="continue"/>
            <w:tcBorders>
              <w:top w:val="nil"/>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62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406"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7"/>
        <w:widowControl/>
        <w:spacing w:before="76" w:beforeAutospacing="0" w:after="76" w:afterAutospacing="0" w:line="450" w:lineRule="atLeast"/>
        <w:ind w:firstLine="420"/>
        <w:rPr>
          <w:rStyle w:val="10"/>
          <w:rFonts w:hint="eastAsia" w:ascii="黑体" w:hAnsi="黑体" w:eastAsia="黑体" w:cs="黑体"/>
          <w:kern w:val="2"/>
          <w:sz w:val="32"/>
          <w:szCs w:val="32"/>
          <w:rtl w:val="0"/>
          <w:lang w:val="en-US" w:eastAsia="zh-CN" w:bidi="ar-SA"/>
        </w:rPr>
      </w:pPr>
      <w:r>
        <w:rPr>
          <w:rStyle w:val="10"/>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927.48  </w:t>
      </w:r>
      <w:r>
        <w:rPr>
          <w:rFonts w:hint="eastAsia" w:ascii="仿宋_GB2312" w:hAnsi="仿宋_GB2312" w:eastAsia="仿宋_GB2312" w:cs="仿宋_GB2312"/>
          <w:bCs/>
          <w:sz w:val="32"/>
          <w:szCs w:val="32"/>
          <w:highlight w:val="none"/>
          <w:lang w:val="en-US" w:eastAsia="zh-CN"/>
        </w:rPr>
        <w:t>万元。与2021年度相比，收、支总计各减少</w:t>
      </w:r>
      <w:r>
        <w:rPr>
          <w:rFonts w:hint="eastAsia" w:ascii="仿宋_GB2312" w:hAnsi="仿宋_GB2312" w:eastAsia="仿宋_GB2312" w:cs="仿宋_GB2312"/>
          <w:bCs/>
          <w:sz w:val="32"/>
          <w:szCs w:val="32"/>
          <w:highlight w:val="none"/>
          <w:u w:val="single"/>
          <w:lang w:val="en-US" w:eastAsia="zh-CN"/>
        </w:rPr>
        <w:t xml:space="preserve">  33.6  </w:t>
      </w:r>
      <w:r>
        <w:rPr>
          <w:rFonts w:hint="eastAsia" w:ascii="仿宋_GB2312" w:hAnsi="仿宋_GB2312" w:eastAsia="仿宋_GB2312" w:cs="仿宋_GB2312"/>
          <w:bCs/>
          <w:sz w:val="32"/>
          <w:szCs w:val="32"/>
          <w:highlight w:val="none"/>
          <w:lang w:val="en-US" w:eastAsia="zh-CN"/>
        </w:rPr>
        <w:t>万元，下降</w:t>
      </w:r>
      <w:r>
        <w:rPr>
          <w:rFonts w:hint="eastAsia" w:ascii="仿宋_GB2312" w:hAnsi="仿宋_GB2312" w:eastAsia="仿宋_GB2312" w:cs="仿宋_GB2312"/>
          <w:bCs/>
          <w:sz w:val="32"/>
          <w:szCs w:val="32"/>
          <w:highlight w:val="none"/>
          <w:u w:val="single"/>
          <w:lang w:val="en-US" w:eastAsia="zh-CN"/>
        </w:rPr>
        <w:t xml:space="preserve">  3.5  </w:t>
      </w:r>
      <w:r>
        <w:rPr>
          <w:rFonts w:hint="eastAsia" w:ascii="仿宋_GB2312" w:hAnsi="仿宋_GB2312" w:eastAsia="仿宋_GB2312" w:cs="仿宋_GB2312"/>
          <w:bCs/>
          <w:sz w:val="32"/>
          <w:szCs w:val="32"/>
          <w:highlight w:val="none"/>
          <w:lang w:val="en-US" w:eastAsia="zh-CN"/>
        </w:rPr>
        <w:t xml:space="preserve"> %。主要原因是经费紧张，部分支出延缓。</w:t>
      </w:r>
    </w:p>
    <w:p>
      <w:pPr>
        <w:numPr>
          <w:ilvl w:val="0"/>
          <w:numId w:val="0"/>
        </w:numPr>
        <w:adjustRightInd w:val="0"/>
        <w:snapToGrid w:val="0"/>
        <w:spacing w:line="580" w:lineRule="atLeast"/>
        <w:ind w:leftChars="200" w:firstLine="320" w:firstLineChars="100"/>
        <w:rPr>
          <w:rFonts w:hint="default"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r>
        <w:rPr>
          <w:rFonts w:hint="eastAsia" w:ascii="楷体" w:hAnsi="楷体" w:eastAsia="楷体" w:cs="楷体"/>
          <w:b w:val="0"/>
          <w:bCs w:val="0"/>
          <w:color w:val="FF0000"/>
          <w:sz w:val="32"/>
          <w:szCs w:val="32"/>
          <w:highlight w:val="none"/>
          <w:u w:val="none"/>
          <w:lang w:val="en-US" w:eastAsia="zh-CN"/>
        </w:rPr>
        <w:t xml:space="preserve"> </w:t>
      </w:r>
    </w:p>
    <w:p>
      <w:pPr>
        <w:adjustRightInd w:val="0"/>
        <w:snapToGrid w:val="0"/>
        <w:spacing w:line="580" w:lineRule="atLeast"/>
        <w:ind w:firstLine="420" w:firstLineChars="200"/>
        <w:rPr>
          <w:rFonts w:hint="eastAsia" w:ascii="Times New Roman" w:hAnsi="Times New Roman" w:eastAsia="仿宋_GB2312" w:cs="Times New Roman"/>
          <w:color w:val="FF0000"/>
          <w:sz w:val="32"/>
          <w:szCs w:val="22"/>
          <w:u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2022年度收入合计927.48万元，与2021年度相比，收入合计减少33.6万元，下降3.5 %。其中：财政拨款收入927.48万元，占本年收入100%；上级补助收入0万元，占本年收入0%；事业收入   0万元，占本年收入0%；经营收入0万元，占本年收入0%；附属单位上缴收入0万元，占本年收入0%；其他收入0万元，占本年收入0%。</w:t>
      </w: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r>
        <w:rPr>
          <w:rFonts w:hint="eastAsia" w:ascii="楷体" w:hAnsi="楷体" w:eastAsia="楷体" w:cs="楷体"/>
          <w:b w:val="0"/>
          <w:bCs w:val="0"/>
          <w:color w:val="FF0000"/>
          <w:sz w:val="32"/>
          <w:szCs w:val="32"/>
          <w:highlight w:val="none"/>
          <w:u w:val="none"/>
          <w:lang w:val="en-US" w:eastAsia="zh-CN"/>
        </w:rPr>
        <w:t xml:space="preserve"> </w:t>
      </w:r>
    </w:p>
    <w:p>
      <w:pPr>
        <w:adjustRightInd w:val="0"/>
        <w:snapToGrid w:val="0"/>
        <w:spacing w:line="580" w:lineRule="atLeast"/>
        <w:ind w:firstLine="640" w:firstLineChars="200"/>
        <w:rPr>
          <w:rFonts w:hint="eastAsia" w:ascii="Times New Roman" w:hAnsi="Times New Roman" w:eastAsia="仿宋_GB2312" w:cs="Times New Roman"/>
          <w:color w:val="FF0000"/>
          <w:sz w:val="32"/>
          <w:szCs w:val="22"/>
          <w:u w:val="none"/>
          <w:lang w:val="en-US" w:eastAsia="zh-CN"/>
        </w:rPr>
      </w:pPr>
      <w:r>
        <w:rPr>
          <w:rFonts w:hint="eastAsia" w:ascii="仿宋_GB2312" w:hAnsi="仿宋_GB2312" w:eastAsia="仿宋_GB2312" w:cs="仿宋_GB2312"/>
          <w:bCs/>
          <w:sz w:val="32"/>
          <w:szCs w:val="32"/>
          <w:highlight w:val="none"/>
          <w:lang w:val="en-US" w:eastAsia="zh-CN"/>
        </w:rPr>
        <w:t>2022年度支出合计927.48万元，与2021年度相比，支出合计减少33.6万元，下降3.5%。其中：基本支出927.48万元，占本年支出100%；项目支出0万元，占本年支出0%；上缴上级支出0万元，占本年支出0%；经营支出0万元，占本年支出0%；对附属单位补助支出0万元，占本年支出0%。</w:t>
      </w:r>
    </w:p>
    <w:p>
      <w:pPr>
        <w:numPr>
          <w:ilvl w:val="0"/>
          <w:numId w:val="0"/>
        </w:numPr>
        <w:bidi w:val="0"/>
        <w:ind w:leftChars="200" w:firstLine="320" w:firstLineChars="100"/>
        <w:rPr>
          <w:rFonts w:hint="default"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r>
        <w:rPr>
          <w:rFonts w:hint="eastAsia" w:ascii="楷体" w:hAnsi="楷体" w:eastAsia="楷体" w:cs="楷体"/>
          <w:b w:val="0"/>
          <w:bCs w:val="0"/>
          <w:color w:val="FF0000"/>
          <w:sz w:val="32"/>
          <w:szCs w:val="32"/>
          <w:highlight w:val="none"/>
          <w:u w:val="none"/>
          <w:lang w:val="en-US" w:eastAsia="zh-CN"/>
        </w:rPr>
        <w:t xml:space="preserve"> </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2022年度财政拨款收、支总计均为927.48万元。与2021年度相比，财政拨款收、支总计各增减少33.6万元，下降3.5%。主要原因是经费紧张，部分支出延缓。</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927.48万元，比2021年度决算数减少33.6万元。减少主要原因是经费紧张，部分支出延缓。政府性基金预算财政拨款收入0万元，比2021年度决算数增加0万元。国有资本经营预算财政拨款收入0万元，比2021年度决算数增加0万元。</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hAnsi="仿宋_GB2312" w:eastAsia="仿宋_GB2312" w:cs="仿宋_GB2312"/>
          <w:bCs/>
          <w:sz w:val="32"/>
          <w:szCs w:val="32"/>
          <w:highlight w:val="none"/>
          <w:lang w:val="en-US" w:eastAsia="zh-CN"/>
        </w:rPr>
        <w:t>927.48</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lang w:val="en-US" w:eastAsia="zh-CN"/>
        </w:rPr>
        <w:t>100</w:t>
      </w:r>
      <w:r>
        <w:rPr>
          <w:rFonts w:hint="eastAsia" w:ascii="仿宋_GB2312" w:eastAsia="仿宋_GB2312"/>
          <w:bCs/>
          <w:kern w:val="44"/>
          <w:sz w:val="32"/>
          <w:szCs w:val="32"/>
          <w:highlight w:val="none"/>
        </w:rPr>
        <w:t>%。与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财政拨款支出减少</w:t>
      </w:r>
      <w:r>
        <w:rPr>
          <w:rFonts w:hint="eastAsia" w:ascii="仿宋_GB2312" w:eastAsia="仿宋_GB2312"/>
          <w:bCs/>
          <w:kern w:val="44"/>
          <w:sz w:val="32"/>
          <w:szCs w:val="32"/>
          <w:highlight w:val="none"/>
          <w:lang w:val="en-US" w:eastAsia="zh-CN"/>
        </w:rPr>
        <w:t>33.6</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eastAsia="仿宋_GB2312"/>
          <w:bCs/>
          <w:kern w:val="44"/>
          <w:sz w:val="32"/>
          <w:szCs w:val="32"/>
          <w:highlight w:val="none"/>
          <w:lang w:val="en-US" w:eastAsia="zh-CN"/>
        </w:rPr>
        <w:t>3.5</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en-US" w:eastAsia="zh-CN"/>
        </w:rPr>
        <w:t>经费紧张，部分支出延缓</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r>
        <w:rPr>
          <w:rFonts w:hint="eastAsia" w:ascii="楷体_GB2312" w:hAnsi="楷体_GB2312" w:eastAsia="楷体_GB2312" w:cs="楷体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财政拨款支出</w:t>
      </w:r>
      <w:r>
        <w:rPr>
          <w:rFonts w:hint="eastAsia" w:ascii="仿宋_GB2312" w:hAnsi="仿宋_GB2312" w:eastAsia="仿宋_GB2312" w:cs="仿宋_GB2312"/>
          <w:bCs/>
          <w:kern w:val="44"/>
          <w:sz w:val="32"/>
          <w:szCs w:val="32"/>
          <w:highlight w:val="none"/>
          <w:lang w:val="en-US" w:eastAsia="zh-CN"/>
        </w:rPr>
        <w:t>927.48</w:t>
      </w:r>
      <w:r>
        <w:rPr>
          <w:rFonts w:hint="eastAsia" w:ascii="仿宋_GB2312" w:hAnsi="仿宋_GB2312" w:eastAsia="仿宋_GB2312" w:cs="仿宋_GB2312"/>
          <w:bCs/>
          <w:kern w:val="44"/>
          <w:sz w:val="32"/>
          <w:szCs w:val="32"/>
          <w:highlight w:val="none"/>
        </w:rPr>
        <w:t>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公共安全支出</w:t>
      </w:r>
      <w:r>
        <w:rPr>
          <w:rFonts w:hint="eastAsia" w:ascii="仿宋_GB2312" w:hAnsi="仿宋_GB2312" w:eastAsia="仿宋_GB2312" w:cs="仿宋_GB2312"/>
          <w:bCs/>
          <w:kern w:val="44"/>
          <w:sz w:val="32"/>
          <w:szCs w:val="32"/>
          <w:highlight w:val="none"/>
          <w:lang w:eastAsia="zh-CN"/>
        </w:rPr>
        <w:t>（类）</w:t>
      </w:r>
      <w:r>
        <w:rPr>
          <w:rFonts w:hint="eastAsia" w:ascii="仿宋_GB2312" w:hAnsi="仿宋_GB2312" w:eastAsia="仿宋_GB2312" w:cs="仿宋_GB2312"/>
          <w:bCs/>
          <w:kern w:val="44"/>
          <w:sz w:val="32"/>
          <w:szCs w:val="32"/>
          <w:highlight w:val="none"/>
        </w:rPr>
        <w:t>894.47万元，占</w:t>
      </w:r>
      <w:r>
        <w:rPr>
          <w:rFonts w:hint="eastAsia" w:ascii="仿宋_GB2312" w:hAnsi="仿宋_GB2312" w:eastAsia="仿宋_GB2312" w:cs="仿宋_GB2312"/>
          <w:bCs/>
          <w:kern w:val="44"/>
          <w:sz w:val="32"/>
          <w:szCs w:val="32"/>
          <w:highlight w:val="none"/>
          <w:lang w:val="en-US" w:eastAsia="zh-CN"/>
        </w:rPr>
        <w:t>96.44</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。主要是用于单位基本运行。</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eastAsia="zh-CN"/>
        </w:rPr>
      </w:pPr>
      <w:r>
        <w:rPr>
          <w:rFonts w:hint="eastAsia" w:ascii="仿宋_GB2312" w:hAnsi="仿宋_GB2312" w:eastAsia="仿宋_GB2312" w:cs="仿宋_GB2312"/>
          <w:bCs/>
          <w:kern w:val="44"/>
          <w:sz w:val="32"/>
          <w:szCs w:val="32"/>
          <w:highlight w:val="none"/>
          <w:lang w:val="en-US" w:eastAsia="zh-CN"/>
        </w:rPr>
        <w:t>2.灾害防治及应急管理支出（类）33.1</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3.56</w:t>
      </w:r>
      <w:r>
        <w:rPr>
          <w:rFonts w:hint="eastAsia" w:ascii="仿宋_GB2312" w:hAnsi="仿宋_GB2312" w:eastAsia="仿宋_GB2312" w:cs="仿宋_GB2312"/>
          <w:bCs/>
          <w:kern w:val="44"/>
          <w:sz w:val="32"/>
          <w:szCs w:val="32"/>
          <w:highlight w:val="none"/>
        </w:rPr>
        <w:t>%</w:t>
      </w:r>
      <w:r>
        <w:rPr>
          <w:rFonts w:hint="eastAsia" w:ascii="仿宋_GB2312" w:hAnsi="仿宋_GB2312" w:eastAsia="仿宋_GB2312" w:cs="仿宋_GB2312"/>
          <w:bCs/>
          <w:kern w:val="44"/>
          <w:sz w:val="32"/>
          <w:szCs w:val="32"/>
          <w:highlight w:val="none"/>
          <w:lang w:eastAsia="zh-CN"/>
        </w:rPr>
        <w:t>。主要是用于单位基本运行。</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left="640" w:leftChars="0"/>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lang w:val="en-US" w:eastAsia="zh-CN"/>
        </w:rPr>
        <w:t>927.48</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lang w:val="en-US" w:eastAsia="zh-CN"/>
        </w:rPr>
        <w:t>927.48</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w:t>
      </w:r>
    </w:p>
    <w:p>
      <w:pPr>
        <w:pageBreakBefore w:val="0"/>
        <w:widowControl w:val="0"/>
        <w:kinsoku/>
        <w:wordWrap/>
        <w:overflowPunct/>
        <w:topLinePunct w:val="0"/>
        <w:bidi w:val="0"/>
        <w:adjustRightInd w:val="0"/>
        <w:snapToGrid w:val="0"/>
        <w:spacing w:line="360" w:lineRule="auto"/>
        <w:textAlignment w:val="auto"/>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rPr>
        <w:t>算的</w:t>
      </w:r>
      <w:r>
        <w:rPr>
          <w:rFonts w:hint="eastAsia" w:ascii="仿宋_GB2312" w:hAnsi="仿宋_GB2312" w:eastAsia="仿宋_GB2312" w:cs="仿宋_GB2312"/>
          <w:bCs/>
          <w:kern w:val="44"/>
          <w:sz w:val="32"/>
          <w:szCs w:val="32"/>
          <w:highlight w:val="none"/>
          <w:u w:val="single"/>
          <w:lang w:val="en-US" w:eastAsia="zh-CN"/>
        </w:rPr>
        <w:t>100</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其中：(一般公共预算财政拨款支出决算具体情况，按支出功能分类类级科目逐类分析</w:t>
      </w:r>
      <w:r>
        <w:rPr>
          <w:rFonts w:hint="eastAsia" w:ascii="仿宋_GB2312" w:eastAsia="仿宋_GB2312"/>
          <w:bCs/>
          <w:kern w:val="44"/>
          <w:sz w:val="32"/>
          <w:szCs w:val="32"/>
          <w:highlight w:val="none"/>
          <w:u w:val="none"/>
          <w:lang w:eastAsia="zh-CN"/>
        </w:rPr>
        <w:t>，简述本部门使用科目</w:t>
      </w:r>
      <w:r>
        <w:rPr>
          <w:rFonts w:hint="eastAsia" w:ascii="仿宋_GB2312" w:eastAsia="仿宋_GB2312"/>
          <w:bCs/>
          <w:kern w:val="44"/>
          <w:sz w:val="32"/>
          <w:szCs w:val="32"/>
          <w:highlight w:val="none"/>
          <w:u w:val="none"/>
        </w:rPr>
        <w:t>)</w:t>
      </w:r>
    </w:p>
    <w:p>
      <w:pPr>
        <w:pageBreakBefore w:val="0"/>
        <w:widowControl w:val="0"/>
        <w:numPr>
          <w:ilvl w:val="0"/>
          <w:numId w:val="4"/>
        </w:numPr>
        <w:kinsoku/>
        <w:wordWrap/>
        <w:overflowPunct/>
        <w:topLinePunct w:val="0"/>
        <w:bidi w:val="0"/>
        <w:adjustRightInd w:val="0"/>
        <w:snapToGrid w:val="0"/>
        <w:spacing w:line="360" w:lineRule="auto"/>
        <w:ind w:firstLine="640" w:firstLineChars="200"/>
        <w:textAlignment w:val="auto"/>
      </w:pPr>
      <w:r>
        <w:rPr>
          <w:rFonts w:hint="eastAsia" w:ascii="楷体" w:hAnsi="楷体" w:eastAsia="楷体" w:cs="楷体"/>
          <w:bCs/>
          <w:kern w:val="44"/>
          <w:sz w:val="32"/>
          <w:szCs w:val="32"/>
          <w:highlight w:val="none"/>
          <w:u w:val="none"/>
          <w:lang w:eastAsia="zh-CN"/>
        </w:rPr>
        <w:t>公共安全</w:t>
      </w:r>
      <w:r>
        <w:rPr>
          <w:rFonts w:hint="eastAsia" w:ascii="楷体" w:hAnsi="楷体" w:eastAsia="楷体" w:cs="楷体"/>
          <w:bCs/>
          <w:kern w:val="44"/>
          <w:sz w:val="32"/>
          <w:szCs w:val="32"/>
          <w:highlight w:val="none"/>
          <w:u w:val="none"/>
        </w:rPr>
        <w:t>支出(类)。</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894.47</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894.47</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小</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凡是</w:t>
      </w:r>
      <w:r>
        <w:rPr>
          <w:rFonts w:hint="eastAsia" w:ascii="仿宋_GB2312" w:eastAsia="仿宋_GB2312"/>
          <w:bCs/>
          <w:color w:val="auto"/>
          <w:kern w:val="44"/>
          <w:sz w:val="32"/>
          <w:szCs w:val="32"/>
          <w:highlight w:val="none"/>
          <w:u w:val="none"/>
          <w:lang w:eastAsia="zh-CN"/>
        </w:rPr>
        <w:t>年中有追加预算的或决算数</w:t>
      </w:r>
      <w:r>
        <w:rPr>
          <w:rFonts w:hint="eastAsia" w:ascii="仿宋_GB2312" w:eastAsia="仿宋_GB2312"/>
          <w:bCs/>
          <w:color w:val="auto"/>
          <w:kern w:val="44"/>
          <w:sz w:val="32"/>
          <w:szCs w:val="32"/>
          <w:highlight w:val="none"/>
          <w:u w:val="none"/>
        </w:rPr>
        <w:t>低于</w:t>
      </w:r>
      <w:r>
        <w:rPr>
          <w:rFonts w:hint="eastAsia" w:ascii="仿宋_GB2312" w:eastAsia="仿宋_GB2312"/>
          <w:bCs/>
          <w:color w:val="auto"/>
          <w:kern w:val="44"/>
          <w:sz w:val="32"/>
          <w:szCs w:val="32"/>
          <w:highlight w:val="none"/>
          <w:u w:val="none"/>
          <w:lang w:eastAsia="zh-CN"/>
        </w:rPr>
        <w:t>年初预算数</w:t>
      </w:r>
      <w:r>
        <w:rPr>
          <w:rFonts w:hint="eastAsia" w:ascii="仿宋_GB2312" w:eastAsia="仿宋_GB2312"/>
          <w:bCs/>
          <w:color w:val="auto"/>
          <w:kern w:val="44"/>
          <w:sz w:val="32"/>
          <w:szCs w:val="32"/>
          <w:highlight w:val="none"/>
          <w:u w:val="none"/>
        </w:rPr>
        <w:t>9</w:t>
      </w:r>
      <w:r>
        <w:rPr>
          <w:rFonts w:hint="eastAsia" w:ascii="仿宋_GB2312" w:eastAsia="仿宋_GB2312"/>
          <w:bCs/>
          <w:color w:val="auto"/>
          <w:kern w:val="44"/>
          <w:sz w:val="32"/>
          <w:szCs w:val="32"/>
          <w:highlight w:val="none"/>
          <w:u w:val="none"/>
          <w:lang w:val="en-US" w:eastAsia="zh-CN"/>
        </w:rPr>
        <w:t>5</w:t>
      </w:r>
      <w:r>
        <w:rPr>
          <w:rFonts w:hint="eastAsia" w:ascii="仿宋_GB2312" w:eastAsia="仿宋_GB2312"/>
          <w:bCs/>
          <w:color w:val="auto"/>
          <w:kern w:val="44"/>
          <w:sz w:val="32"/>
          <w:szCs w:val="32"/>
          <w:highlight w:val="none"/>
          <w:u w:val="none"/>
        </w:rPr>
        <w:t>%</w:t>
      </w:r>
      <w:r>
        <w:rPr>
          <w:rFonts w:hint="eastAsia" w:ascii="仿宋_GB2312" w:eastAsia="仿宋_GB2312"/>
          <w:bCs/>
          <w:color w:val="auto"/>
          <w:kern w:val="44"/>
          <w:sz w:val="32"/>
          <w:szCs w:val="32"/>
          <w:highlight w:val="none"/>
          <w:u w:val="none"/>
          <w:lang w:eastAsia="zh-CN"/>
        </w:rPr>
        <w:t>的应作</w:t>
      </w:r>
      <w:r>
        <w:rPr>
          <w:rFonts w:hint="eastAsia" w:ascii="仿宋_GB2312" w:eastAsia="仿宋_GB2312"/>
          <w:bCs/>
          <w:color w:val="auto"/>
          <w:kern w:val="44"/>
          <w:sz w:val="32"/>
          <w:szCs w:val="32"/>
          <w:highlight w:val="none"/>
          <w:u w:val="none"/>
          <w:lang w:val="en-US" w:eastAsia="zh-CN"/>
        </w:rPr>
        <w:t>原因</w:t>
      </w:r>
      <w:r>
        <w:rPr>
          <w:rFonts w:hint="eastAsia" w:ascii="仿宋_GB2312" w:eastAsia="仿宋_GB2312"/>
          <w:bCs/>
          <w:color w:val="auto"/>
          <w:kern w:val="44"/>
          <w:sz w:val="32"/>
          <w:szCs w:val="32"/>
          <w:highlight w:val="none"/>
          <w:u w:val="none"/>
        </w:rPr>
        <w:t>说明</w:t>
      </w:r>
      <w:r>
        <w:rPr>
          <w:rFonts w:hint="eastAsia" w:ascii="仿宋_GB2312" w:eastAsia="仿宋_GB2312"/>
          <w:bCs/>
          <w:kern w:val="44"/>
          <w:sz w:val="32"/>
          <w:szCs w:val="32"/>
          <w:highlight w:val="none"/>
          <w:u w:val="none"/>
        </w:rPr>
        <w:t>)的主要原因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一是……；二是……。</w:t>
      </w:r>
    </w:p>
    <w:p>
      <w:pPr>
        <w:pageBreakBefore w:val="0"/>
        <w:widowControl w:val="0"/>
        <w:numPr>
          <w:ilvl w:val="0"/>
          <w:numId w:val="4"/>
        </w:numPr>
        <w:kinsoku/>
        <w:wordWrap/>
        <w:overflowPunct/>
        <w:topLinePunct w:val="0"/>
        <w:bidi w:val="0"/>
        <w:adjustRightInd w:val="0"/>
        <w:snapToGrid w:val="0"/>
        <w:spacing w:line="360" w:lineRule="auto"/>
        <w:ind w:firstLine="640" w:firstLineChars="200"/>
        <w:textAlignment w:val="auto"/>
        <w:rPr>
          <w:rFonts w:hint="eastAsia"/>
        </w:rPr>
      </w:pPr>
      <w:r>
        <w:rPr>
          <w:rFonts w:hint="eastAsia" w:ascii="楷体" w:hAnsi="楷体" w:eastAsia="楷体" w:cs="楷体"/>
          <w:bCs/>
          <w:kern w:val="44"/>
          <w:sz w:val="32"/>
          <w:szCs w:val="32"/>
          <w:highlight w:val="none"/>
          <w:u w:val="none"/>
          <w:lang w:eastAsia="zh-CN"/>
        </w:rPr>
        <w:t>灾害防治及应急管理支出(类)</w:t>
      </w:r>
      <w:r>
        <w:rPr>
          <w:rFonts w:hint="eastAsia" w:ascii="楷体" w:hAnsi="楷体" w:eastAsia="楷体" w:cs="楷体"/>
          <w:bCs/>
          <w:kern w:val="44"/>
          <w:sz w:val="32"/>
          <w:szCs w:val="32"/>
          <w:highlight w:val="none"/>
          <w:u w:val="none"/>
        </w:rPr>
        <w:t>。</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bCs/>
          <w:kern w:val="44"/>
          <w:sz w:val="32"/>
          <w:szCs w:val="32"/>
          <w:highlight w:val="none"/>
          <w:u w:val="none"/>
          <w:lang w:val="en-US" w:eastAsia="zh-CN"/>
        </w:rPr>
        <w:t>33.01</w:t>
      </w:r>
      <w:r>
        <w:rPr>
          <w:rFonts w:hint="eastAsia" w:ascii="仿宋_GB2312" w:eastAsia="仿宋_GB2312"/>
          <w:bCs/>
          <w:kern w:val="44"/>
          <w:sz w:val="32"/>
          <w:szCs w:val="32"/>
          <w:highlight w:val="none"/>
          <w:u w:val="none"/>
        </w:rPr>
        <w:t>万元，支出决算为</w:t>
      </w:r>
      <w:r>
        <w:rPr>
          <w:rFonts w:hint="eastAsia" w:ascii="仿宋_GB2312"/>
          <w:bCs/>
          <w:kern w:val="44"/>
          <w:sz w:val="32"/>
          <w:szCs w:val="32"/>
          <w:highlight w:val="none"/>
          <w:u w:val="none"/>
          <w:lang w:val="en-US" w:eastAsia="zh-CN"/>
        </w:rPr>
        <w:t>33.01</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w:t>
      </w:r>
      <w:r>
        <w:rPr>
          <w:rFonts w:hint="eastAsia" w:ascii="仿宋_GB2312" w:eastAsia="仿宋_GB2312"/>
          <w:bCs/>
          <w:kern w:val="44"/>
          <w:sz w:val="32"/>
          <w:szCs w:val="32"/>
          <w:highlight w:val="none"/>
          <w:u w:val="none"/>
        </w:rPr>
        <w:t>小</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于年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eastAsia="zh-CN"/>
        </w:rPr>
        <w:t>凡是</w:t>
      </w:r>
      <w:r>
        <w:rPr>
          <w:rFonts w:hint="eastAsia" w:ascii="仿宋_GB2312" w:eastAsia="仿宋_GB2312"/>
          <w:bCs/>
          <w:color w:val="auto"/>
          <w:kern w:val="44"/>
          <w:sz w:val="32"/>
          <w:szCs w:val="32"/>
          <w:highlight w:val="none"/>
          <w:u w:val="none"/>
          <w:lang w:eastAsia="zh-CN"/>
        </w:rPr>
        <w:t>年中有追加预算的或决算数</w:t>
      </w:r>
      <w:r>
        <w:rPr>
          <w:rFonts w:hint="eastAsia" w:ascii="仿宋_GB2312" w:eastAsia="仿宋_GB2312"/>
          <w:bCs/>
          <w:color w:val="auto"/>
          <w:kern w:val="44"/>
          <w:sz w:val="32"/>
          <w:szCs w:val="32"/>
          <w:highlight w:val="none"/>
          <w:u w:val="none"/>
        </w:rPr>
        <w:t>低于</w:t>
      </w:r>
      <w:r>
        <w:rPr>
          <w:rFonts w:hint="eastAsia" w:ascii="仿宋_GB2312" w:eastAsia="仿宋_GB2312"/>
          <w:bCs/>
          <w:color w:val="auto"/>
          <w:kern w:val="44"/>
          <w:sz w:val="32"/>
          <w:szCs w:val="32"/>
          <w:highlight w:val="none"/>
          <w:u w:val="none"/>
          <w:lang w:eastAsia="zh-CN"/>
        </w:rPr>
        <w:t>年初预算数</w:t>
      </w:r>
      <w:r>
        <w:rPr>
          <w:rFonts w:hint="eastAsia" w:ascii="仿宋_GB2312" w:eastAsia="仿宋_GB2312"/>
          <w:bCs/>
          <w:color w:val="auto"/>
          <w:kern w:val="44"/>
          <w:sz w:val="32"/>
          <w:szCs w:val="32"/>
          <w:highlight w:val="none"/>
          <w:u w:val="none"/>
        </w:rPr>
        <w:t>9</w:t>
      </w:r>
      <w:r>
        <w:rPr>
          <w:rFonts w:hint="eastAsia" w:ascii="仿宋_GB2312" w:eastAsia="仿宋_GB2312"/>
          <w:bCs/>
          <w:color w:val="auto"/>
          <w:kern w:val="44"/>
          <w:sz w:val="32"/>
          <w:szCs w:val="32"/>
          <w:highlight w:val="none"/>
          <w:u w:val="none"/>
          <w:lang w:val="en-US" w:eastAsia="zh-CN"/>
        </w:rPr>
        <w:t>5</w:t>
      </w:r>
      <w:r>
        <w:rPr>
          <w:rFonts w:hint="eastAsia" w:ascii="仿宋_GB2312" w:eastAsia="仿宋_GB2312"/>
          <w:bCs/>
          <w:color w:val="auto"/>
          <w:kern w:val="44"/>
          <w:sz w:val="32"/>
          <w:szCs w:val="32"/>
          <w:highlight w:val="none"/>
          <w:u w:val="none"/>
        </w:rPr>
        <w:t>%</w:t>
      </w:r>
      <w:r>
        <w:rPr>
          <w:rFonts w:hint="eastAsia" w:ascii="仿宋_GB2312" w:eastAsia="仿宋_GB2312"/>
          <w:bCs/>
          <w:color w:val="auto"/>
          <w:kern w:val="44"/>
          <w:sz w:val="32"/>
          <w:szCs w:val="32"/>
          <w:highlight w:val="none"/>
          <w:u w:val="none"/>
          <w:lang w:eastAsia="zh-CN"/>
        </w:rPr>
        <w:t>的应作</w:t>
      </w:r>
      <w:r>
        <w:rPr>
          <w:rFonts w:hint="eastAsia" w:ascii="仿宋_GB2312" w:eastAsia="仿宋_GB2312"/>
          <w:bCs/>
          <w:color w:val="auto"/>
          <w:kern w:val="44"/>
          <w:sz w:val="32"/>
          <w:szCs w:val="32"/>
          <w:highlight w:val="none"/>
          <w:u w:val="none"/>
          <w:lang w:val="en-US" w:eastAsia="zh-CN"/>
        </w:rPr>
        <w:t>原因</w:t>
      </w:r>
      <w:r>
        <w:rPr>
          <w:rFonts w:hint="eastAsia" w:ascii="仿宋_GB2312" w:eastAsia="仿宋_GB2312"/>
          <w:bCs/>
          <w:color w:val="auto"/>
          <w:kern w:val="44"/>
          <w:sz w:val="32"/>
          <w:szCs w:val="32"/>
          <w:highlight w:val="none"/>
          <w:u w:val="none"/>
        </w:rPr>
        <w:t>说明</w:t>
      </w:r>
      <w:r>
        <w:rPr>
          <w:rFonts w:hint="eastAsia" w:ascii="仿宋_GB2312" w:eastAsia="仿宋_GB2312"/>
          <w:bCs/>
          <w:kern w:val="44"/>
          <w:sz w:val="32"/>
          <w:szCs w:val="32"/>
          <w:highlight w:val="none"/>
          <w:u w:val="none"/>
        </w:rPr>
        <w:t>)的主要原因</w:t>
      </w:r>
      <w:r>
        <w:rPr>
          <w:rFonts w:hint="eastAsia" w:ascii="仿宋_GB2312" w:eastAsia="仿宋_GB2312"/>
          <w:bCs/>
          <w:kern w:val="44"/>
          <w:sz w:val="32"/>
          <w:szCs w:val="32"/>
          <w:highlight w:val="none"/>
          <w:u w:val="none"/>
          <w:lang w:eastAsia="zh-CN"/>
        </w:rPr>
        <w:t>：</w:t>
      </w:r>
      <w:r>
        <w:rPr>
          <w:rFonts w:hint="eastAsia" w:ascii="仿宋_GB2312" w:eastAsia="仿宋_GB2312"/>
          <w:bCs/>
          <w:kern w:val="44"/>
          <w:sz w:val="32"/>
          <w:szCs w:val="32"/>
          <w:highlight w:val="none"/>
          <w:u w:val="none"/>
        </w:rPr>
        <w:t>一是……；二是……。</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r>
        <w:rPr>
          <w:rFonts w:hint="eastAsia" w:ascii="楷体" w:hAnsi="楷体" w:eastAsia="楷体" w:cs="楷体"/>
          <w:b w:val="0"/>
          <w:bCs w:val="0"/>
          <w:color w:val="FF0000"/>
          <w:sz w:val="32"/>
          <w:szCs w:val="32"/>
          <w:highlight w:val="none"/>
          <w:u w:val="none"/>
          <w:lang w:val="en-US" w:eastAsia="zh-CN"/>
        </w:rPr>
        <w:t xml:space="preserve"> </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w:t>
      </w:r>
      <w:r>
        <w:rPr>
          <w:rFonts w:hint="eastAsia" w:ascii="仿宋_GB2312" w:hAnsi="仿宋_GB2312" w:eastAsia="仿宋_GB2312" w:cs="仿宋_GB2312"/>
          <w:bCs/>
          <w:kern w:val="44"/>
          <w:sz w:val="32"/>
          <w:szCs w:val="32"/>
          <w:highlight w:val="none"/>
          <w:lang w:val="en-US" w:eastAsia="zh-CN"/>
        </w:rPr>
        <w:t>927.48</w:t>
      </w:r>
      <w:r>
        <w:rPr>
          <w:rFonts w:hint="eastAsia" w:ascii="仿宋_GB2312" w:eastAsia="仿宋_GB2312"/>
          <w:bCs/>
          <w:color w:val="auto"/>
          <w:kern w:val="44"/>
          <w:sz w:val="32"/>
          <w:szCs w:val="32"/>
          <w:highlight w:val="none"/>
          <w:u w:val="none"/>
          <w:lang w:val="en-US" w:eastAsia="zh-CN"/>
        </w:rPr>
        <w:t>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人员经费575.23万元，主要包括：基本工资、津贴补贴、奖金、伙食补助费、其他社会保障缴费、住房公积金、医疗费、其他工资福利支出。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Times New Roman" w:hAnsi="Times New Roman" w:eastAsia="仿宋_GB2312" w:cs="Times New Roman"/>
          <w:b/>
          <w:bCs/>
          <w:color w:val="FF0000"/>
          <w:sz w:val="32"/>
          <w:szCs w:val="22"/>
          <w:u w:val="none"/>
          <w:lang w:val="en-US" w:eastAsia="zh-CN"/>
        </w:rPr>
      </w:pPr>
      <w:r>
        <w:rPr>
          <w:rFonts w:hint="eastAsia" w:ascii="仿宋_GB2312" w:eastAsia="仿宋_GB2312"/>
          <w:bCs/>
          <w:color w:val="auto"/>
          <w:kern w:val="44"/>
          <w:sz w:val="32"/>
          <w:szCs w:val="32"/>
          <w:highlight w:val="none"/>
          <w:u w:val="none"/>
          <w:lang w:val="en-US" w:eastAsia="zh-CN"/>
        </w:rPr>
        <w:t>公用经费352.25万元，主要包括：办公费、印刷费、手续费、水费、电费、邮电费、物业管理费、差旅费、维修(护)费、会议费、委托业务费、其他商品和服务支出。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我单位2022年度“三公”经费财政拨款无支出。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0万元，支出决算为0万元，完成预算的0%。较上年减少0万元，增长（下降）0%。决算数小于（大于）预算数的主要原因：无相关项支出。决算数较上年增加（减少）的主要原因：无相关项支出。</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1.因公出国(境)费预算为0万元，支出决算为0万元，完成预算的0%。较上年增加0万元，增长0%。全年支出涉及出国（境）团组0个，累计0人次。</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2.公务用车购置及运行费预算为0万元，支出决算为0万元，完成预算的0%；较上年增加（减少）0万元，增长0%。</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(1)公务用车购置费支出0万元。本年度购置(更新)公务用车0辆。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(2)公务用车运行费支出0 0万元。截止2022年12月31日，开支财政拨款的公务用车保有量为0辆。</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3.公务接待费预算为0万元，支出决算为0万元，完成预算的0%，较上年增加0万元，增长0%。其中：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外宾接待支出0万元。2022年共接待来访团组0个，0人次（不包括陪同人员）。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国内公务接待支出0万元。2022年共接待国内来访团组0个，0人次（不包括陪同人员）。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numPr>
          <w:ilvl w:val="0"/>
          <w:numId w:val="0"/>
        </w:numPr>
        <w:bidi w:val="0"/>
        <w:ind w:leftChars="200"/>
        <w:rPr>
          <w:rFonts w:hint="eastAsia" w:ascii="仿宋_GB2312" w:hAnsi="仿宋_GB2312" w:eastAsia="仿宋_GB2312" w:cs="仿宋_GB2312"/>
          <w:sz w:val="32"/>
          <w:szCs w:val="32"/>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本单位当年无政府性基金预算财政拨款收入支出。</w:t>
      </w: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本单位当年无国有资本经营预算财政拨款支出。</w:t>
      </w: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4"/>
        <w:rPr>
          <w:rFonts w:hint="eastAsia" w:ascii="仿宋_GB2312" w:eastAsia="仿宋_GB2312"/>
          <w:szCs w:val="32"/>
        </w:rPr>
      </w:pPr>
      <w:r>
        <w:rPr>
          <w:rFonts w:hint="eastAsia" w:ascii="仿宋_GB2312" w:eastAsia="仿宋_GB2312"/>
          <w:szCs w:val="32"/>
        </w:rPr>
        <w:t>本部门 202</w:t>
      </w:r>
      <w:r>
        <w:rPr>
          <w:rFonts w:hint="eastAsia" w:ascii="仿宋_GB2312" w:eastAsia="仿宋_GB2312"/>
          <w:szCs w:val="32"/>
          <w:lang w:val="en-US" w:eastAsia="zh-CN"/>
        </w:rPr>
        <w:t>2</w:t>
      </w:r>
      <w:r>
        <w:rPr>
          <w:rFonts w:hint="eastAsia" w:ascii="仿宋_GB2312" w:eastAsia="仿宋_GB2312"/>
          <w:szCs w:val="32"/>
        </w:rPr>
        <w:t>年度机关运行经费支出</w:t>
      </w:r>
      <w:r>
        <w:rPr>
          <w:rFonts w:hint="eastAsia" w:ascii="仿宋_GB2312" w:eastAsia="仿宋_GB2312"/>
          <w:szCs w:val="32"/>
          <w:lang w:val="en-US" w:eastAsia="zh-CN"/>
        </w:rPr>
        <w:t>352.25</w:t>
      </w:r>
      <w:r>
        <w:rPr>
          <w:rFonts w:hint="eastAsia" w:ascii="仿宋_GB2312" w:eastAsia="仿宋_GB2312"/>
          <w:szCs w:val="32"/>
        </w:rPr>
        <w:t>万元（</w:t>
      </w:r>
      <w:r>
        <w:rPr>
          <w:rFonts w:hint="eastAsia" w:ascii="仿宋_GB2312" w:eastAsia="仿宋_GB2312"/>
          <w:color w:val="FF0000"/>
          <w:szCs w:val="32"/>
        </w:rPr>
        <w:t>与部门决算中行政单位和参照公务员法管理事业单位财政拨款基本支出中公用经费之和一致</w:t>
      </w:r>
      <w:r>
        <w:rPr>
          <w:rFonts w:hint="eastAsia" w:ascii="仿宋_GB2312" w:eastAsia="仿宋_GB2312"/>
          <w:szCs w:val="32"/>
        </w:rPr>
        <w:t>），比</w:t>
      </w:r>
      <w:r>
        <w:rPr>
          <w:rFonts w:hint="eastAsia" w:ascii="仿宋_GB2312" w:eastAsia="仿宋_GB2312"/>
          <w:szCs w:val="32"/>
          <w:lang w:eastAsia="zh-CN"/>
        </w:rPr>
        <w:t>上年决算数</w:t>
      </w:r>
      <w:r>
        <w:rPr>
          <w:rFonts w:hint="eastAsia" w:ascii="仿宋_GB2312" w:eastAsia="仿宋_GB2312"/>
          <w:szCs w:val="32"/>
        </w:rPr>
        <w:t>增加</w:t>
      </w:r>
      <w:r>
        <w:rPr>
          <w:rFonts w:hint="eastAsia" w:ascii="仿宋_GB2312" w:eastAsia="仿宋_GB2312"/>
          <w:szCs w:val="32"/>
          <w:lang w:val="en-US" w:eastAsia="zh-CN"/>
        </w:rPr>
        <w:t>158.37</w:t>
      </w:r>
      <w:r>
        <w:rPr>
          <w:rFonts w:hint="eastAsia" w:ascii="仿宋_GB2312" w:eastAsia="仿宋_GB2312"/>
          <w:szCs w:val="32"/>
        </w:rPr>
        <w:t>万元，增长</w:t>
      </w:r>
      <w:r>
        <w:rPr>
          <w:rFonts w:hint="eastAsia" w:ascii="仿宋_GB2312" w:eastAsia="仿宋_GB2312"/>
          <w:szCs w:val="32"/>
          <w:lang w:val="en-US" w:eastAsia="zh-CN"/>
        </w:rPr>
        <w:t>122.42</w:t>
      </w:r>
      <w:r>
        <w:rPr>
          <w:rFonts w:hint="eastAsia" w:ascii="仿宋_GB2312" w:eastAsia="仿宋_GB2312"/>
          <w:szCs w:val="32"/>
        </w:rPr>
        <w:t>%。主要原因是：</w:t>
      </w:r>
      <w:r>
        <w:rPr>
          <w:rFonts w:hint="eastAsia" w:ascii="仿宋_GB2312" w:eastAsia="仿宋_GB2312"/>
          <w:szCs w:val="32"/>
          <w:lang w:eastAsia="zh-CN"/>
        </w:rPr>
        <w:t>江北消防站正式启用入住，相关运行经</w:t>
      </w:r>
      <w:r>
        <w:rPr>
          <w:rFonts w:hint="eastAsia" w:ascii="仿宋_GB2312" w:eastAsia="仿宋_GB2312"/>
          <w:szCs w:val="32"/>
        </w:rPr>
        <w:t>费增加。</w:t>
      </w:r>
    </w:p>
    <w:p>
      <w:pPr>
        <w:pStyle w:val="14"/>
        <w:ind w:left="0" w:leftChars="0" w:firstLine="0" w:firstLineChars="0"/>
        <w:rPr>
          <w:rFonts w:hint="eastAsia" w:ascii="仿宋_GB2312" w:eastAsia="仿宋_GB2312"/>
          <w:szCs w:val="32"/>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p>
    <w:p>
      <w:pPr>
        <w:pStyle w:val="14"/>
        <w:rPr>
          <w:rFonts w:hint="eastAsia" w:ascii="仿宋_GB2312" w:eastAsia="仿宋_GB2312" w:cs="宋体"/>
          <w:szCs w:val="32"/>
        </w:rPr>
      </w:pPr>
      <w:r>
        <w:rPr>
          <w:rFonts w:hint="eastAsia" w:ascii="仿宋_GB2312" w:eastAsia="仿宋_GB2312" w:cs="宋体"/>
          <w:szCs w:val="32"/>
        </w:rPr>
        <w:t>其中：政府采购货物支出</w:t>
      </w:r>
      <w:r>
        <w:rPr>
          <w:rFonts w:hint="eastAsia" w:ascii="仿宋_GB2312" w:eastAsia="仿宋_GB2312" w:cs="宋体"/>
          <w:szCs w:val="32"/>
          <w:lang w:val="en-US" w:eastAsia="zh-CN"/>
        </w:rPr>
        <w:t>0</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0</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0</w:t>
      </w:r>
      <w:r>
        <w:rPr>
          <w:rFonts w:hint="eastAsia" w:ascii="仿宋_GB2312" w:eastAsia="仿宋_GB2312" w:cs="宋体"/>
          <w:szCs w:val="32"/>
        </w:rPr>
        <w:t>%。</w:t>
      </w:r>
    </w:p>
    <w:p>
      <w:pPr>
        <w:pStyle w:val="14"/>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4"/>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截至202</w:t>
      </w:r>
      <w:r>
        <w:rPr>
          <w:rFonts w:hint="eastAsia" w:ascii="仿宋_GB2312" w:eastAsia="仿宋_GB2312" w:cs="宋体"/>
          <w:kern w:val="2"/>
          <w:sz w:val="32"/>
          <w:szCs w:val="32"/>
          <w:lang w:val="en-US" w:eastAsia="zh-CN" w:bidi="ar-SA"/>
        </w:rPr>
        <w:t>2</w:t>
      </w:r>
      <w:r>
        <w:rPr>
          <w:rFonts w:hint="eastAsia" w:ascii="仿宋_GB2312" w:hAnsi="仿宋" w:eastAsia="仿宋_GB2312" w:cs="宋体"/>
          <w:kern w:val="2"/>
          <w:sz w:val="32"/>
          <w:szCs w:val="32"/>
          <w:lang w:val="en-US" w:eastAsia="zh-CN" w:bidi="ar-SA"/>
        </w:rPr>
        <w:t>年12月31日，本单位共有车辆10辆，其中，</w:t>
      </w:r>
      <w:r>
        <w:rPr>
          <w:rFonts w:hint="eastAsia" w:ascii="仿宋_GB2312" w:eastAsia="仿宋_GB2312" w:cs="宋体"/>
          <w:szCs w:val="32"/>
        </w:rPr>
        <w:t>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w:t>
      </w:r>
      <w:r>
        <w:rPr>
          <w:rFonts w:hint="eastAsia" w:ascii="仿宋_GB2312" w:hAnsi="仿宋" w:eastAsia="仿宋_GB2312" w:cs="宋体"/>
          <w:kern w:val="2"/>
          <w:sz w:val="32"/>
          <w:szCs w:val="32"/>
          <w:lang w:val="en-US" w:eastAsia="zh-CN" w:bidi="ar-SA"/>
        </w:rPr>
        <w:t>主要领导干部用车1辆、机要通信用车0辆、应急保障用车0 辆、执法执勤用车1辆、特种专业技术用车8辆、离退休干部用车0辆、其他用车0辆；单位价值50万元以上通用设备0台（套）；单位价值100万元以上专用设备0台（套）。</w:t>
      </w:r>
    </w:p>
    <w:p>
      <w:pPr>
        <w:pStyle w:val="14"/>
        <w:ind w:left="0" w:leftChars="0" w:firstLine="0" w:firstLineChars="0"/>
        <w:rPr>
          <w:rFonts w:hint="eastAsia" w:ascii="仿宋_GB2312" w:eastAsia="仿宋_GB2312" w:cs="宋体"/>
          <w:szCs w:val="32"/>
        </w:rPr>
      </w:pPr>
    </w:p>
    <w:p>
      <w:pPr>
        <w:pStyle w:val="14"/>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根据预算绩效管理要求，本部门组织对2022年度一般公共预算项目支出全面开展绩效自评，共涉及项目0个，资金</w:t>
      </w:r>
      <w:r>
        <w:rPr>
          <w:rFonts w:hint="eastAsia" w:ascii="仿宋_GB2312" w:hAnsi="仿宋_GB2312" w:eastAsia="仿宋_GB2312" w:cs="仿宋_GB2312"/>
          <w:bCs/>
          <w:kern w:val="44"/>
          <w:sz w:val="32"/>
          <w:szCs w:val="32"/>
          <w:highlight w:val="none"/>
          <w:lang w:val="en-US" w:eastAsia="zh-CN"/>
        </w:rPr>
        <w:t>0</w:t>
      </w:r>
      <w:r>
        <w:rPr>
          <w:rFonts w:hint="eastAsia" w:ascii="仿宋_GB2312" w:hAnsi="仿宋" w:eastAsia="仿宋_GB2312" w:cs="宋体"/>
          <w:kern w:val="2"/>
          <w:sz w:val="32"/>
          <w:szCs w:val="32"/>
          <w:lang w:val="en-US" w:eastAsia="zh-CN" w:bidi="ar-SA"/>
        </w:rPr>
        <w:t>万元，占一般公共预算项目支出总额的0％。从评价情况来看，我单位无项目支出。</w:t>
      </w:r>
    </w:p>
    <w:p>
      <w:pPr>
        <w:spacing w:line="560" w:lineRule="exact"/>
        <w:ind w:firstLine="640"/>
        <w:rPr>
          <w:rFonts w:hint="eastAsia" w:ascii="仿宋_GB2312" w:hAnsi="仿宋_GB2312" w:eastAsia="仿宋_GB2312" w:cs="仿宋_GB2312"/>
          <w:bCs/>
          <w:sz w:val="32"/>
          <w:szCs w:val="32"/>
          <w:u w:val="none"/>
          <w:lang w:eastAsia="zh-CN"/>
        </w:rPr>
      </w:pPr>
      <w:r>
        <w:rPr>
          <w:rFonts w:hint="eastAsia" w:ascii="仿宋_GB2312" w:hAnsi="仿宋" w:eastAsia="仿宋_GB2312" w:cs="宋体"/>
          <w:kern w:val="2"/>
          <w:sz w:val="32"/>
          <w:szCs w:val="32"/>
          <w:lang w:val="en-US" w:eastAsia="zh-CN" w:bidi="ar-SA"/>
        </w:rPr>
        <w:t>组织开展部门整体支出绩效评价，进一步完善、细化、量化绩效目标，强化全过程绩效管理，将绩效管理贯穿于项目实施的每一个环节，及时发现并纠正绩效管理过程中存在的问题，提高资金使用效率。</w:t>
      </w:r>
    </w:p>
    <w:p>
      <w:pPr>
        <w:pStyle w:val="14"/>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项目绩效自评综述：项目全年预算数为</w:t>
      </w:r>
      <w:r>
        <w:rPr>
          <w:rFonts w:hint="eastAsia" w:ascii="仿宋_GB2312" w:hAnsi="仿宋" w:eastAsia="仿宋_GB2312" w:cs="仿宋"/>
          <w:sz w:val="32"/>
          <w:szCs w:val="32"/>
          <w:u w:val="none"/>
          <w:lang w:val="en-US" w:eastAsia="zh-CN"/>
        </w:rPr>
        <w:t>0</w:t>
      </w:r>
      <w:r>
        <w:rPr>
          <w:rFonts w:hint="eastAsia" w:ascii="仿宋_GB2312" w:hAnsi="仿宋" w:eastAsia="仿宋_GB2312" w:cs="仿宋"/>
          <w:sz w:val="32"/>
          <w:szCs w:val="32"/>
          <w:u w:val="none"/>
        </w:rPr>
        <w:t>万元，执行数为</w:t>
      </w:r>
      <w:r>
        <w:rPr>
          <w:rFonts w:hint="eastAsia" w:ascii="仿宋_GB2312" w:hAnsi="仿宋" w:eastAsia="仿宋_GB2312" w:cs="仿宋"/>
          <w:sz w:val="32"/>
          <w:szCs w:val="32"/>
          <w:u w:val="none"/>
          <w:lang w:val="en-US" w:eastAsia="zh-CN"/>
        </w:rPr>
        <w:t>0</w:t>
      </w:r>
      <w:r>
        <w:rPr>
          <w:rFonts w:hint="eastAsia" w:ascii="仿宋_GB2312" w:hAnsi="仿宋" w:eastAsia="仿宋_GB2312" w:cs="仿宋"/>
          <w:sz w:val="32"/>
          <w:szCs w:val="32"/>
          <w:u w:val="none"/>
        </w:rPr>
        <w:t>万元，完成预算</w:t>
      </w:r>
      <w:r>
        <w:rPr>
          <w:rFonts w:hint="eastAsia" w:ascii="仿宋_GB2312" w:hAnsi="仿宋" w:eastAsia="仿宋_GB2312" w:cs="仿宋"/>
          <w:sz w:val="32"/>
          <w:szCs w:val="32"/>
          <w:u w:val="none"/>
          <w:lang w:val="en-US" w:eastAsia="zh-CN"/>
        </w:rPr>
        <w:t>0</w:t>
      </w:r>
      <w:r>
        <w:rPr>
          <w:rFonts w:hint="eastAsia" w:ascii="仿宋_GB2312" w:hAnsi="仿宋" w:eastAsia="仿宋_GB2312" w:cs="仿宋"/>
          <w:sz w:val="32"/>
          <w:szCs w:val="32"/>
          <w:u w:val="none"/>
        </w:rPr>
        <w:t>％。主要产出和效益：一是……；二是……。发现的问题及原因：一是……；二是……。下一步改进措施：一是……；二是……。</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（请对每个自评项目进行综述，并将《</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年度XX项目自评结果》的摘要版以及《</w:t>
      </w:r>
      <w:r>
        <w:rPr>
          <w:rFonts w:hint="eastAsia" w:ascii="仿宋_GB2312" w:hAnsi="仿宋" w:cs="仿宋"/>
          <w:sz w:val="32"/>
          <w:szCs w:val="32"/>
          <w:u w:val="none"/>
          <w:lang w:eastAsia="zh-CN"/>
        </w:rPr>
        <w:t>2022</w:t>
      </w:r>
      <w:r>
        <w:rPr>
          <w:rFonts w:hint="eastAsia" w:ascii="仿宋_GB2312" w:hAnsi="仿宋" w:eastAsia="仿宋_GB2312" w:cs="仿宋"/>
          <w:sz w:val="32"/>
          <w:szCs w:val="32"/>
          <w:u w:val="none"/>
        </w:rPr>
        <w:t>年度XX项目自评表》</w:t>
      </w:r>
      <w:r>
        <w:rPr>
          <w:rFonts w:hint="eastAsia" w:ascii="仿宋_GB2312" w:hAnsi="仿宋" w:eastAsia="仿宋_GB2312" w:cs="仿宋"/>
          <w:sz w:val="32"/>
          <w:szCs w:val="32"/>
          <w:u w:val="none"/>
          <w:lang w:eastAsia="zh-CN"/>
        </w:rPr>
        <w:t>作为附件</w:t>
      </w:r>
      <w:r>
        <w:rPr>
          <w:rFonts w:hint="eastAsia" w:ascii="仿宋_GB2312" w:hAnsi="仿宋" w:eastAsia="仿宋_GB2312" w:cs="仿宋"/>
          <w:sz w:val="32"/>
          <w:szCs w:val="32"/>
          <w:u w:val="none"/>
        </w:rPr>
        <w:t>附</w:t>
      </w:r>
      <w:r>
        <w:rPr>
          <w:rFonts w:hint="eastAsia" w:ascii="仿宋_GB2312" w:hAnsi="仿宋" w:eastAsia="仿宋_GB2312" w:cs="仿宋"/>
          <w:sz w:val="32"/>
          <w:szCs w:val="32"/>
          <w:u w:val="none"/>
          <w:lang w:eastAsia="zh-CN"/>
        </w:rPr>
        <w:t>后</w:t>
      </w:r>
      <w:r>
        <w:rPr>
          <w:rFonts w:hint="eastAsia" w:ascii="仿宋_GB2312" w:hAnsi="仿宋" w:eastAsia="仿宋_GB2312" w:cs="仿宋"/>
          <w:sz w:val="32"/>
          <w:szCs w:val="32"/>
          <w:u w:val="none"/>
        </w:rPr>
        <w:t>）。</w:t>
      </w:r>
    </w:p>
    <w:p>
      <w:pPr>
        <w:spacing w:line="560" w:lineRule="exact"/>
        <w:ind w:firstLine="640"/>
        <w:rPr>
          <w:rFonts w:hint="eastAsia" w:ascii="仿宋_GB2312" w:hAnsi="仿宋_GB2312" w:eastAsia="仿宋_GB2312" w:cs="仿宋_GB2312"/>
          <w:sz w:val="32"/>
          <w:szCs w:val="32"/>
          <w:u w:val="none"/>
          <w:lang w:eastAsia="zh-CN"/>
        </w:rPr>
      </w:pPr>
      <w:r>
        <w:rPr>
          <w:rFonts w:hint="eastAsia" w:ascii="仿宋_GB2312" w:hAnsi="仿宋" w:eastAsia="仿宋_GB2312" w:cs="仿宋"/>
          <w:sz w:val="32"/>
          <w:szCs w:val="32"/>
          <w:u w:val="none"/>
        </w:rPr>
        <w:t>xx项目绩效自评综述……。</w:t>
      </w:r>
    </w:p>
    <w:p>
      <w:p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pStyle w:val="14"/>
        <w:rPr>
          <w:rFonts w:hint="default" w:ascii="仿宋_GB2312" w:hAnsi="仿宋" w:eastAsia="仿宋_GB2312" w:cs="仿宋"/>
          <w:sz w:val="32"/>
          <w:szCs w:val="32"/>
          <w:u w:val="none"/>
          <w:lang w:val="en-US" w:eastAsia="zh-CN"/>
        </w:rPr>
      </w:pPr>
      <w:r>
        <w:rPr>
          <w:rFonts w:hint="eastAsia" w:ascii="仿宋_GB2312" w:hAnsi="仿宋" w:eastAsia="仿宋_GB2312" w:cs="仿宋"/>
          <w:sz w:val="32"/>
          <w:szCs w:val="32"/>
          <w:u w:val="none"/>
        </w:rPr>
        <w:t>部门绩效评价结果应用情况</w:t>
      </w:r>
      <w:r>
        <w:rPr>
          <w:rFonts w:hint="eastAsia" w:ascii="仿宋_GB2312" w:eastAsia="仿宋_GB2312" w:cs="仿宋"/>
          <w:sz w:val="32"/>
          <w:szCs w:val="32"/>
          <w:u w:val="none"/>
          <w:lang w:eastAsia="zh-CN"/>
        </w:rPr>
        <w:t>，按照预算科目规定使用财政资金，保障资金支出的规范化、制度化，</w:t>
      </w:r>
    </w:p>
    <w:p>
      <w:pPr>
        <w:pStyle w:val="14"/>
        <w:rPr>
          <w:rFonts w:hint="eastAsia" w:ascii="仿宋_GB2312" w:eastAsia="仿宋_GB2312" w:cs="仿宋"/>
          <w:sz w:val="32"/>
          <w:szCs w:val="32"/>
          <w:u w:val="none"/>
          <w:lang w:val="en-US" w:eastAsia="zh-CN"/>
        </w:rPr>
      </w:pPr>
      <w:r>
        <w:rPr>
          <w:rFonts w:hint="eastAsia" w:ascii="仿宋_GB2312" w:eastAsia="仿宋_GB2312" w:cs="仿宋"/>
          <w:sz w:val="32"/>
          <w:szCs w:val="32"/>
          <w:u w:val="none"/>
          <w:lang w:val="en-US" w:eastAsia="zh-CN"/>
        </w:rPr>
        <w:t>切实有效地执行了内部财务管理制度，预算资金按规定管理使用，较好地完成了当年任务目标。</w:t>
      </w:r>
    </w:p>
    <w:p>
      <w:pPr>
        <w:pStyle w:val="14"/>
        <w:rPr>
          <w:rFonts w:hint="eastAsia" w:ascii="仿宋_GB2312" w:eastAsia="仿宋_GB2312" w:cs="仿宋"/>
          <w:sz w:val="32"/>
          <w:szCs w:val="32"/>
          <w:u w:val="none"/>
          <w:lang w:val="en-US" w:eastAsia="zh-CN"/>
        </w:rPr>
      </w:pPr>
    </w:p>
    <w:p>
      <w:pPr>
        <w:pStyle w:val="14"/>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lang w:eastAsia="zh-CN"/>
        </w:rPr>
        <w:t>公共安全支出</w:t>
      </w:r>
      <w:r>
        <w:rPr>
          <w:rFonts w:hint="eastAsia" w:ascii="仿宋_GB2312" w:eastAsia="仿宋_GB2312"/>
          <w:sz w:val="32"/>
          <w:szCs w:val="32"/>
          <w:highlight w:val="none"/>
          <w:u w:val="none"/>
        </w:rPr>
        <w:t>(类)</w:t>
      </w:r>
      <w:r>
        <w:rPr>
          <w:rFonts w:hint="eastAsia" w:ascii="仿宋_GB2312" w:eastAsia="仿宋_GB2312"/>
          <w:sz w:val="32"/>
          <w:szCs w:val="32"/>
          <w:highlight w:val="none"/>
          <w:u w:val="none"/>
          <w:lang w:eastAsia="zh-CN"/>
        </w:rPr>
        <w:t>其他公共安全支出</w:t>
      </w:r>
      <w:r>
        <w:rPr>
          <w:rFonts w:hint="eastAsia" w:ascii="仿宋_GB2312" w:eastAsia="仿宋_GB2312"/>
          <w:sz w:val="32"/>
          <w:szCs w:val="32"/>
          <w:highlight w:val="none"/>
          <w:u w:val="none"/>
        </w:rPr>
        <w:t>(款)</w:t>
      </w:r>
      <w:r>
        <w:rPr>
          <w:rFonts w:hint="eastAsia" w:ascii="仿宋_GB2312" w:eastAsia="仿宋_GB2312"/>
          <w:sz w:val="32"/>
          <w:szCs w:val="32"/>
          <w:highlight w:val="none"/>
          <w:u w:val="none"/>
          <w:lang w:eastAsia="zh-CN"/>
        </w:rPr>
        <w:t>其他公共安全支出</w:t>
      </w:r>
      <w:r>
        <w:rPr>
          <w:rFonts w:hint="eastAsia" w:ascii="仿宋_GB2312" w:eastAsia="仿宋_GB2312"/>
          <w:sz w:val="32"/>
          <w:szCs w:val="32"/>
          <w:highlight w:val="none"/>
          <w:u w:val="none"/>
        </w:rPr>
        <w:t>(项)</w:t>
      </w:r>
      <w:r>
        <w:rPr>
          <w:rFonts w:hint="eastAsia" w:ascii="仿宋_GB2312" w:eastAsia="仿宋_GB2312"/>
          <w:sz w:val="32"/>
          <w:szCs w:val="32"/>
          <w:highlight w:val="none"/>
          <w:u w:val="none"/>
          <w:lang w:eastAsia="zh-CN"/>
        </w:rPr>
        <w:t>，反映其他用于公共安全方面的支出。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rPr>
        <w:t>2.</w:t>
      </w:r>
      <w:r>
        <w:rPr>
          <w:rFonts w:hint="eastAsia" w:ascii="仿宋_GB2312" w:eastAsia="仿宋_GB2312"/>
          <w:sz w:val="32"/>
          <w:szCs w:val="32"/>
          <w:highlight w:val="none"/>
          <w:u w:val="none"/>
          <w:lang w:eastAsia="zh-CN"/>
        </w:rPr>
        <w:t>灾害防治及应急管理支出</w:t>
      </w:r>
      <w:r>
        <w:rPr>
          <w:rFonts w:hint="eastAsia" w:ascii="仿宋_GB2312" w:eastAsia="仿宋_GB2312"/>
          <w:sz w:val="32"/>
          <w:szCs w:val="32"/>
          <w:highlight w:val="none"/>
          <w:u w:val="none"/>
        </w:rPr>
        <w:t>(类)</w:t>
      </w:r>
      <w:r>
        <w:rPr>
          <w:rFonts w:hint="eastAsia" w:ascii="仿宋_GB2312" w:eastAsia="仿宋_GB2312"/>
          <w:sz w:val="32"/>
          <w:szCs w:val="32"/>
          <w:highlight w:val="none"/>
          <w:u w:val="none"/>
          <w:lang w:eastAsia="zh-CN"/>
        </w:rPr>
        <w:t>消防救援事务</w:t>
      </w:r>
      <w:r>
        <w:rPr>
          <w:rFonts w:hint="eastAsia" w:ascii="仿宋_GB2312" w:eastAsia="仿宋_GB2312"/>
          <w:sz w:val="32"/>
          <w:szCs w:val="32"/>
          <w:highlight w:val="none"/>
          <w:u w:val="none"/>
        </w:rPr>
        <w:t>(款)</w:t>
      </w:r>
      <w:r>
        <w:rPr>
          <w:rFonts w:hint="eastAsia" w:ascii="仿宋_GB2312" w:eastAsia="仿宋_GB2312"/>
          <w:sz w:val="32"/>
          <w:szCs w:val="32"/>
          <w:highlight w:val="none"/>
          <w:u w:val="none"/>
          <w:lang w:eastAsia="zh-CN"/>
        </w:rPr>
        <w:t>其他消防救援事务</w:t>
      </w:r>
      <w:r>
        <w:rPr>
          <w:rFonts w:hint="eastAsia" w:ascii="仿宋_GB2312" w:eastAsia="仿宋_GB2312"/>
          <w:sz w:val="32"/>
          <w:szCs w:val="32"/>
          <w:highlight w:val="none"/>
          <w:u w:val="none"/>
        </w:rPr>
        <w:t>(项)</w:t>
      </w:r>
      <w:r>
        <w:rPr>
          <w:rFonts w:hint="eastAsia" w:ascii="仿宋_GB2312" w:eastAsia="仿宋_GB2312"/>
          <w:sz w:val="32"/>
          <w:szCs w:val="32"/>
          <w:highlight w:val="none"/>
          <w:u w:val="none"/>
          <w:lang w:eastAsia="zh-CN"/>
        </w:rPr>
        <w:t>，反映其他用于灾害防治及应急管理的</w:t>
      </w:r>
      <w:bookmarkStart w:id="0" w:name="_GoBack"/>
      <w:bookmarkEnd w:id="0"/>
      <w:r>
        <w:rPr>
          <w:rFonts w:hint="eastAsia" w:ascii="仿宋_GB2312" w:eastAsia="仿宋_GB2312"/>
          <w:sz w:val="32"/>
          <w:szCs w:val="32"/>
          <w:highlight w:val="none"/>
          <w:u w:val="none"/>
          <w:lang w:eastAsia="zh-CN"/>
        </w:rPr>
        <w:t>支出（</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4"/>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4"/>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tbl>
      <w:tblPr>
        <w:tblStyle w:val="9"/>
        <w:tblW w:w="124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4"/>
        <w:gridCol w:w="1070"/>
        <w:gridCol w:w="976"/>
        <w:gridCol w:w="738"/>
        <w:gridCol w:w="3459"/>
        <w:gridCol w:w="1480"/>
        <w:gridCol w:w="250"/>
        <w:gridCol w:w="1480"/>
        <w:gridCol w:w="1480"/>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1249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2022年黄石港区区部门整体支出绩效自评表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37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填报单位</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（盖章）：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黄石市黄石港区消防救援大队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填报日期：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黄石市黄石港区消防救援大队</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评价年度：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372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部门整体支出总额预算</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执行情况（万元）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执行数（A）</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预算数（B）</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3720"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927.48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927.48</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评分标准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年初目标值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实际完成值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预算执行（35分）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预算完成数：部门（单位）本年度实际完成的预算数。</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预算数：财政部分批复的本年度部门（单位）预算数。</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预算完成率=100%的，得10分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预算完成率≥95%的，得9分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预算完成率在90%（含）和95%之间，得8分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预算完成率在85%（含）和90%之间，得7分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预算完成率在80%（含）和85%之间，得6分。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预算完成率在70%(含）和80%之间，得4分。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预算完成率＜70%的，得0分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预算包括一般公共预算与政府性基金预算。</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预算调整率绝对值≤5%，得10分。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预算调整率绝对值＞5%的，每增加0.1个百分点扣0.1分，扣完为止。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前三季度支出进度＝部门前三季度实际支出/（上年结余结转+本年部门预算安排+前三季度执行中追加追减）*100%。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前三季度进度：进度率≥75%，得6分；进度率在60%（含）和75%之间，得4分；进度率＜60%，得0分。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预算编制准确率＝其他收入决算数/其他收入预算数×100%-100%。</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预算编制准确率≤20%，得5分。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预算编制准确率在20%和40%（含）之间，得3分。</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预算编制准确率＞40%，得0分。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过程</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预算管理（20分）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三公经费控制率 ≤100%，得5分，每增加0.1个百分点扣0.5分，扣完为止。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资产管理规范性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（5分）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1.新增资产配置按预算执行。</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2.资产有偿使用、处置按规定程序审批。</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3.资产收益及时、足额上缴财政。</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全部符合5分，有1项不符扣2分,扣完为止。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资金使用合规性</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2.资金的拨付有完整的审批程序和手续；</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3.重大项目开支经过评估论证；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4.符合部门预算批复的用途；</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5.不存在截留、挤占、挪用、虚列支出等情况。</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全部符合10分,有1项不符扣2分，扣完为止。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运行效益（45分）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行政运行经济性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现行行政运行经费支出预算编制方法的行政运行成本。</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可使行政运行成本最经济为5分，可使行政运行成本较合理为3分，一般为2分，不合理为0分。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行政运行有效性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行政运行经费支出能否保障部门正常运行。</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正常运行的得5分，基本正常得3分，不能正常运行的不得分。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专项运行经济效益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项目资金运行产生的经济效益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经济效益显著得10分；一般得5分，下降不得分。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项目资金运行产生的社会效益</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社会效益显著得10分；一般得5分；否则不得分。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专项运行可持续影响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1.项目完成后有经费安排能满足项目持续运行需要；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2.项目完成后有制度保障项目持续运行需要；</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3.项目完成后有明确的项目管理机构、负责人对项目后继管理负责，满足持续运行需要。</w:t>
            </w:r>
          </w:p>
        </w:tc>
        <w:tc>
          <w:tcPr>
            <w:tcW w:w="25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全部符合15分,有1项不符扣5分，扣完为止。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评价结果（优、良、中、差）：良</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  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r>
    </w:tbl>
    <w:p>
      <w:pPr>
        <w:pStyle w:val="14"/>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firstLine="640" w:firstLineChars="200"/>
        <w:rPr>
          <w:rFonts w:hint="default" w:ascii="楷体" w:hAnsi="楷体" w:eastAsia="楷体" w:cs="楷体"/>
          <w:b w:val="0"/>
          <w:bCs w:val="0"/>
          <w:sz w:val="32"/>
          <w:szCs w:val="32"/>
          <w:highlight w:val="none"/>
          <w:u w:val="none"/>
          <w:lang w:val="en-US" w:eastAsia="zh-CN"/>
        </w:rPr>
      </w:pPr>
    </w:p>
    <w:p>
      <w:pPr>
        <w:numPr>
          <w:ilvl w:val="0"/>
          <w:numId w:val="0"/>
        </w:numPr>
        <w:bidi w:val="0"/>
        <w:rPr>
          <w:rFonts w:hint="eastAsia" w:ascii="楷体_GB2312" w:hAnsi="楷体_GB2312" w:eastAsia="楷体_GB2312" w:cs="楷体_GB2312"/>
          <w:bCs/>
          <w:kern w:val="44"/>
          <w:sz w:val="32"/>
          <w:szCs w:val="32"/>
          <w:highlight w:val="none"/>
          <w:lang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E0FE4907"/>
    <w:multiLevelType w:val="singleLevel"/>
    <w:tmpl w:val="E0FE4907"/>
    <w:lvl w:ilvl="0" w:tentative="0">
      <w:start w:val="1"/>
      <w:numFmt w:val="decimal"/>
      <w:lvlText w:val="%1."/>
      <w:lvlJc w:val="left"/>
      <w:pPr>
        <w:tabs>
          <w:tab w:val="left" w:pos="312"/>
        </w:tabs>
      </w:pPr>
    </w:lvl>
  </w:abstractNum>
  <w:abstractNum w:abstractNumId="2">
    <w:nsid w:val="1957BB01"/>
    <w:multiLevelType w:val="singleLevel"/>
    <w:tmpl w:val="1957BB01"/>
    <w:lvl w:ilvl="0" w:tentative="0">
      <w:start w:val="5"/>
      <w:numFmt w:val="chineseCounting"/>
      <w:suff w:val="nothing"/>
      <w:lvlText w:val="%1、"/>
      <w:lvlJc w:val="left"/>
      <w:rPr>
        <w:rFonts w:hint="eastAsia"/>
      </w:rPr>
    </w:lvl>
  </w:abstractNum>
  <w:abstractNum w:abstractNumId="3">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OTNiOWEzZjMxYmU4YjZmZTZlMjZjOGE3NGM0MmMifQ=="/>
  </w:docVars>
  <w:rsids>
    <w:rsidRoot w:val="00000000"/>
    <w:rsid w:val="088A1BF0"/>
    <w:rsid w:val="0C023101"/>
    <w:rsid w:val="0DD56120"/>
    <w:rsid w:val="17C672A1"/>
    <w:rsid w:val="19EE2184"/>
    <w:rsid w:val="1A05549C"/>
    <w:rsid w:val="1E085F02"/>
    <w:rsid w:val="263277A5"/>
    <w:rsid w:val="263C0693"/>
    <w:rsid w:val="2C152BC0"/>
    <w:rsid w:val="38563836"/>
    <w:rsid w:val="4134550A"/>
    <w:rsid w:val="46206CE3"/>
    <w:rsid w:val="4BAF7AD9"/>
    <w:rsid w:val="4D664345"/>
    <w:rsid w:val="4E4E19C6"/>
    <w:rsid w:val="52471974"/>
    <w:rsid w:val="56AE2AEE"/>
    <w:rsid w:val="6A9307EB"/>
    <w:rsid w:val="6B833097"/>
    <w:rsid w:val="706B3DB7"/>
    <w:rsid w:val="72E85E99"/>
    <w:rsid w:val="752D7AA5"/>
    <w:rsid w:val="78B86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Body Text Indent"/>
    <w:basedOn w:val="1"/>
    <w:qFormat/>
    <w:uiPriority w:val="0"/>
    <w:pPr>
      <w:ind w:firstLine="645"/>
      <w:jc w:val="distribute"/>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Body Text First Indent 2"/>
    <w:basedOn w:val="4"/>
    <w:unhideWhenUsed/>
    <w:qFormat/>
    <w:uiPriority w:val="99"/>
    <w:pPr>
      <w:ind w:firstLine="420" w:firstLineChars="200"/>
    </w:pPr>
  </w:style>
  <w:style w:type="character" w:styleId="11">
    <w:name w:val="Strong"/>
    <w:basedOn w:val="10"/>
    <w:qFormat/>
    <w:uiPriority w:val="0"/>
    <w:rPr>
      <w:b/>
    </w:rPr>
  </w:style>
  <w:style w:type="paragraph" w:styleId="12">
    <w:name w:val="List Paragraph"/>
    <w:basedOn w:val="1"/>
    <w:unhideWhenUsed/>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正文缩进 + 首行缩进:  2 字符"/>
    <w:basedOn w:val="1"/>
    <w:qFormat/>
    <w:uiPriority w:val="0"/>
    <w:pPr>
      <w:spacing w:line="560" w:lineRule="exact"/>
      <w:ind w:firstLine="640"/>
    </w:pPr>
    <w:rPr>
      <w:rFonts w:ascii="仿宋" w:hAnsi="仿宋" w:eastAsia="仿宋" w:cs="宋体"/>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8109</Words>
  <Characters>8865</Characters>
  <Lines>0</Lines>
  <Paragraphs>0</Paragraphs>
  <TotalTime>6</TotalTime>
  <ScaleCrop>false</ScaleCrop>
  <LinksUpToDate>false</LinksUpToDate>
  <CharactersWithSpaces>9218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Administrator</cp:lastModifiedBy>
  <dcterms:modified xsi:type="dcterms:W3CDTF">2023-09-21T07:30:32Z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49E575BFEF8448DD9AAC55E2D24E5C08_12</vt:lpwstr>
  </property>
</Properties>
</file>