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政府办</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黄石港区政府办</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spacing w:line="560" w:lineRule="exact"/>
        <w:ind w:firstLine="707" w:firstLineChars="221"/>
        <w:jc w:val="left"/>
        <w:rPr>
          <w:rFonts w:hint="eastAsia" w:ascii="楷体_GB2312" w:hAnsi="仿宋" w:eastAsia="楷体_GB2312"/>
          <w:sz w:val="32"/>
          <w:szCs w:val="32"/>
        </w:rPr>
      </w:pPr>
      <w:r>
        <w:rPr>
          <w:rFonts w:hint="eastAsia" w:ascii="楷体_GB2312" w:hAnsi="仿宋" w:eastAsia="楷体_GB2312" w:cs="宋体"/>
          <w:color w:val="333333"/>
          <w:kern w:val="0"/>
          <w:sz w:val="32"/>
          <w:szCs w:val="32"/>
        </w:rPr>
        <w:t>（</w:t>
      </w:r>
      <w:r>
        <w:rPr>
          <w:rFonts w:hint="eastAsia" w:ascii="楷体_GB2312" w:hAnsi="仿宋" w:eastAsia="楷体_GB2312"/>
          <w:sz w:val="32"/>
          <w:szCs w:val="32"/>
        </w:rPr>
        <w:t>一）主要职责</w:t>
      </w:r>
    </w:p>
    <w:p>
      <w:pPr>
        <w:widowControl/>
        <w:shd w:val="clear" w:color="auto" w:fill="FFFFFF"/>
        <w:spacing w:line="560" w:lineRule="exact"/>
        <w:ind w:firstLine="716" w:firstLineChars="221"/>
        <w:jc w:val="left"/>
        <w:rPr>
          <w:rFonts w:hint="eastAsia" w:ascii="仿宋_GB2312" w:hAnsi="仿宋" w:eastAsia="仿宋_GB2312"/>
          <w:sz w:val="32"/>
          <w:szCs w:val="32"/>
        </w:rPr>
      </w:pPr>
      <w:r>
        <w:rPr>
          <w:rFonts w:hint="eastAsia" w:ascii="仿宋_GB2312" w:hAnsi="仿宋" w:eastAsia="仿宋_GB2312" w:cs="宋体"/>
          <w:color w:val="000000"/>
          <w:spacing w:val="2"/>
          <w:sz w:val="32"/>
          <w:szCs w:val="32"/>
        </w:rPr>
        <w:t>区政府办是区政府的综合协调部门，是区政府的运转中心，其主要职能是综合、督办、服务，办文、办会、办事，同时负责区政府法制办、应急办、总值班室、金融办等各方面工作。</w:t>
      </w:r>
    </w:p>
    <w:p>
      <w:pPr>
        <w:widowControl/>
        <w:shd w:val="clear" w:color="auto" w:fill="FFFFFF"/>
        <w:spacing w:line="560" w:lineRule="exact"/>
        <w:ind w:firstLine="707" w:firstLineChars="221"/>
        <w:jc w:val="left"/>
        <w:rPr>
          <w:rFonts w:hint="eastAsia" w:ascii="楷体_GB2312" w:hAnsi="仿宋" w:eastAsia="楷体_GB2312" w:cs="宋体"/>
          <w:color w:val="333333"/>
          <w:kern w:val="0"/>
          <w:sz w:val="32"/>
          <w:szCs w:val="32"/>
        </w:rPr>
      </w:pPr>
      <w:r>
        <w:rPr>
          <w:rFonts w:hint="eastAsia" w:ascii="楷体_GB2312" w:hAnsi="仿宋" w:eastAsia="楷体_GB2312" w:cs="宋体"/>
          <w:color w:val="333333"/>
          <w:kern w:val="0"/>
          <w:sz w:val="32"/>
          <w:szCs w:val="32"/>
        </w:rPr>
        <w:t>（二）单位基本信息(机构设置等)</w:t>
      </w:r>
    </w:p>
    <w:p>
      <w:pPr>
        <w:spacing w:line="560" w:lineRule="exact"/>
        <w:ind w:firstLine="716" w:firstLineChars="221"/>
        <w:rPr>
          <w:rFonts w:hint="eastAsia" w:ascii="仿宋_GB2312" w:hAnsi="仿宋" w:eastAsia="仿宋_GB2312"/>
          <w:color w:val="000000"/>
          <w:spacing w:val="2"/>
          <w:sz w:val="32"/>
          <w:szCs w:val="32"/>
        </w:rPr>
      </w:pPr>
      <w:r>
        <w:rPr>
          <w:rFonts w:hint="eastAsia" w:ascii="仿宋_GB2312" w:hAnsi="仿宋" w:eastAsia="仿宋_GB2312"/>
          <w:color w:val="000000"/>
          <w:spacing w:val="2"/>
          <w:sz w:val="32"/>
          <w:szCs w:val="32"/>
        </w:rPr>
        <w:t>（1）期末人数</w:t>
      </w:r>
    </w:p>
    <w:p>
      <w:pPr>
        <w:spacing w:line="560" w:lineRule="exact"/>
        <w:ind w:firstLine="716" w:firstLineChars="221"/>
        <w:rPr>
          <w:rFonts w:hint="eastAsia" w:ascii="仿宋_GB2312" w:hAnsi="仿宋" w:eastAsia="仿宋_GB2312"/>
          <w:color w:val="000000"/>
          <w:spacing w:val="2"/>
          <w:sz w:val="32"/>
          <w:szCs w:val="32"/>
        </w:rPr>
      </w:pPr>
      <w:r>
        <w:rPr>
          <w:rFonts w:hint="eastAsia" w:ascii="仿宋_GB2312" w:hAnsi="仿宋" w:eastAsia="仿宋_GB2312"/>
          <w:color w:val="000000"/>
          <w:spacing w:val="2"/>
          <w:sz w:val="32"/>
          <w:szCs w:val="32"/>
        </w:rPr>
        <w:t>区政府办公室编制数９人，行政编制数9人。实有人数21人，行政编制人员１2人，事业编制人员2人，区内编制2人，聘用人员5人。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drawing>
          <wp:inline distT="0" distB="0" distL="114300" distR="114300">
            <wp:extent cx="6080125" cy="5269230"/>
            <wp:effectExtent l="0" t="0" r="15875" b="7620"/>
            <wp:docPr id="108" name="图片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8"/>
                    <pic:cNvPicPr>
                      <a:picLocks noChangeAspect="1"/>
                    </pic:cNvPicPr>
                  </pic:nvPicPr>
                  <pic:blipFill>
                    <a:blip r:embed="rId4"/>
                    <a:stretch>
                      <a:fillRect/>
                    </a:stretch>
                  </pic:blipFill>
                  <pic:spPr>
                    <a:xfrm>
                      <a:off x="0" y="0"/>
                      <a:ext cx="6080125" cy="5269230"/>
                    </a:xfrm>
                    <a:prstGeom prst="rect">
                      <a:avLst/>
                    </a:prstGeom>
                    <a:noFill/>
                    <a:ln w="9525">
                      <a:noFill/>
                    </a:ln>
                  </pic:spPr>
                </pic:pic>
              </a:graphicData>
            </a:graphic>
          </wp:inline>
        </w:drawing>
      </w:r>
      <w:r>
        <w:drawing>
          <wp:inline distT="0" distB="0" distL="114300" distR="114300">
            <wp:extent cx="8855710" cy="2430780"/>
            <wp:effectExtent l="0" t="0" r="2540" b="7620"/>
            <wp:docPr id="109" name="图片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9"/>
                    <pic:cNvPicPr>
                      <a:picLocks noChangeAspect="1"/>
                    </pic:cNvPicPr>
                  </pic:nvPicPr>
                  <pic:blipFill>
                    <a:blip r:embed="rId5"/>
                    <a:stretch>
                      <a:fillRect/>
                    </a:stretch>
                  </pic:blipFill>
                  <pic:spPr>
                    <a:xfrm>
                      <a:off x="0" y="0"/>
                      <a:ext cx="8855710" cy="2430780"/>
                    </a:xfrm>
                    <a:prstGeom prst="rect">
                      <a:avLst/>
                    </a:prstGeom>
                    <a:noFill/>
                    <a:ln w="9525">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8862060" cy="2807335"/>
            <wp:effectExtent l="0" t="0" r="15240" b="12065"/>
            <wp:docPr id="110" name="图片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10"/>
                    <pic:cNvPicPr>
                      <a:picLocks noChangeAspect="1"/>
                    </pic:cNvPicPr>
                  </pic:nvPicPr>
                  <pic:blipFill>
                    <a:blip r:embed="rId6"/>
                    <a:stretch>
                      <a:fillRect/>
                    </a:stretch>
                  </pic:blipFill>
                  <pic:spPr>
                    <a:xfrm>
                      <a:off x="0" y="0"/>
                      <a:ext cx="8862060" cy="2807335"/>
                    </a:xfrm>
                    <a:prstGeom prst="rect">
                      <a:avLst/>
                    </a:prstGeom>
                    <a:noFill/>
                    <a:ln w="9525">
                      <a:noFill/>
                    </a:ln>
                  </pic:spPr>
                </pic:pic>
              </a:graphicData>
            </a:graphic>
          </wp:inline>
        </w:drawing>
      </w:r>
      <w:r>
        <w:drawing>
          <wp:inline distT="0" distB="0" distL="114300" distR="114300">
            <wp:extent cx="6400800" cy="5210175"/>
            <wp:effectExtent l="0" t="0" r="0" b="9525"/>
            <wp:docPr id="111" name="图片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11"/>
                    <pic:cNvPicPr>
                      <a:picLocks noChangeAspect="1"/>
                    </pic:cNvPicPr>
                  </pic:nvPicPr>
                  <pic:blipFill>
                    <a:blip r:embed="rId7"/>
                    <a:stretch>
                      <a:fillRect/>
                    </a:stretch>
                  </pic:blipFill>
                  <pic:spPr>
                    <a:xfrm>
                      <a:off x="0" y="0"/>
                      <a:ext cx="6400800" cy="5210175"/>
                    </a:xfrm>
                    <a:prstGeom prst="rect">
                      <a:avLst/>
                    </a:prstGeom>
                    <a:noFill/>
                    <a:ln w="9525">
                      <a:noFill/>
                    </a:ln>
                  </pic:spPr>
                </pic:pic>
              </a:graphicData>
            </a:graphic>
          </wp:inline>
        </w:drawing>
      </w:r>
      <w:r>
        <w:drawing>
          <wp:inline distT="0" distB="0" distL="114300" distR="114300">
            <wp:extent cx="5915025" cy="3257550"/>
            <wp:effectExtent l="0" t="0" r="9525" b="0"/>
            <wp:docPr id="112" name="图片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2"/>
                    <pic:cNvPicPr>
                      <a:picLocks noChangeAspect="1"/>
                    </pic:cNvPicPr>
                  </pic:nvPicPr>
                  <pic:blipFill>
                    <a:blip r:embed="rId8"/>
                    <a:stretch>
                      <a:fillRect/>
                    </a:stretch>
                  </pic:blipFill>
                  <pic:spPr>
                    <a:xfrm>
                      <a:off x="0" y="0"/>
                      <a:ext cx="5915025" cy="3257550"/>
                    </a:xfrm>
                    <a:prstGeom prst="rect">
                      <a:avLst/>
                    </a:prstGeom>
                    <a:noFill/>
                    <a:ln w="9525">
                      <a:noFill/>
                    </a:ln>
                  </pic:spPr>
                </pic:pic>
              </a:graphicData>
            </a:graphic>
          </wp:inline>
        </w:drawing>
      </w:r>
      <w:r>
        <w:drawing>
          <wp:inline distT="0" distB="0" distL="114300" distR="114300">
            <wp:extent cx="8863330" cy="5078730"/>
            <wp:effectExtent l="0" t="0" r="13970" b="7620"/>
            <wp:docPr id="113" name="图片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13"/>
                    <pic:cNvPicPr>
                      <a:picLocks noChangeAspect="1"/>
                    </pic:cNvPicPr>
                  </pic:nvPicPr>
                  <pic:blipFill>
                    <a:blip r:embed="rId9"/>
                    <a:stretch>
                      <a:fillRect/>
                    </a:stretch>
                  </pic:blipFill>
                  <pic:spPr>
                    <a:xfrm>
                      <a:off x="0" y="0"/>
                      <a:ext cx="8863330" cy="5078730"/>
                    </a:xfrm>
                    <a:prstGeom prst="rect">
                      <a:avLst/>
                    </a:prstGeom>
                    <a:noFill/>
                    <a:ln w="9525">
                      <a:noFill/>
                    </a:ln>
                  </pic:spPr>
                </pic:pic>
              </a:graphicData>
            </a:graphic>
          </wp:inline>
        </w:drawing>
      </w:r>
      <w:r>
        <w:drawing>
          <wp:inline distT="0" distB="0" distL="114300" distR="114300">
            <wp:extent cx="8854440" cy="1729105"/>
            <wp:effectExtent l="0" t="0" r="3810" b="4445"/>
            <wp:docPr id="114" name="图片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114"/>
                    <pic:cNvPicPr>
                      <a:picLocks noChangeAspect="1"/>
                    </pic:cNvPicPr>
                  </pic:nvPicPr>
                  <pic:blipFill>
                    <a:blip r:embed="rId10"/>
                    <a:stretch>
                      <a:fillRect/>
                    </a:stretch>
                  </pic:blipFill>
                  <pic:spPr>
                    <a:xfrm>
                      <a:off x="0" y="0"/>
                      <a:ext cx="8854440" cy="1729105"/>
                    </a:xfrm>
                    <a:prstGeom prst="rect">
                      <a:avLst/>
                    </a:prstGeom>
                    <a:noFill/>
                    <a:ln w="9525">
                      <a:noFill/>
                    </a:ln>
                  </pic:spPr>
                </pic:pic>
              </a:graphicData>
            </a:graphic>
          </wp:inline>
        </w:drawing>
      </w:r>
      <w:r>
        <w:drawing>
          <wp:inline distT="0" distB="0" distL="114300" distR="114300">
            <wp:extent cx="8855075" cy="2306955"/>
            <wp:effectExtent l="0" t="0" r="3175" b="17145"/>
            <wp:docPr id="115" name="图片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5"/>
                    <pic:cNvPicPr>
                      <a:picLocks noChangeAspect="1"/>
                    </pic:cNvPicPr>
                  </pic:nvPicPr>
                  <pic:blipFill>
                    <a:blip r:embed="rId11"/>
                    <a:stretch>
                      <a:fillRect/>
                    </a:stretch>
                  </pic:blipFill>
                  <pic:spPr>
                    <a:xfrm>
                      <a:off x="0" y="0"/>
                      <a:ext cx="8855075" cy="2306955"/>
                    </a:xfrm>
                    <a:prstGeom prst="rect">
                      <a:avLst/>
                    </a:prstGeom>
                    <a:noFill/>
                    <a:ln w="9525">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spacing w:line="560" w:lineRule="exact"/>
        <w:ind w:firstLine="707" w:firstLineChars="221"/>
        <w:jc w:val="left"/>
        <w:rPr>
          <w:rFonts w:hint="eastAsia" w:ascii="楷体_GB2312" w:hAnsi="仿宋" w:eastAsia="楷体_GB2312" w:cs="宋体"/>
          <w:color w:val="333333"/>
          <w:kern w:val="0"/>
          <w:sz w:val="32"/>
          <w:szCs w:val="32"/>
        </w:rPr>
      </w:pPr>
      <w:r>
        <w:rPr>
          <w:rFonts w:hint="eastAsia" w:ascii="楷体_GB2312" w:hAnsi="仿宋" w:eastAsia="楷体_GB2312" w:cs="宋体"/>
          <w:color w:val="333333"/>
          <w:kern w:val="0"/>
          <w:sz w:val="32"/>
          <w:szCs w:val="32"/>
        </w:rPr>
        <w:t>（一）预算执行情况分析</w:t>
      </w:r>
    </w:p>
    <w:p>
      <w:pPr>
        <w:widowControl/>
        <w:spacing w:line="560" w:lineRule="exact"/>
        <w:ind w:firstLine="716" w:firstLineChars="221"/>
        <w:rPr>
          <w:rFonts w:hint="eastAsia" w:ascii="仿宋_GB2312" w:hAnsi="仿宋" w:eastAsia="仿宋_GB2312"/>
          <w:color w:val="000000"/>
          <w:spacing w:val="2"/>
          <w:sz w:val="32"/>
          <w:szCs w:val="32"/>
        </w:rPr>
      </w:pPr>
      <w:r>
        <w:rPr>
          <w:rFonts w:hint="eastAsia" w:ascii="仿宋_GB2312" w:hAnsi="仿宋" w:eastAsia="仿宋_GB2312"/>
          <w:color w:val="000000"/>
          <w:spacing w:val="2"/>
          <w:sz w:val="32"/>
          <w:szCs w:val="32"/>
        </w:rPr>
        <w:t>1、收入支出预算安排情况</w:t>
      </w:r>
    </w:p>
    <w:p>
      <w:pPr>
        <w:widowControl/>
        <w:spacing w:line="560" w:lineRule="exact"/>
        <w:ind w:firstLine="716" w:firstLineChars="221"/>
        <w:rPr>
          <w:rFonts w:hint="eastAsia" w:ascii="仿宋_GB2312" w:hAnsi="仿宋" w:eastAsia="仿宋_GB2312"/>
          <w:color w:val="000000"/>
          <w:spacing w:val="2"/>
          <w:sz w:val="32"/>
          <w:szCs w:val="32"/>
        </w:rPr>
      </w:pPr>
      <w:r>
        <w:rPr>
          <w:rFonts w:hint="eastAsia" w:ascii="仿宋_GB2312" w:hAnsi="仿宋" w:eastAsia="仿宋_GB2312"/>
          <w:color w:val="000000"/>
          <w:spacing w:val="2"/>
          <w:sz w:val="32"/>
          <w:szCs w:val="32"/>
        </w:rPr>
        <w:t>2017年财政支出预算数2601074.94元，其中人员经费1718289元，公用经费882785.94元；2016年财政收入预算数2173986.00元，其中人员经费1114519.00元，公用经费1059467.00元。</w:t>
      </w:r>
    </w:p>
    <w:p>
      <w:pPr>
        <w:widowControl/>
        <w:spacing w:line="560" w:lineRule="exact"/>
        <w:ind w:firstLine="716" w:firstLineChars="221"/>
        <w:rPr>
          <w:rFonts w:hint="eastAsia" w:ascii="仿宋_GB2312" w:hAnsi="仿宋" w:eastAsia="仿宋_GB2312"/>
          <w:color w:val="000000"/>
          <w:spacing w:val="2"/>
          <w:sz w:val="32"/>
          <w:szCs w:val="32"/>
        </w:rPr>
      </w:pPr>
      <w:r>
        <w:rPr>
          <w:rFonts w:hint="eastAsia" w:ascii="仿宋_GB2312" w:hAnsi="仿宋" w:eastAsia="仿宋_GB2312"/>
          <w:color w:val="000000"/>
          <w:spacing w:val="2"/>
          <w:sz w:val="32"/>
          <w:szCs w:val="32"/>
        </w:rPr>
        <w:t>2、收入支出预算执行情况</w:t>
      </w:r>
    </w:p>
    <w:p>
      <w:pPr>
        <w:widowControl/>
        <w:spacing w:line="560" w:lineRule="exact"/>
        <w:ind w:firstLine="716" w:firstLineChars="221"/>
        <w:rPr>
          <w:rFonts w:hint="eastAsia" w:ascii="仿宋_GB2312" w:hAnsi="仿宋" w:eastAsia="仿宋_GB2312"/>
          <w:color w:val="000000"/>
          <w:spacing w:val="2"/>
          <w:sz w:val="32"/>
          <w:szCs w:val="32"/>
        </w:rPr>
      </w:pPr>
      <w:r>
        <w:rPr>
          <w:rFonts w:hint="eastAsia" w:ascii="仿宋_GB2312" w:hAnsi="仿宋" w:eastAsia="仿宋_GB2312"/>
          <w:color w:val="000000"/>
          <w:spacing w:val="2"/>
          <w:sz w:val="32"/>
          <w:szCs w:val="32"/>
        </w:rPr>
        <w:t>2017年财政收入预算执行数4923085.37元，其中人员经费2871936.09元，公用经费2051149.28元；2016年财政收入预算执行数4692192.06元，其中人员经费2000682.64元，公用经费2691509.42元， 2017年支出预算数执行比上年增加230893.31元。</w:t>
      </w:r>
    </w:p>
    <w:p>
      <w:pPr>
        <w:widowControl/>
        <w:spacing w:line="560" w:lineRule="exact"/>
        <w:ind w:firstLine="716" w:firstLineChars="221"/>
        <w:rPr>
          <w:rFonts w:hint="eastAsia" w:ascii="仿宋_GB2312" w:hAnsi="仿宋" w:eastAsia="仿宋_GB2312"/>
          <w:color w:val="000000"/>
          <w:spacing w:val="2"/>
          <w:sz w:val="32"/>
          <w:szCs w:val="32"/>
        </w:rPr>
      </w:pPr>
      <w:r>
        <w:rPr>
          <w:rFonts w:hint="eastAsia" w:ascii="仿宋_GB2312" w:hAnsi="仿宋" w:eastAsia="仿宋_GB2312"/>
          <w:color w:val="000000"/>
          <w:spacing w:val="2"/>
          <w:sz w:val="32"/>
          <w:szCs w:val="32"/>
        </w:rPr>
        <w:t>(1)收入支出与预算对比分析</w:t>
      </w:r>
    </w:p>
    <w:p>
      <w:pPr>
        <w:spacing w:line="560" w:lineRule="exact"/>
        <w:ind w:firstLine="716" w:firstLineChars="221"/>
        <w:rPr>
          <w:rFonts w:hint="eastAsia" w:ascii="仿宋_GB2312" w:hAnsi="仿宋" w:eastAsia="仿宋_GB2312"/>
          <w:color w:val="000000"/>
          <w:spacing w:val="2"/>
          <w:sz w:val="32"/>
          <w:szCs w:val="32"/>
        </w:rPr>
      </w:pPr>
      <w:r>
        <w:rPr>
          <w:rFonts w:hint="eastAsia" w:ascii="仿宋_GB2312" w:hAnsi="仿宋" w:eastAsia="仿宋_GB2312"/>
          <w:color w:val="000000"/>
          <w:spacing w:val="2"/>
          <w:sz w:val="32"/>
          <w:szCs w:val="32"/>
        </w:rPr>
        <w:t>2017年全年总收入5058424.30元，其中财拔款决算收入4923085.37元，其它收入135338.93元，2017年全年总支出4935885.07元，其中财拔款决算支出4923085.37元，其它资金支出12799.7元，2017年财政预算数2601074.94元，财拔决算比预算多2322010.43元，幅度为89%，原因为人员经费和公用经费增加。</w:t>
      </w:r>
    </w:p>
    <w:p>
      <w:pPr>
        <w:spacing w:line="560" w:lineRule="exact"/>
        <w:ind w:firstLine="716" w:firstLineChars="221"/>
        <w:rPr>
          <w:rFonts w:hint="eastAsia" w:ascii="仿宋_GB2312" w:hAnsi="仿宋" w:eastAsia="仿宋_GB2312"/>
          <w:color w:val="000000"/>
          <w:spacing w:val="2"/>
          <w:sz w:val="32"/>
          <w:szCs w:val="32"/>
        </w:rPr>
      </w:pPr>
      <w:r>
        <w:rPr>
          <w:rFonts w:hint="eastAsia" w:ascii="仿宋_GB2312" w:hAnsi="仿宋" w:eastAsia="仿宋_GB2312"/>
          <w:color w:val="000000"/>
          <w:spacing w:val="2"/>
          <w:sz w:val="32"/>
          <w:szCs w:val="32"/>
        </w:rPr>
        <w:t>(2)收入支出结构分析</w:t>
      </w:r>
    </w:p>
    <w:p>
      <w:pPr>
        <w:widowControl/>
        <w:shd w:val="clear" w:color="auto" w:fill="FFFFFF"/>
        <w:spacing w:line="560" w:lineRule="exact"/>
        <w:ind w:firstLine="716" w:firstLineChars="221"/>
        <w:jc w:val="left"/>
        <w:rPr>
          <w:rFonts w:hint="eastAsia" w:ascii="仿宋_GB2312" w:hAnsi="仿宋" w:eastAsia="仿宋_GB2312"/>
          <w:sz w:val="32"/>
          <w:szCs w:val="32"/>
        </w:rPr>
      </w:pPr>
      <w:r>
        <w:rPr>
          <w:rFonts w:hint="eastAsia" w:ascii="仿宋_GB2312" w:hAnsi="仿宋" w:eastAsia="仿宋_GB2312"/>
          <w:color w:val="000000"/>
          <w:spacing w:val="2"/>
          <w:sz w:val="32"/>
          <w:szCs w:val="32"/>
        </w:rPr>
        <w:t>2017年全年总收入5058424.30元，其中财拔款决算收入4923085.37元，其它收入135338.93元，2017年全年总支出4935885.07元，其中财拔款决算支出4923085.37元，其它资金支出12799.7元；2016年全年总收入4807251.00元，其中财拔款决算收入4692192.06元，占总收入98%,其它收入115058.94元, 占总收入2%；2016年全年总支出4807785.76元，其中财拔款决算支出4692192.06元，占总支出98%，其它资金支出115593.7元，占总支出2%</w:t>
      </w:r>
      <w:r>
        <w:rPr>
          <w:rFonts w:hint="eastAsia" w:ascii="仿宋_GB2312" w:hAnsi="仿宋" w:eastAsia="仿宋_GB2312"/>
          <w:sz w:val="32"/>
          <w:szCs w:val="32"/>
        </w:rPr>
        <w:t>。</w:t>
      </w:r>
    </w:p>
    <w:p>
      <w:pPr>
        <w:widowControl/>
        <w:shd w:val="clear" w:color="auto" w:fill="FFFFFF"/>
        <w:spacing w:line="560" w:lineRule="exact"/>
        <w:ind w:firstLine="707" w:firstLineChars="221"/>
        <w:jc w:val="left"/>
        <w:rPr>
          <w:rFonts w:hint="eastAsia" w:ascii="楷体_GB2312" w:hAnsi="仿宋" w:eastAsia="楷体_GB2312" w:cs="宋体"/>
          <w:color w:val="333333"/>
          <w:kern w:val="0"/>
          <w:sz w:val="32"/>
          <w:szCs w:val="32"/>
        </w:rPr>
      </w:pPr>
      <w:r>
        <w:rPr>
          <w:rFonts w:hint="eastAsia" w:ascii="楷体_GB2312" w:hAnsi="仿宋" w:eastAsia="楷体_GB2312" w:cs="宋体"/>
          <w:color w:val="333333"/>
          <w:kern w:val="0"/>
          <w:sz w:val="32"/>
          <w:szCs w:val="32"/>
        </w:rPr>
        <w:t>（二）关于“三公”经费支出说明</w:t>
      </w:r>
    </w:p>
    <w:p>
      <w:pPr>
        <w:widowControl/>
        <w:shd w:val="clear" w:color="auto" w:fill="FFFFFF"/>
        <w:spacing w:line="560" w:lineRule="exact"/>
        <w:ind w:firstLine="716" w:firstLineChars="221"/>
        <w:jc w:val="left"/>
        <w:rPr>
          <w:rFonts w:hint="eastAsia" w:ascii="仿宋_GB2312" w:hAnsi="仿宋" w:eastAsia="仿宋_GB2312"/>
          <w:color w:val="000000"/>
          <w:spacing w:val="2"/>
          <w:sz w:val="32"/>
          <w:szCs w:val="32"/>
        </w:rPr>
      </w:pPr>
      <w:r>
        <w:rPr>
          <w:rFonts w:hint="eastAsia" w:ascii="仿宋_GB2312" w:hAnsi="仿宋" w:eastAsia="仿宋_GB2312"/>
          <w:color w:val="000000"/>
          <w:spacing w:val="2"/>
          <w:sz w:val="32"/>
          <w:szCs w:val="32"/>
        </w:rPr>
        <w:t>“三公”经费支出情况: 2017年决算公务车运行维护费42084.42元，预算数为42084.42万元； 2017年决算公务接待数为2559元，预算数为2559万，2016年决算公务车运行维护费167401.41元，预算数为0万元； 2016年决算公务接待数为8574.00元，预算数为0万元。2017年国内公务接待批次2次，国内公务接待人次25人。</w:t>
      </w:r>
    </w:p>
    <w:p>
      <w:pPr>
        <w:widowControl/>
        <w:shd w:val="clear" w:color="auto" w:fill="FFFFFF"/>
        <w:spacing w:line="560" w:lineRule="exact"/>
        <w:ind w:firstLine="707" w:firstLineChars="221"/>
        <w:jc w:val="left"/>
        <w:rPr>
          <w:rFonts w:hint="eastAsia" w:ascii="楷体_GB2312" w:hAnsi="仿宋" w:eastAsia="楷体_GB2312" w:cs="宋体"/>
          <w:color w:val="333333"/>
          <w:kern w:val="0"/>
          <w:sz w:val="32"/>
          <w:szCs w:val="32"/>
        </w:rPr>
      </w:pPr>
      <w:r>
        <w:rPr>
          <w:rFonts w:hint="eastAsia" w:ascii="楷体_GB2312" w:hAnsi="仿宋" w:eastAsia="楷体_GB2312" w:cs="宋体"/>
          <w:color w:val="333333"/>
          <w:kern w:val="0"/>
          <w:sz w:val="32"/>
          <w:szCs w:val="32"/>
        </w:rPr>
        <w:t>（三）关于机关运行经费支出说明</w:t>
      </w:r>
    </w:p>
    <w:p>
      <w:pPr>
        <w:pStyle w:val="9"/>
        <w:ind w:firstLine="716" w:firstLineChars="221"/>
        <w:rPr>
          <w:rFonts w:hint="eastAsia" w:ascii="仿宋_GB2312" w:eastAsia="仿宋_GB2312"/>
          <w:spacing w:val="2"/>
        </w:rPr>
      </w:pPr>
      <w:r>
        <w:rPr>
          <w:rFonts w:hint="eastAsia" w:ascii="仿宋_GB2312" w:eastAsia="仿宋_GB2312"/>
          <w:spacing w:val="2"/>
        </w:rPr>
        <w:t>2017年机关运行经费支出2,051,149.28元, 2016年机关运行经费支出2,691,509.42元,同比上年减少-640,360.14元，同比上年减少23.79%，原因是黄石港区政府办公室加强内部管理，压缩经费开支。</w:t>
      </w:r>
    </w:p>
    <w:p>
      <w:pPr>
        <w:widowControl/>
        <w:shd w:val="clear" w:color="auto" w:fill="FFFFFF"/>
        <w:spacing w:line="560" w:lineRule="exact"/>
        <w:ind w:firstLine="707" w:firstLineChars="221"/>
        <w:jc w:val="left"/>
        <w:rPr>
          <w:rFonts w:hint="eastAsia" w:ascii="楷体_GB2312" w:hAnsi="仿宋" w:eastAsia="楷体_GB2312" w:cs="宋体"/>
          <w:color w:val="333333"/>
          <w:kern w:val="0"/>
          <w:sz w:val="32"/>
          <w:szCs w:val="32"/>
        </w:rPr>
      </w:pPr>
      <w:r>
        <w:rPr>
          <w:rFonts w:hint="eastAsia" w:ascii="楷体_GB2312" w:hAnsi="仿宋" w:eastAsia="楷体_GB2312" w:cs="宋体"/>
          <w:color w:val="333333"/>
          <w:kern w:val="0"/>
          <w:sz w:val="32"/>
          <w:szCs w:val="32"/>
        </w:rPr>
        <w:t>（四）关于政府采购支出说明</w:t>
      </w:r>
    </w:p>
    <w:p>
      <w:pPr>
        <w:widowControl/>
        <w:shd w:val="clear" w:color="auto" w:fill="FFFFFF"/>
        <w:spacing w:line="560" w:lineRule="exact"/>
        <w:ind w:firstLine="707" w:firstLineChars="221"/>
        <w:jc w:val="left"/>
        <w:rPr>
          <w:rFonts w:hint="eastAsia" w:ascii="仿宋_GB2312" w:hAnsi="仿宋" w:eastAsia="仿宋_GB2312"/>
          <w:sz w:val="32"/>
          <w:szCs w:val="32"/>
        </w:rPr>
      </w:pPr>
      <w:r>
        <w:rPr>
          <w:rFonts w:hint="eastAsia" w:ascii="仿宋_GB2312" w:hAnsi="仿宋" w:eastAsia="仿宋_GB2312"/>
          <w:sz w:val="32"/>
          <w:szCs w:val="32"/>
        </w:rPr>
        <w:t>无政府采购支出。</w:t>
      </w:r>
    </w:p>
    <w:p>
      <w:pPr>
        <w:widowControl/>
        <w:shd w:val="clear" w:color="auto" w:fill="FFFFFF"/>
        <w:spacing w:line="560" w:lineRule="exact"/>
        <w:ind w:firstLine="707" w:firstLineChars="221"/>
        <w:jc w:val="left"/>
        <w:rPr>
          <w:rFonts w:hint="eastAsia" w:ascii="楷体_GB2312" w:hAnsi="仿宋" w:eastAsia="楷体_GB2312" w:cs="宋体"/>
          <w:color w:val="333333"/>
          <w:kern w:val="0"/>
          <w:sz w:val="32"/>
          <w:szCs w:val="32"/>
        </w:rPr>
      </w:pPr>
      <w:r>
        <w:rPr>
          <w:rFonts w:hint="eastAsia" w:ascii="楷体_GB2312" w:hAnsi="仿宋" w:eastAsia="楷体_GB2312" w:cs="宋体"/>
          <w:color w:val="333333"/>
          <w:kern w:val="0"/>
          <w:sz w:val="32"/>
          <w:szCs w:val="32"/>
        </w:rPr>
        <w:t>（五）关于国有资产占用情况说明</w:t>
      </w:r>
    </w:p>
    <w:p>
      <w:pPr>
        <w:pStyle w:val="9"/>
        <w:ind w:firstLine="707" w:firstLineChars="221"/>
        <w:rPr>
          <w:rFonts w:hint="eastAsia" w:ascii="仿宋_GB2312" w:eastAsia="仿宋_GB2312"/>
        </w:rPr>
      </w:pPr>
      <w:r>
        <w:rPr>
          <w:rFonts w:hint="eastAsia" w:ascii="仿宋_GB2312" w:eastAsia="仿宋_GB2312" w:cs="Times New Roman"/>
        </w:rPr>
        <w:t>截至2017年12月31日，本单位有公务车一台。</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bookmarkStart w:id="0" w:name="_GoBack"/>
      <w:bookmarkEnd w:id="0"/>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黄石港区政府办</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黄石港区政府办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黄石港区政府办</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黄石港区政府办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黄石港区政府办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黄石港区政府办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09FF39B4"/>
    <w:rsid w:val="11411182"/>
    <w:rsid w:val="219E41B4"/>
    <w:rsid w:val="255E033E"/>
    <w:rsid w:val="27390172"/>
    <w:rsid w:val="2CCE2491"/>
    <w:rsid w:val="2F081AB6"/>
    <w:rsid w:val="457D21A1"/>
    <w:rsid w:val="507C1CF5"/>
    <w:rsid w:val="621B3808"/>
    <w:rsid w:val="67E4782B"/>
    <w:rsid w:val="746766E2"/>
    <w:rsid w:val="74EA7B66"/>
    <w:rsid w:val="781864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2019-02-27T09:41:11Z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