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75" w:afterAutospacing="0" w:line="450" w:lineRule="atLeast"/>
        <w:ind w:left="0" w:right="0" w:firstLine="0"/>
        <w:jc w:val="center"/>
        <w:rPr>
          <w:rFonts w:ascii="微软雅黑" w:hAnsi="微软雅黑" w:eastAsia="微软雅黑" w:cs="微软雅黑"/>
          <w:b/>
          <w:i w:val="0"/>
          <w:caps w:val="0"/>
          <w:color w:val="BC1010"/>
          <w:spacing w:val="0"/>
          <w:sz w:val="40"/>
          <w:szCs w:val="40"/>
        </w:rPr>
      </w:pPr>
      <w:r>
        <w:rPr>
          <w:rFonts w:hint="eastAsia" w:ascii="微软雅黑" w:hAnsi="微软雅黑" w:eastAsia="微软雅黑" w:cs="微软雅黑"/>
          <w:b/>
          <w:i w:val="0"/>
          <w:caps w:val="0"/>
          <w:color w:val="BC1010"/>
          <w:spacing w:val="0"/>
          <w:sz w:val="40"/>
          <w:szCs w:val="40"/>
          <w:shd w:val="clear" w:fill="FFFFFF"/>
          <w:lang w:eastAsia="zh-CN"/>
        </w:rPr>
        <w:t>政府办</w:t>
      </w:r>
      <w:r>
        <w:rPr>
          <w:rFonts w:hint="eastAsia" w:ascii="微软雅黑" w:hAnsi="微软雅黑" w:eastAsia="微软雅黑" w:cs="微软雅黑"/>
          <w:b/>
          <w:i w:val="0"/>
          <w:caps w:val="0"/>
          <w:color w:val="BC1010"/>
          <w:spacing w:val="0"/>
          <w:sz w:val="40"/>
          <w:szCs w:val="40"/>
          <w:shd w:val="clear" w:fill="FFFFFF"/>
        </w:rPr>
        <w:t>201</w:t>
      </w:r>
      <w:r>
        <w:rPr>
          <w:rFonts w:hint="eastAsia" w:ascii="微软雅黑" w:hAnsi="微软雅黑" w:eastAsia="微软雅黑" w:cs="微软雅黑"/>
          <w:b/>
          <w:i w:val="0"/>
          <w:caps w:val="0"/>
          <w:color w:val="BC1010"/>
          <w:spacing w:val="0"/>
          <w:sz w:val="40"/>
          <w:szCs w:val="40"/>
          <w:shd w:val="clear" w:fill="FFFFFF"/>
          <w:lang w:val="en-US" w:eastAsia="zh-CN"/>
        </w:rPr>
        <w:t>8</w:t>
      </w:r>
      <w:r>
        <w:rPr>
          <w:rFonts w:hint="eastAsia" w:ascii="微软雅黑" w:hAnsi="微软雅黑" w:eastAsia="微软雅黑" w:cs="微软雅黑"/>
          <w:b/>
          <w:i w:val="0"/>
          <w:caps w:val="0"/>
          <w:color w:val="BC1010"/>
          <w:spacing w:val="0"/>
          <w:sz w:val="40"/>
          <w:szCs w:val="40"/>
          <w:shd w:val="clear" w:fill="FFFFFF"/>
        </w:rPr>
        <w:t>年决算公开</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center"/>
        <w:rPr>
          <w:color w:val="333333"/>
          <w:sz w:val="24"/>
          <w:szCs w:val="24"/>
        </w:rPr>
      </w:pPr>
      <w:r>
        <w:rPr>
          <w:rStyle w:val="10"/>
          <w:rFonts w:hint="eastAsia" w:ascii="微软雅黑" w:hAnsi="微软雅黑" w:eastAsia="微软雅黑" w:cs="微软雅黑"/>
          <w:i w:val="0"/>
          <w:caps w:val="0"/>
          <w:color w:val="333333"/>
          <w:spacing w:val="0"/>
          <w:sz w:val="24"/>
          <w:szCs w:val="24"/>
          <w:shd w:val="clear" w:fill="FFFFFF"/>
          <w:lang w:eastAsia="zh-CN"/>
        </w:rPr>
        <w:t>黄石港区政府办</w:t>
      </w:r>
      <w:r>
        <w:rPr>
          <w:rStyle w:val="10"/>
          <w:rFonts w:hint="eastAsia" w:ascii="微软雅黑" w:hAnsi="微软雅黑" w:eastAsia="微软雅黑" w:cs="微软雅黑"/>
          <w:i w:val="0"/>
          <w:caps w:val="0"/>
          <w:color w:val="333333"/>
          <w:spacing w:val="0"/>
          <w:sz w:val="24"/>
          <w:szCs w:val="24"/>
          <w:shd w:val="clear" w:fill="FFFFFF"/>
        </w:rPr>
        <w:t>201</w:t>
      </w:r>
      <w:r>
        <w:rPr>
          <w:rStyle w:val="10"/>
          <w:rFonts w:hint="eastAsia" w:ascii="微软雅黑" w:hAnsi="微软雅黑" w:eastAsia="微软雅黑" w:cs="微软雅黑"/>
          <w:i w:val="0"/>
          <w:caps w:val="0"/>
          <w:color w:val="333333"/>
          <w:spacing w:val="0"/>
          <w:sz w:val="24"/>
          <w:szCs w:val="24"/>
          <w:shd w:val="clear" w:fill="FFFFFF"/>
          <w:lang w:val="en-US" w:eastAsia="zh-CN"/>
        </w:rPr>
        <w:t>8</w:t>
      </w:r>
      <w:r>
        <w:rPr>
          <w:rStyle w:val="10"/>
          <w:rFonts w:hint="eastAsia" w:ascii="微软雅黑" w:hAnsi="微软雅黑" w:eastAsia="微软雅黑" w:cs="微软雅黑"/>
          <w:i w:val="0"/>
          <w:caps w:val="0"/>
          <w:color w:val="333333"/>
          <w:spacing w:val="0"/>
          <w:sz w:val="24"/>
          <w:szCs w:val="24"/>
          <w:shd w:val="clear" w:fill="FFFFFF"/>
        </w:rPr>
        <w:t>年决算公开</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center"/>
        <w:rPr>
          <w:color w:val="333333"/>
          <w:sz w:val="24"/>
          <w:szCs w:val="24"/>
        </w:rPr>
      </w:pPr>
      <w:r>
        <w:rPr>
          <w:rFonts w:hint="eastAsia" w:ascii="微软雅黑" w:hAnsi="微软雅黑" w:eastAsia="微软雅黑" w:cs="微软雅黑"/>
          <w:b w:val="0"/>
          <w:i w:val="0"/>
          <w:caps w:val="0"/>
          <w:color w:val="333333"/>
          <w:spacing w:val="0"/>
          <w:sz w:val="24"/>
          <w:szCs w:val="24"/>
          <w:shd w:val="clear" w:fill="FFFFFF"/>
        </w:rPr>
        <w:t>目  录</w:t>
      </w:r>
    </w:p>
    <w:p>
      <w:pPr>
        <w:pStyle w:val="17"/>
        <w:widowControl/>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shd w:val="clear" w:color="090000" w:fill="FFFFFF"/>
        </w:rPr>
        <w:t>第一部分:部门基本情况</w:t>
      </w:r>
    </w:p>
    <w:p>
      <w:pPr>
        <w:pStyle w:val="17"/>
        <w:widowControl/>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shd w:val="clear" w:color="090000" w:fill="FFFFFF"/>
        </w:rPr>
        <w:t>一、部门主要职责</w:t>
      </w:r>
    </w:p>
    <w:p>
      <w:pPr>
        <w:pStyle w:val="17"/>
        <w:widowControl/>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shd w:val="clear" w:color="090000" w:fill="FFFFFF"/>
        </w:rPr>
        <w:t>二、部门决算单位构成</w:t>
      </w:r>
    </w:p>
    <w:p>
      <w:pPr>
        <w:pStyle w:val="17"/>
        <w:widowControl/>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shd w:val="clear" w:color="090000" w:fill="FFFFFF"/>
        </w:rPr>
        <w:t>第二部分: 部门201</w:t>
      </w:r>
      <w:r>
        <w:rPr>
          <w:rFonts w:hint="eastAsia" w:ascii="微软雅黑" w:hAnsi="微软雅黑" w:eastAsia="微软雅黑" w:cs="微软雅黑"/>
          <w:b w:val="0"/>
          <w:i w:val="0"/>
          <w:caps w:val="0"/>
          <w:color w:val="333333"/>
          <w:spacing w:val="0"/>
          <w:sz w:val="24"/>
          <w:szCs w:val="24"/>
          <w:shd w:val="clear" w:color="090000" w:fill="FFFFFF"/>
          <w:lang w:val="en-US" w:eastAsia="zh-CN"/>
        </w:rPr>
        <w:t>8</w:t>
      </w:r>
      <w:r>
        <w:rPr>
          <w:rFonts w:hint="eastAsia" w:ascii="微软雅黑" w:hAnsi="微软雅黑" w:eastAsia="微软雅黑" w:cs="微软雅黑"/>
          <w:b w:val="0"/>
          <w:i w:val="0"/>
          <w:caps w:val="0"/>
          <w:color w:val="333333"/>
          <w:spacing w:val="0"/>
          <w:sz w:val="24"/>
          <w:szCs w:val="24"/>
          <w:shd w:val="clear" w:color="090000" w:fill="FFFFFF"/>
        </w:rPr>
        <w:t>年部门决算表</w:t>
      </w:r>
    </w:p>
    <w:p>
      <w:pPr>
        <w:pStyle w:val="17"/>
        <w:widowControl/>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shd w:val="clear" w:color="090000" w:fill="FFFFFF"/>
        </w:rPr>
        <w:t>一、收入支出决算总表（表1）</w:t>
      </w:r>
    </w:p>
    <w:p>
      <w:pPr>
        <w:pStyle w:val="17"/>
        <w:widowControl/>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shd w:val="clear" w:color="090000" w:fill="FFFFFF"/>
        </w:rPr>
        <w:t>二、收入决算表（表2）</w:t>
      </w:r>
    </w:p>
    <w:p>
      <w:pPr>
        <w:pStyle w:val="17"/>
        <w:widowControl/>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shd w:val="clear" w:color="090000" w:fill="FFFFFF"/>
        </w:rPr>
        <w:t>三、支出决算表（表3）</w:t>
      </w:r>
    </w:p>
    <w:p>
      <w:pPr>
        <w:pStyle w:val="17"/>
        <w:widowControl/>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shd w:val="clear" w:color="090000" w:fill="FFFFFF"/>
        </w:rPr>
        <w:t>四、财政拨款收入支出决算总表（表4）</w:t>
      </w:r>
    </w:p>
    <w:p>
      <w:pPr>
        <w:pStyle w:val="17"/>
        <w:widowControl/>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shd w:val="clear" w:color="090000" w:fill="FFFFFF"/>
        </w:rPr>
        <w:t>五、一般公共预算财政拨款支出决算表（表5）</w:t>
      </w:r>
    </w:p>
    <w:p>
      <w:pPr>
        <w:pStyle w:val="17"/>
        <w:widowControl/>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shd w:val="clear" w:color="090000" w:fill="FFFFFF"/>
        </w:rPr>
        <w:t>六、一般公共预算财政拨款基本支出决算表（表6）</w:t>
      </w:r>
    </w:p>
    <w:p>
      <w:pPr>
        <w:pStyle w:val="17"/>
        <w:widowControl/>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shd w:val="clear" w:color="090000" w:fill="FFFFFF"/>
        </w:rPr>
        <w:t>七、一般公共预算财政拨款“三公”经费支出决算表（表7）</w:t>
      </w:r>
    </w:p>
    <w:p>
      <w:pPr>
        <w:pStyle w:val="17"/>
        <w:widowControl/>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shd w:val="clear" w:color="090000" w:fill="FFFFFF"/>
        </w:rPr>
        <w:t>八、政府性基金预算财政拨款收入支出决算表（8）</w:t>
      </w:r>
    </w:p>
    <w:p>
      <w:pPr>
        <w:pStyle w:val="17"/>
        <w:widowControl/>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shd w:val="clear" w:color="090000" w:fill="FFFFFF"/>
        </w:rPr>
        <w:t>第三部分：部门201</w:t>
      </w:r>
      <w:r>
        <w:rPr>
          <w:rFonts w:hint="eastAsia" w:ascii="微软雅黑" w:hAnsi="微软雅黑" w:eastAsia="微软雅黑" w:cs="微软雅黑"/>
          <w:b w:val="0"/>
          <w:i w:val="0"/>
          <w:caps w:val="0"/>
          <w:color w:val="333333"/>
          <w:spacing w:val="0"/>
          <w:sz w:val="24"/>
          <w:szCs w:val="24"/>
          <w:shd w:val="clear" w:color="090000" w:fill="FFFFFF"/>
          <w:lang w:val="en-US" w:eastAsia="zh-CN"/>
        </w:rPr>
        <w:t>8</w:t>
      </w:r>
      <w:r>
        <w:rPr>
          <w:rFonts w:hint="eastAsia" w:ascii="微软雅黑" w:hAnsi="微软雅黑" w:eastAsia="微软雅黑" w:cs="微软雅黑"/>
          <w:b w:val="0"/>
          <w:i w:val="0"/>
          <w:caps w:val="0"/>
          <w:color w:val="333333"/>
          <w:spacing w:val="0"/>
          <w:sz w:val="24"/>
          <w:szCs w:val="24"/>
          <w:shd w:val="clear" w:color="090000" w:fill="FFFFFF"/>
        </w:rPr>
        <w:t>年部门决算情况说明</w:t>
      </w:r>
    </w:p>
    <w:p>
      <w:pPr>
        <w:pStyle w:val="17"/>
        <w:widowControl/>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shd w:val="clear" w:color="080000" w:fill="FFFFFF"/>
        </w:rPr>
      </w:pPr>
      <w:r>
        <w:rPr>
          <w:rFonts w:hint="eastAsia" w:ascii="微软雅黑" w:hAnsi="微软雅黑" w:eastAsia="微软雅黑" w:cs="微软雅黑"/>
          <w:b w:val="0"/>
          <w:i w:val="0"/>
          <w:caps w:val="0"/>
          <w:color w:val="333333"/>
          <w:spacing w:val="0"/>
          <w:sz w:val="24"/>
          <w:szCs w:val="24"/>
          <w:shd w:val="clear" w:color="080000" w:fill="FFFFFF"/>
          <w:lang w:eastAsia="zh-CN"/>
        </w:rPr>
        <w:t>一、</w:t>
      </w:r>
      <w:r>
        <w:rPr>
          <w:rFonts w:hint="eastAsia" w:ascii="微软雅黑" w:hAnsi="微软雅黑" w:eastAsia="微软雅黑" w:cs="微软雅黑"/>
          <w:b w:val="0"/>
          <w:i w:val="0"/>
          <w:caps w:val="0"/>
          <w:color w:val="333333"/>
          <w:spacing w:val="0"/>
          <w:sz w:val="24"/>
          <w:szCs w:val="24"/>
          <w:shd w:val="clear" w:color="080000" w:fill="FFFFFF"/>
        </w:rPr>
        <w:t>预算执行情况分析</w:t>
      </w:r>
    </w:p>
    <w:p>
      <w:pPr>
        <w:pStyle w:val="17"/>
        <w:widowControl/>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shd w:val="clear" w:color="080000" w:fill="FFFFFF"/>
        </w:rPr>
      </w:pPr>
      <w:r>
        <w:rPr>
          <w:rFonts w:hint="eastAsia" w:ascii="微软雅黑" w:hAnsi="微软雅黑" w:eastAsia="微软雅黑" w:cs="微软雅黑"/>
          <w:b w:val="0"/>
          <w:i w:val="0"/>
          <w:caps w:val="0"/>
          <w:color w:val="333333"/>
          <w:spacing w:val="0"/>
          <w:sz w:val="24"/>
          <w:szCs w:val="24"/>
          <w:shd w:val="clear" w:color="080000" w:fill="FFFFFF"/>
          <w:lang w:eastAsia="zh-CN"/>
        </w:rPr>
        <w:t>二、</w:t>
      </w:r>
      <w:r>
        <w:rPr>
          <w:rFonts w:hint="eastAsia" w:ascii="微软雅黑" w:hAnsi="微软雅黑" w:eastAsia="微软雅黑" w:cs="微软雅黑"/>
          <w:b w:val="0"/>
          <w:i w:val="0"/>
          <w:caps w:val="0"/>
          <w:color w:val="333333"/>
          <w:spacing w:val="0"/>
          <w:sz w:val="24"/>
          <w:szCs w:val="24"/>
          <w:shd w:val="clear" w:color="080000" w:fill="FFFFFF"/>
        </w:rPr>
        <w:t>关于“三公”经费支出说明</w:t>
      </w:r>
    </w:p>
    <w:p>
      <w:pPr>
        <w:pStyle w:val="17"/>
        <w:widowControl/>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shd w:val="clear" w:color="080000" w:fill="FFFFFF"/>
        </w:rPr>
      </w:pPr>
      <w:r>
        <w:rPr>
          <w:rFonts w:hint="eastAsia" w:ascii="微软雅黑" w:hAnsi="微软雅黑" w:eastAsia="微软雅黑" w:cs="微软雅黑"/>
          <w:b w:val="0"/>
          <w:i w:val="0"/>
          <w:caps w:val="0"/>
          <w:color w:val="333333"/>
          <w:spacing w:val="0"/>
          <w:sz w:val="24"/>
          <w:szCs w:val="24"/>
          <w:shd w:val="clear" w:color="080000" w:fill="FFFFFF"/>
          <w:lang w:eastAsia="zh-CN"/>
        </w:rPr>
        <w:t>三、</w:t>
      </w:r>
      <w:r>
        <w:rPr>
          <w:rFonts w:hint="eastAsia" w:ascii="微软雅黑" w:hAnsi="微软雅黑" w:eastAsia="微软雅黑" w:cs="微软雅黑"/>
          <w:b w:val="0"/>
          <w:i w:val="0"/>
          <w:caps w:val="0"/>
          <w:color w:val="333333"/>
          <w:spacing w:val="0"/>
          <w:sz w:val="24"/>
          <w:szCs w:val="24"/>
          <w:shd w:val="clear" w:color="080000" w:fill="FFFFFF"/>
        </w:rPr>
        <w:t>关于机关运行经费支出说明</w:t>
      </w:r>
    </w:p>
    <w:p>
      <w:pPr>
        <w:pStyle w:val="17"/>
        <w:widowControl/>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shd w:val="clear" w:color="080000" w:fill="FFFFFF"/>
        </w:rPr>
      </w:pPr>
      <w:r>
        <w:rPr>
          <w:rFonts w:hint="eastAsia" w:ascii="微软雅黑" w:hAnsi="微软雅黑" w:eastAsia="微软雅黑" w:cs="微软雅黑"/>
          <w:b w:val="0"/>
          <w:i w:val="0"/>
          <w:caps w:val="0"/>
          <w:color w:val="333333"/>
          <w:spacing w:val="0"/>
          <w:sz w:val="24"/>
          <w:szCs w:val="24"/>
          <w:shd w:val="clear" w:color="080000" w:fill="FFFFFF"/>
        </w:rPr>
        <w:t>四</w:t>
      </w:r>
      <w:r>
        <w:rPr>
          <w:rFonts w:hint="eastAsia" w:ascii="微软雅黑" w:hAnsi="微软雅黑" w:eastAsia="微软雅黑" w:cs="微软雅黑"/>
          <w:b w:val="0"/>
          <w:i w:val="0"/>
          <w:caps w:val="0"/>
          <w:color w:val="333333"/>
          <w:spacing w:val="0"/>
          <w:sz w:val="24"/>
          <w:szCs w:val="24"/>
          <w:shd w:val="clear" w:color="080000" w:fill="FFFFFF"/>
          <w:lang w:eastAsia="zh-CN"/>
        </w:rPr>
        <w:t>、</w:t>
      </w:r>
      <w:r>
        <w:rPr>
          <w:rFonts w:hint="eastAsia" w:ascii="微软雅黑" w:hAnsi="微软雅黑" w:eastAsia="微软雅黑" w:cs="微软雅黑"/>
          <w:b w:val="0"/>
          <w:i w:val="0"/>
          <w:caps w:val="0"/>
          <w:color w:val="333333"/>
          <w:spacing w:val="0"/>
          <w:sz w:val="24"/>
          <w:szCs w:val="24"/>
          <w:shd w:val="clear" w:color="080000" w:fill="FFFFFF"/>
        </w:rPr>
        <w:t>关于政府采购支出说明</w:t>
      </w:r>
    </w:p>
    <w:p>
      <w:pPr>
        <w:pStyle w:val="17"/>
        <w:widowControl/>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shd w:val="clear" w:color="080000" w:fill="FFFFFF"/>
        </w:rPr>
      </w:pPr>
      <w:r>
        <w:rPr>
          <w:rFonts w:hint="eastAsia" w:ascii="微软雅黑" w:hAnsi="微软雅黑" w:eastAsia="微软雅黑" w:cs="微软雅黑"/>
          <w:b w:val="0"/>
          <w:i w:val="0"/>
          <w:caps w:val="0"/>
          <w:color w:val="333333"/>
          <w:spacing w:val="0"/>
          <w:sz w:val="24"/>
          <w:szCs w:val="24"/>
          <w:shd w:val="clear" w:color="080000" w:fill="FFFFFF"/>
        </w:rPr>
        <w:t>五</w:t>
      </w:r>
      <w:r>
        <w:rPr>
          <w:rFonts w:hint="eastAsia" w:ascii="微软雅黑" w:hAnsi="微软雅黑" w:eastAsia="微软雅黑" w:cs="微软雅黑"/>
          <w:b w:val="0"/>
          <w:i w:val="0"/>
          <w:caps w:val="0"/>
          <w:color w:val="333333"/>
          <w:spacing w:val="0"/>
          <w:sz w:val="24"/>
          <w:szCs w:val="24"/>
          <w:shd w:val="clear" w:color="080000" w:fill="FFFFFF"/>
          <w:lang w:eastAsia="zh-CN"/>
        </w:rPr>
        <w:t>、</w:t>
      </w:r>
      <w:r>
        <w:rPr>
          <w:rFonts w:hint="eastAsia" w:ascii="微软雅黑" w:hAnsi="微软雅黑" w:eastAsia="微软雅黑" w:cs="微软雅黑"/>
          <w:b w:val="0"/>
          <w:i w:val="0"/>
          <w:caps w:val="0"/>
          <w:color w:val="333333"/>
          <w:spacing w:val="0"/>
          <w:sz w:val="24"/>
          <w:szCs w:val="24"/>
          <w:shd w:val="clear" w:color="080000" w:fill="FFFFFF"/>
        </w:rPr>
        <w:t>关于国有资产占用情况说明</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shd w:val="clear" w:color="080000" w:fill="FFFFFF"/>
        </w:rPr>
      </w:pPr>
      <w:r>
        <w:rPr>
          <w:rFonts w:hint="eastAsia" w:ascii="微软雅黑" w:hAnsi="微软雅黑" w:eastAsia="微软雅黑" w:cs="微软雅黑"/>
          <w:b w:val="0"/>
          <w:i w:val="0"/>
          <w:caps w:val="0"/>
          <w:color w:val="333333"/>
          <w:spacing w:val="0"/>
          <w:sz w:val="24"/>
          <w:szCs w:val="24"/>
          <w:shd w:val="clear" w:fill="FFFFFF"/>
          <w:lang w:val="en-US" w:eastAsia="zh-CN"/>
        </w:rPr>
        <w:t>六、重点绩效评价结果等预算绩效情况说明</w:t>
      </w:r>
    </w:p>
    <w:p>
      <w:pPr>
        <w:pStyle w:val="17"/>
        <w:widowControl/>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shd w:val="clear" w:color="090000" w:fill="FFFFFF"/>
        </w:rPr>
        <w:t>第四部分：名词解释 </w:t>
      </w:r>
    </w:p>
    <w:p>
      <w:pPr>
        <w:pStyle w:val="7"/>
        <w:widowControl/>
        <w:spacing w:before="76" w:beforeAutospacing="0" w:after="76" w:afterAutospacing="0" w:line="450" w:lineRule="atLeast"/>
        <w:ind w:firstLine="420"/>
        <w:jc w:val="center"/>
        <w:rPr>
          <w:rStyle w:val="10"/>
          <w:rFonts w:ascii="仿宋" w:hAnsi="仿宋" w:eastAsia="仿宋" w:cs="微软雅黑"/>
          <w:color w:val="333333"/>
          <w:sz w:val="30"/>
          <w:szCs w:val="30"/>
          <w:shd w:val="clear" w:color="auto" w:fill="FFFFFF"/>
        </w:rPr>
      </w:pPr>
    </w:p>
    <w:p>
      <w:pPr>
        <w:pStyle w:val="7"/>
        <w:widowControl/>
        <w:spacing w:before="76" w:beforeAutospacing="0" w:after="76" w:afterAutospacing="0" w:line="450" w:lineRule="atLeast"/>
        <w:ind w:firstLine="420"/>
        <w:jc w:val="center"/>
        <w:rPr>
          <w:rFonts w:ascii="方正大标宋简体" w:eastAsia="方正大标宋简体"/>
          <w:color w:val="333333"/>
          <w:sz w:val="36"/>
          <w:szCs w:val="36"/>
        </w:rPr>
      </w:pPr>
      <w:r>
        <w:rPr>
          <w:rStyle w:val="10"/>
          <w:rFonts w:hint="eastAsia" w:ascii="微软雅黑" w:hAnsi="微软雅黑" w:eastAsia="微软雅黑" w:cs="微软雅黑"/>
          <w:color w:val="333333"/>
          <w:sz w:val="24"/>
          <w:szCs w:val="24"/>
          <w:shd w:val="clear" w:color="auto" w:fill="FFFFFF"/>
        </w:rPr>
        <w:t>2018年部门决算</w:t>
      </w:r>
    </w:p>
    <w:p>
      <w:pPr>
        <w:pStyle w:val="7"/>
        <w:widowControl/>
        <w:spacing w:before="76" w:beforeAutospacing="0" w:after="76" w:afterAutospacing="0" w:line="450" w:lineRule="atLeast"/>
        <w:rPr>
          <w:rStyle w:val="10"/>
          <w:rFonts w:hint="eastAsia" w:ascii="微软雅黑" w:hAnsi="微软雅黑" w:eastAsia="微软雅黑" w:cs="微软雅黑"/>
          <w:color w:val="333333"/>
          <w:sz w:val="24"/>
          <w:szCs w:val="24"/>
          <w:shd w:val="clear" w:color="auto" w:fill="FFFFFF"/>
        </w:rPr>
      </w:pPr>
      <w:r>
        <w:rPr>
          <w:rStyle w:val="10"/>
          <w:rFonts w:hint="eastAsia" w:ascii="微软雅黑" w:hAnsi="微软雅黑" w:eastAsia="微软雅黑" w:cs="微软雅黑"/>
          <w:color w:val="333333"/>
          <w:shd w:val="clear" w:color="auto" w:fill="FFFFFF"/>
        </w:rPr>
        <w:t xml:space="preserve"> </w:t>
      </w:r>
      <w:r>
        <w:rPr>
          <w:rStyle w:val="10"/>
          <w:rFonts w:hint="eastAsia" w:ascii="微软雅黑" w:hAnsi="微软雅黑" w:eastAsia="微软雅黑" w:cs="微软雅黑"/>
          <w:color w:val="333333"/>
          <w:sz w:val="24"/>
          <w:szCs w:val="24"/>
          <w:shd w:val="clear" w:color="auto" w:fill="FFFFFF"/>
        </w:rPr>
        <w:t>第一部分：部门基本情况</w:t>
      </w:r>
    </w:p>
    <w:p>
      <w:pPr>
        <w:pStyle w:val="7"/>
        <w:keepNext w:val="0"/>
        <w:keepLines w:val="0"/>
        <w:pageBreakBefore w:val="0"/>
        <w:widowControl/>
        <w:numPr>
          <w:ilvl w:val="0"/>
          <w:numId w:val="1"/>
        </w:numPr>
        <w:kinsoku/>
        <w:wordWrap/>
        <w:overflowPunct/>
        <w:topLinePunct w:val="0"/>
        <w:autoSpaceDE/>
        <w:autoSpaceDN/>
        <w:bidi w:val="0"/>
        <w:adjustRightInd/>
        <w:snapToGrid/>
        <w:spacing w:before="76" w:beforeAutospacing="0" w:after="76" w:afterAutospacing="0" w:line="450" w:lineRule="atLeast"/>
        <w:ind w:firstLine="560" w:firstLineChars="200"/>
        <w:textAlignment w:val="auto"/>
        <w:rPr>
          <w:rFonts w:hint="eastAsia" w:asciiTheme="minorEastAsia" w:hAnsiTheme="minorEastAsia" w:eastAsiaTheme="minorEastAsia" w:cstheme="minorEastAsia"/>
          <w:b w:val="0"/>
          <w:i w:val="0"/>
          <w:caps w:val="0"/>
          <w:color w:val="000000"/>
          <w:spacing w:val="0"/>
          <w:sz w:val="28"/>
          <w:szCs w:val="28"/>
          <w:shd w:val="clear" w:color="auto" w:fill="auto"/>
        </w:rPr>
      </w:pPr>
      <w:r>
        <w:rPr>
          <w:rFonts w:hint="eastAsia" w:asciiTheme="minorEastAsia" w:hAnsiTheme="minorEastAsia" w:eastAsiaTheme="minorEastAsia" w:cstheme="minorEastAsia"/>
          <w:b w:val="0"/>
          <w:i w:val="0"/>
          <w:caps w:val="0"/>
          <w:color w:val="000000"/>
          <w:spacing w:val="0"/>
          <w:sz w:val="28"/>
          <w:szCs w:val="28"/>
          <w:shd w:val="clear" w:color="auto" w:fill="auto"/>
        </w:rPr>
        <w:t>主要职责</w:t>
      </w:r>
    </w:p>
    <w:p>
      <w:pPr>
        <w:pStyle w:val="7"/>
        <w:keepNext w:val="0"/>
        <w:keepLines w:val="0"/>
        <w:pageBreakBefore w:val="0"/>
        <w:widowControl/>
        <w:numPr>
          <w:ilvl w:val="0"/>
          <w:numId w:val="0"/>
        </w:numPr>
        <w:kinsoku/>
        <w:wordWrap/>
        <w:overflowPunct/>
        <w:topLinePunct w:val="0"/>
        <w:autoSpaceDE/>
        <w:autoSpaceDN/>
        <w:bidi w:val="0"/>
        <w:adjustRightInd/>
        <w:snapToGrid/>
        <w:spacing w:before="76" w:beforeAutospacing="0" w:after="76" w:afterAutospacing="0" w:line="450" w:lineRule="atLeast"/>
        <w:ind w:firstLine="560" w:firstLineChars="200"/>
        <w:textAlignment w:val="auto"/>
        <w:rPr>
          <w:rFonts w:hint="eastAsia" w:asciiTheme="minorEastAsia" w:hAnsiTheme="minorEastAsia" w:eastAsiaTheme="minorEastAsia" w:cstheme="minorEastAsia"/>
          <w:b w:val="0"/>
          <w:i w:val="0"/>
          <w:caps w:val="0"/>
          <w:color w:val="000000"/>
          <w:spacing w:val="0"/>
          <w:sz w:val="28"/>
          <w:szCs w:val="28"/>
          <w:shd w:val="clear" w:color="auto" w:fill="auto"/>
        </w:rPr>
      </w:pPr>
      <w:r>
        <w:rPr>
          <w:rFonts w:hint="eastAsia" w:asciiTheme="minorEastAsia" w:hAnsiTheme="minorEastAsia" w:eastAsiaTheme="minorEastAsia" w:cstheme="minorEastAsia"/>
          <w:b w:val="0"/>
          <w:i w:val="0"/>
          <w:caps w:val="0"/>
          <w:color w:val="000000"/>
          <w:spacing w:val="0"/>
          <w:sz w:val="28"/>
          <w:szCs w:val="28"/>
          <w:shd w:val="clear" w:color="auto" w:fill="auto"/>
        </w:rPr>
        <w:t xml:space="preserve">区政府办是区政府的综合协调部门，是区政府的运转中心，其主要职能是综合、督办、服务，办文、办会、办事，同时负责区政府法制、应急、值班、金融等各方面工作。2018年因根据工作需要，区政府办在原有内设机构基础上，设立了区行政服务中心，区编办已报市编办审批，行政服务中心属事业单位。  </w:t>
      </w:r>
    </w:p>
    <w:p>
      <w:pPr>
        <w:pStyle w:val="7"/>
        <w:keepNext w:val="0"/>
        <w:keepLines w:val="0"/>
        <w:pageBreakBefore w:val="0"/>
        <w:widowControl/>
        <w:numPr>
          <w:ilvl w:val="0"/>
          <w:numId w:val="0"/>
        </w:numPr>
        <w:kinsoku/>
        <w:wordWrap/>
        <w:overflowPunct/>
        <w:topLinePunct w:val="0"/>
        <w:autoSpaceDE/>
        <w:autoSpaceDN/>
        <w:bidi w:val="0"/>
        <w:adjustRightInd/>
        <w:snapToGrid/>
        <w:spacing w:before="76" w:beforeAutospacing="0" w:after="76" w:afterAutospacing="0" w:line="450" w:lineRule="atLeast"/>
        <w:ind w:firstLine="560" w:firstLineChars="200"/>
        <w:textAlignment w:val="auto"/>
        <w:rPr>
          <w:rFonts w:hint="eastAsia" w:asciiTheme="minorEastAsia" w:hAnsiTheme="minorEastAsia" w:eastAsiaTheme="minorEastAsia" w:cstheme="minorEastAsia"/>
          <w:b w:val="0"/>
          <w:i w:val="0"/>
          <w:caps w:val="0"/>
          <w:color w:val="000000"/>
          <w:spacing w:val="0"/>
          <w:sz w:val="28"/>
          <w:szCs w:val="28"/>
          <w:shd w:val="clear" w:color="auto" w:fill="auto"/>
          <w:lang w:val="en-US" w:eastAsia="zh-CN"/>
        </w:rPr>
      </w:pPr>
      <w:r>
        <w:rPr>
          <w:rFonts w:hint="eastAsia" w:asciiTheme="minorEastAsia" w:hAnsiTheme="minorEastAsia" w:eastAsiaTheme="minorEastAsia" w:cstheme="minorEastAsia"/>
          <w:b w:val="0"/>
          <w:i w:val="0"/>
          <w:caps w:val="0"/>
          <w:color w:val="000000"/>
          <w:spacing w:val="0"/>
          <w:sz w:val="28"/>
          <w:szCs w:val="28"/>
          <w:shd w:val="clear" w:color="auto" w:fill="auto"/>
        </w:rPr>
        <w:t>（二）</w:t>
      </w:r>
      <w:r>
        <w:rPr>
          <w:rFonts w:hint="eastAsia" w:asciiTheme="minorEastAsia" w:hAnsiTheme="minorEastAsia" w:cstheme="minorEastAsia"/>
          <w:b w:val="0"/>
          <w:i w:val="0"/>
          <w:caps w:val="0"/>
          <w:color w:val="000000"/>
          <w:spacing w:val="0"/>
          <w:sz w:val="28"/>
          <w:szCs w:val="28"/>
          <w:shd w:val="clear" w:color="auto" w:fill="auto"/>
          <w:lang w:eastAsia="zh-CN"/>
        </w:rPr>
        <w:t>机构情况</w:t>
      </w: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rPr>
          <w:rFonts w:hint="eastAsia" w:asciiTheme="minorEastAsia" w:hAnsiTheme="minorEastAsia" w:eastAsiaTheme="minorEastAsia" w:cstheme="minorEastAsia"/>
          <w:b w:val="0"/>
          <w:i w:val="0"/>
          <w:caps w:val="0"/>
          <w:color w:val="000000"/>
          <w:spacing w:val="0"/>
          <w:sz w:val="28"/>
          <w:szCs w:val="28"/>
          <w:shd w:val="clear" w:color="auto" w:fill="auto"/>
        </w:rPr>
      </w:pPr>
      <w:r>
        <w:rPr>
          <w:rFonts w:hint="eastAsia" w:asciiTheme="minorEastAsia" w:hAnsiTheme="minorEastAsia" w:eastAsiaTheme="minorEastAsia" w:cstheme="minorEastAsia"/>
          <w:b w:val="0"/>
          <w:i w:val="0"/>
          <w:caps w:val="0"/>
          <w:color w:val="000000"/>
          <w:spacing w:val="0"/>
          <w:sz w:val="28"/>
          <w:szCs w:val="28"/>
          <w:shd w:val="clear" w:color="auto" w:fill="auto"/>
        </w:rPr>
        <w:t>区政府办公室编制人数11人，其中行政编9人，事业编2人;年末实有人数20人，其中行政编12人，事业编2人，区内编1人，聘用人员5人。</w:t>
      </w:r>
    </w:p>
    <w:p>
      <w:pPr>
        <w:spacing w:line="560" w:lineRule="exact"/>
        <w:ind w:firstLine="560" w:firstLineChars="200"/>
        <w:rPr>
          <w:rFonts w:hint="eastAsia" w:asciiTheme="minorEastAsia" w:hAnsiTheme="minorEastAsia" w:eastAsiaTheme="minorEastAsia" w:cstheme="minorEastAsia"/>
          <w:b w:val="0"/>
          <w:i w:val="0"/>
          <w:caps w:val="0"/>
          <w:color w:val="000000"/>
          <w:spacing w:val="0"/>
          <w:sz w:val="28"/>
          <w:szCs w:val="28"/>
          <w:shd w:val="clear" w:color="auto" w:fill="auto"/>
        </w:rPr>
        <w:sectPr>
          <w:pgSz w:w="16838" w:h="11906" w:orient="landscape"/>
          <w:pgMar w:top="1800" w:right="1440" w:bottom="1800" w:left="1440" w:header="851" w:footer="992" w:gutter="0"/>
          <w:cols w:space="0" w:num="1"/>
          <w:rtlGutter w:val="0"/>
          <w:docGrid w:type="lines" w:linePitch="312" w:charSpace="0"/>
        </w:sectPr>
      </w:pPr>
    </w:p>
    <w:p>
      <w:pPr>
        <w:widowControl/>
        <w:jc w:val="left"/>
        <w:rPr>
          <w:rFonts w:ascii="仿宋" w:hAnsi="仿宋" w:eastAsia="仿宋" w:cs="微软雅黑"/>
          <w:b/>
          <w:bCs/>
          <w:sz w:val="30"/>
          <w:szCs w:val="30"/>
        </w:rPr>
      </w:pPr>
      <w:r>
        <w:rPr>
          <w:rFonts w:hint="eastAsia" w:ascii="仿宋" w:hAnsi="仿宋" w:eastAsia="仿宋" w:cs="微软雅黑"/>
          <w:b/>
          <w:bCs/>
          <w:sz w:val="30"/>
          <w:szCs w:val="30"/>
        </w:rPr>
        <w:t xml:space="preserve"> </w:t>
      </w:r>
      <w:r>
        <w:rPr>
          <w:rFonts w:hint="eastAsia" w:ascii="微软雅黑" w:hAnsi="微软雅黑" w:eastAsia="微软雅黑" w:cs="微软雅黑"/>
          <w:b/>
          <w:bCs/>
          <w:sz w:val="24"/>
          <w:szCs w:val="24"/>
        </w:rPr>
        <w:t>第二部分：部门2018年部门决算表</w:t>
      </w:r>
    </w:p>
    <w:p>
      <w:pPr>
        <w:pStyle w:val="7"/>
        <w:widowControl/>
        <w:spacing w:before="76" w:beforeAutospacing="0" w:after="76" w:afterAutospacing="0" w:line="450" w:lineRule="atLeast"/>
        <w:rPr>
          <w:rStyle w:val="10"/>
          <w:rFonts w:hint="eastAsia" w:ascii="仿宋" w:hAnsi="仿宋" w:eastAsia="仿宋" w:cs="微软雅黑"/>
          <w:color w:val="333333"/>
          <w:sz w:val="30"/>
          <w:szCs w:val="30"/>
          <w:shd w:val="clear" w:color="auto" w:fill="FFFFFF"/>
        </w:rPr>
      </w:pPr>
      <w:r>
        <w:drawing>
          <wp:inline distT="0" distB="0" distL="114300" distR="114300">
            <wp:extent cx="8847455" cy="4672965"/>
            <wp:effectExtent l="0" t="0" r="10795" b="1333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8847455" cy="4672965"/>
                    </a:xfrm>
                    <a:prstGeom prst="rect">
                      <a:avLst/>
                    </a:prstGeom>
                    <a:noFill/>
                    <a:ln>
                      <a:noFill/>
                    </a:ln>
                  </pic:spPr>
                </pic:pic>
              </a:graphicData>
            </a:graphic>
          </wp:inline>
        </w:drawing>
      </w:r>
    </w:p>
    <w:p>
      <w:pPr>
        <w:keepNext w:val="0"/>
        <w:keepLines w:val="0"/>
        <w:widowControl/>
        <w:suppressLineNumbers w:val="0"/>
        <w:jc w:val="center"/>
        <w:textAlignment w:val="center"/>
      </w:pPr>
      <w:r>
        <w:drawing>
          <wp:inline distT="0" distB="0" distL="114300" distR="114300">
            <wp:extent cx="8853170" cy="2493645"/>
            <wp:effectExtent l="0" t="0" r="5080" b="190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5"/>
                    <a:stretch>
                      <a:fillRect/>
                    </a:stretch>
                  </pic:blipFill>
                  <pic:spPr>
                    <a:xfrm>
                      <a:off x="0" y="0"/>
                      <a:ext cx="8853170" cy="2493645"/>
                    </a:xfrm>
                    <a:prstGeom prst="rect">
                      <a:avLst/>
                    </a:prstGeom>
                    <a:noFill/>
                    <a:ln>
                      <a:noFill/>
                    </a:ln>
                  </pic:spPr>
                </pic:pic>
              </a:graphicData>
            </a:graphic>
          </wp:inline>
        </w:drawing>
      </w:r>
    </w:p>
    <w:p>
      <w:pPr>
        <w:keepNext w:val="0"/>
        <w:keepLines w:val="0"/>
        <w:widowControl/>
        <w:suppressLineNumbers w:val="0"/>
        <w:jc w:val="center"/>
        <w:textAlignment w:val="center"/>
        <w:rPr>
          <w:rFonts w:hint="eastAsia" w:ascii="宋体" w:hAnsi="宋体" w:eastAsia="宋体" w:cs="宋体"/>
          <w:i w:val="0"/>
          <w:color w:val="000000"/>
          <w:kern w:val="0"/>
          <w:sz w:val="40"/>
          <w:szCs w:val="40"/>
          <w:u w:val="none"/>
          <w:lang w:val="en-US" w:eastAsia="zh-CN" w:bidi="ar"/>
        </w:rPr>
      </w:pPr>
      <w:r>
        <w:drawing>
          <wp:inline distT="0" distB="0" distL="114300" distR="114300">
            <wp:extent cx="8859520" cy="2489200"/>
            <wp:effectExtent l="0" t="0" r="17780" b="635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6"/>
                    <a:stretch>
                      <a:fillRect/>
                    </a:stretch>
                  </pic:blipFill>
                  <pic:spPr>
                    <a:xfrm>
                      <a:off x="0" y="0"/>
                      <a:ext cx="8859520" cy="2489200"/>
                    </a:xfrm>
                    <a:prstGeom prst="rect">
                      <a:avLst/>
                    </a:prstGeom>
                    <a:noFill/>
                    <a:ln>
                      <a:noFill/>
                    </a:ln>
                  </pic:spPr>
                </pic:pic>
              </a:graphicData>
            </a:graphic>
          </wp:inline>
        </w:drawing>
      </w:r>
      <w:r>
        <w:rPr>
          <w:rFonts w:hint="eastAsia" w:ascii="宋体" w:hAnsi="宋体" w:eastAsia="宋体" w:cs="宋体"/>
          <w:i w:val="0"/>
          <w:color w:val="000000"/>
          <w:kern w:val="0"/>
          <w:sz w:val="40"/>
          <w:szCs w:val="40"/>
          <w:u w:val="none"/>
          <w:lang w:val="en-US" w:eastAsia="zh-CN" w:bidi="ar"/>
        </w:rPr>
        <w:br w:type="page"/>
      </w:r>
    </w:p>
    <w:p>
      <w:pPr>
        <w:pStyle w:val="7"/>
        <w:widowControl/>
        <w:spacing w:before="76" w:beforeAutospacing="0" w:after="76" w:afterAutospacing="0" w:line="450" w:lineRule="atLeast"/>
        <w:rPr>
          <w:rStyle w:val="10"/>
          <w:rFonts w:hint="eastAsia" w:ascii="仿宋" w:hAnsi="仿宋" w:eastAsia="仿宋" w:cs="微软雅黑"/>
          <w:color w:val="333333"/>
          <w:sz w:val="30"/>
          <w:szCs w:val="30"/>
          <w:shd w:val="clear" w:color="auto" w:fill="FFFFFF"/>
        </w:rPr>
      </w:pPr>
      <w:r>
        <w:drawing>
          <wp:inline distT="0" distB="0" distL="114300" distR="114300">
            <wp:extent cx="8806180" cy="5169535"/>
            <wp:effectExtent l="0" t="0" r="13970" b="1206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7"/>
                    <a:stretch>
                      <a:fillRect/>
                    </a:stretch>
                  </pic:blipFill>
                  <pic:spPr>
                    <a:xfrm>
                      <a:off x="0" y="0"/>
                      <a:ext cx="8806180" cy="5169535"/>
                    </a:xfrm>
                    <a:prstGeom prst="rect">
                      <a:avLst/>
                    </a:prstGeom>
                    <a:noFill/>
                    <a:ln>
                      <a:noFill/>
                    </a:ln>
                  </pic:spPr>
                </pic:pic>
              </a:graphicData>
            </a:graphic>
          </wp:inline>
        </w:drawing>
      </w:r>
    </w:p>
    <w:p>
      <w:pPr>
        <w:pStyle w:val="7"/>
        <w:widowControl/>
        <w:spacing w:before="76" w:beforeAutospacing="0" w:after="76" w:afterAutospacing="0" w:line="450" w:lineRule="atLeast"/>
        <w:rPr>
          <w:rStyle w:val="10"/>
          <w:rFonts w:hint="eastAsia" w:ascii="仿宋" w:hAnsi="仿宋" w:eastAsia="仿宋" w:cs="微软雅黑"/>
          <w:color w:val="333333"/>
          <w:sz w:val="30"/>
          <w:szCs w:val="30"/>
          <w:shd w:val="clear" w:color="auto" w:fill="FFFFFF"/>
        </w:rPr>
      </w:pPr>
      <w:r>
        <w:drawing>
          <wp:inline distT="0" distB="0" distL="114300" distR="114300">
            <wp:extent cx="8855075" cy="4403090"/>
            <wp:effectExtent l="0" t="0" r="3175" b="1651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8"/>
                    <a:stretch>
                      <a:fillRect/>
                    </a:stretch>
                  </pic:blipFill>
                  <pic:spPr>
                    <a:xfrm>
                      <a:off x="0" y="0"/>
                      <a:ext cx="8855075" cy="4403090"/>
                    </a:xfrm>
                    <a:prstGeom prst="rect">
                      <a:avLst/>
                    </a:prstGeom>
                    <a:noFill/>
                    <a:ln>
                      <a:noFill/>
                    </a:ln>
                  </pic:spPr>
                </pic:pic>
              </a:graphicData>
            </a:graphic>
          </wp:inline>
        </w:drawing>
      </w:r>
    </w:p>
    <w:p>
      <w:pPr>
        <w:pStyle w:val="7"/>
        <w:widowControl/>
        <w:spacing w:before="76" w:beforeAutospacing="0" w:after="76" w:afterAutospacing="0" w:line="450" w:lineRule="atLeast"/>
        <w:ind w:firstLine="420"/>
        <w:rPr>
          <w:rStyle w:val="10"/>
          <w:rFonts w:hint="eastAsia" w:ascii="仿宋" w:hAnsi="仿宋" w:eastAsia="仿宋" w:cs="微软雅黑"/>
          <w:color w:val="333333"/>
          <w:sz w:val="30"/>
          <w:szCs w:val="30"/>
          <w:shd w:val="clear" w:color="auto" w:fill="FFFFFF"/>
        </w:rPr>
      </w:pPr>
    </w:p>
    <w:p>
      <w:pPr>
        <w:pStyle w:val="7"/>
        <w:widowControl/>
        <w:spacing w:before="76" w:beforeAutospacing="0" w:after="76" w:afterAutospacing="0" w:line="450" w:lineRule="atLeast"/>
        <w:rPr>
          <w:rStyle w:val="10"/>
          <w:rFonts w:hint="eastAsia" w:ascii="仿宋" w:hAnsi="仿宋" w:eastAsia="仿宋" w:cs="微软雅黑"/>
          <w:color w:val="333333"/>
          <w:sz w:val="30"/>
          <w:szCs w:val="30"/>
          <w:shd w:val="clear" w:color="auto" w:fill="FFFFFF"/>
        </w:rPr>
      </w:pPr>
      <w:r>
        <w:drawing>
          <wp:inline distT="0" distB="0" distL="114300" distR="114300">
            <wp:extent cx="8855075" cy="5372100"/>
            <wp:effectExtent l="0" t="0" r="3175"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9"/>
                    <a:stretch>
                      <a:fillRect/>
                    </a:stretch>
                  </pic:blipFill>
                  <pic:spPr>
                    <a:xfrm>
                      <a:off x="0" y="0"/>
                      <a:ext cx="8855075" cy="5372100"/>
                    </a:xfrm>
                    <a:prstGeom prst="rect">
                      <a:avLst/>
                    </a:prstGeom>
                    <a:noFill/>
                    <a:ln>
                      <a:noFill/>
                    </a:ln>
                  </pic:spPr>
                </pic:pic>
              </a:graphicData>
            </a:graphic>
          </wp:inline>
        </w:drawing>
      </w:r>
    </w:p>
    <w:p>
      <w:pPr>
        <w:pStyle w:val="7"/>
        <w:widowControl/>
        <w:spacing w:before="76" w:beforeAutospacing="0" w:after="76" w:afterAutospacing="0" w:line="450" w:lineRule="atLeast"/>
        <w:rPr>
          <w:rStyle w:val="10"/>
          <w:rFonts w:hint="eastAsia" w:ascii="仿宋" w:hAnsi="仿宋" w:eastAsia="仿宋" w:cs="微软雅黑"/>
          <w:color w:val="333333"/>
          <w:sz w:val="30"/>
          <w:szCs w:val="30"/>
          <w:shd w:val="clear" w:color="auto" w:fill="FFFFFF"/>
        </w:rPr>
      </w:pPr>
      <w:r>
        <w:drawing>
          <wp:inline distT="0" distB="0" distL="114300" distR="114300">
            <wp:extent cx="8856980" cy="1843405"/>
            <wp:effectExtent l="0" t="0" r="1270" b="444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10"/>
                    <a:stretch>
                      <a:fillRect/>
                    </a:stretch>
                  </pic:blipFill>
                  <pic:spPr>
                    <a:xfrm>
                      <a:off x="0" y="0"/>
                      <a:ext cx="8856980" cy="1843405"/>
                    </a:xfrm>
                    <a:prstGeom prst="rect">
                      <a:avLst/>
                    </a:prstGeom>
                    <a:noFill/>
                    <a:ln>
                      <a:noFill/>
                    </a:ln>
                  </pic:spPr>
                </pic:pic>
              </a:graphicData>
            </a:graphic>
          </wp:inline>
        </w:drawing>
      </w:r>
      <w:r>
        <w:drawing>
          <wp:inline distT="0" distB="0" distL="114300" distR="114300">
            <wp:extent cx="8856345" cy="2851785"/>
            <wp:effectExtent l="0" t="0" r="1905" b="5715"/>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11"/>
                    <a:stretch>
                      <a:fillRect/>
                    </a:stretch>
                  </pic:blipFill>
                  <pic:spPr>
                    <a:xfrm>
                      <a:off x="0" y="0"/>
                      <a:ext cx="8856345" cy="2851785"/>
                    </a:xfrm>
                    <a:prstGeom prst="rect">
                      <a:avLst/>
                    </a:prstGeom>
                    <a:noFill/>
                    <a:ln>
                      <a:noFill/>
                    </a:ln>
                  </pic:spPr>
                </pic:pic>
              </a:graphicData>
            </a:graphic>
          </wp:inline>
        </w:drawing>
      </w:r>
    </w:p>
    <w:p>
      <w:pPr>
        <w:rPr>
          <w:rStyle w:val="10"/>
          <w:rFonts w:hint="eastAsia" w:ascii="仿宋" w:hAnsi="仿宋" w:eastAsia="仿宋" w:cs="微软雅黑"/>
          <w:color w:val="333333"/>
          <w:sz w:val="30"/>
          <w:szCs w:val="30"/>
          <w:shd w:val="clear" w:color="auto" w:fill="FFFFFF"/>
        </w:rPr>
        <w:sectPr>
          <w:pgSz w:w="16838" w:h="11906" w:orient="landscape"/>
          <w:pgMar w:top="1803" w:right="1440" w:bottom="1803" w:left="1440" w:header="851" w:footer="992" w:gutter="0"/>
          <w:cols w:space="0" w:num="1"/>
          <w:rtlGutter w:val="0"/>
          <w:docGrid w:type="lines" w:linePitch="319" w:charSpace="0"/>
        </w:sectPr>
      </w:pPr>
    </w:p>
    <w:p>
      <w:pPr>
        <w:pStyle w:val="7"/>
        <w:widowControl/>
        <w:numPr>
          <w:ilvl w:val="0"/>
          <w:numId w:val="0"/>
        </w:numPr>
        <w:spacing w:before="76" w:beforeAutospacing="0" w:after="76" w:afterAutospacing="0" w:line="450" w:lineRule="atLeast"/>
        <w:ind w:firstLine="240" w:firstLineChars="100"/>
        <w:rPr>
          <w:rFonts w:hint="eastAsia" w:asciiTheme="minorEastAsia" w:hAnsiTheme="minorEastAsia" w:eastAsiaTheme="minorEastAsia" w:cstheme="minorEastAsia"/>
          <w:sz w:val="28"/>
          <w:szCs w:val="28"/>
        </w:rPr>
      </w:pPr>
      <w:r>
        <w:rPr>
          <w:rStyle w:val="10"/>
          <w:rFonts w:hint="eastAsia" w:ascii="微软雅黑" w:hAnsi="微软雅黑" w:eastAsia="微软雅黑" w:cs="微软雅黑"/>
          <w:color w:val="333333"/>
          <w:sz w:val="24"/>
          <w:szCs w:val="24"/>
          <w:shd w:val="clear" w:color="auto" w:fill="FFFFFF"/>
          <w:lang w:eastAsia="zh-CN"/>
        </w:rPr>
        <w:t>第三部分</w:t>
      </w:r>
      <w:r>
        <w:rPr>
          <w:rStyle w:val="10"/>
          <w:rFonts w:hint="eastAsia" w:ascii="微软雅黑" w:hAnsi="微软雅黑" w:eastAsia="微软雅黑" w:cs="微软雅黑"/>
          <w:color w:val="333333"/>
          <w:sz w:val="24"/>
          <w:szCs w:val="24"/>
          <w:shd w:val="clear" w:color="auto" w:fill="FFFFFF"/>
          <w:lang w:val="en-US" w:eastAsia="zh-CN"/>
        </w:rPr>
        <w:t xml:space="preserve"> </w:t>
      </w:r>
      <w:r>
        <w:rPr>
          <w:rStyle w:val="10"/>
          <w:rFonts w:hint="eastAsia" w:ascii="微软雅黑" w:hAnsi="微软雅黑" w:eastAsia="微软雅黑" w:cs="微软雅黑"/>
          <w:color w:val="333333"/>
          <w:sz w:val="24"/>
          <w:szCs w:val="24"/>
          <w:shd w:val="clear" w:color="auto" w:fill="FFFFFF"/>
        </w:rPr>
        <w:t>部门2018年部门决算情况说明</w:t>
      </w:r>
    </w:p>
    <w:p>
      <w:pPr>
        <w:pStyle w:val="7"/>
        <w:keepNext w:val="0"/>
        <w:keepLines w:val="0"/>
        <w:pageBreakBefore w:val="0"/>
        <w:widowControl/>
        <w:numPr>
          <w:ilvl w:val="0"/>
          <w:numId w:val="0"/>
        </w:numPr>
        <w:kinsoku/>
        <w:wordWrap/>
        <w:overflowPunct/>
        <w:topLinePunct w:val="0"/>
        <w:autoSpaceDE/>
        <w:autoSpaceDN/>
        <w:bidi w:val="0"/>
        <w:adjustRightInd/>
        <w:snapToGrid/>
        <w:spacing w:before="76" w:beforeAutospacing="0" w:after="76" w:afterAutospacing="0" w:line="450" w:lineRule="atLeast"/>
        <w:ind w:firstLine="562" w:firstLineChars="200"/>
        <w:textAlignment w:val="auto"/>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lang w:eastAsia="zh-CN"/>
        </w:rPr>
        <w:t>（</w:t>
      </w:r>
      <w:r>
        <w:rPr>
          <w:rFonts w:hint="eastAsia" w:ascii="宋体" w:hAnsi="宋体" w:cs="宋体"/>
          <w:b/>
          <w:bCs/>
          <w:sz w:val="28"/>
          <w:szCs w:val="28"/>
          <w:lang w:eastAsia="zh-CN"/>
        </w:rPr>
        <w:t>一）</w:t>
      </w:r>
      <w:r>
        <w:rPr>
          <w:rFonts w:hint="eastAsia" w:ascii="宋体" w:hAnsi="宋体" w:cs="宋体"/>
          <w:b/>
          <w:bCs/>
          <w:sz w:val="28"/>
          <w:szCs w:val="28"/>
        </w:rPr>
        <w:t>预算执行情况分析</w:t>
      </w:r>
    </w:p>
    <w:p>
      <w:pPr>
        <w:keepNext w:val="0"/>
        <w:keepLines w:val="0"/>
        <w:pageBreakBefore w:val="0"/>
        <w:widowControl/>
        <w:shd w:val="clear" w:color="auto" w:fill="FFFFFF"/>
        <w:kinsoku/>
        <w:wordWrap/>
        <w:overflowPunct/>
        <w:topLinePunct w:val="0"/>
        <w:autoSpaceDE/>
        <w:autoSpaceDN/>
        <w:bidi w:val="0"/>
        <w:adjustRightInd/>
        <w:snapToGrid/>
        <w:ind w:firstLine="560" w:firstLineChars="200"/>
        <w:jc w:val="left"/>
        <w:textAlignment w:val="auto"/>
        <w:rPr>
          <w:rFonts w:hint="eastAsia" w:ascii="宋体" w:hAnsi="宋体" w:cs="宋体"/>
          <w:sz w:val="28"/>
          <w:szCs w:val="28"/>
        </w:rPr>
      </w:pPr>
      <w:r>
        <w:rPr>
          <w:rFonts w:hint="eastAsia" w:ascii="宋体" w:hAnsi="宋体" w:cs="宋体"/>
          <w:sz w:val="28"/>
          <w:szCs w:val="28"/>
          <w:lang w:val="en-US" w:eastAsia="zh-CN"/>
        </w:rPr>
        <w:t>1、</w:t>
      </w:r>
      <w:r>
        <w:rPr>
          <w:rFonts w:hint="eastAsia" w:ascii="宋体" w:hAnsi="宋体" w:cs="宋体"/>
          <w:sz w:val="28"/>
          <w:szCs w:val="28"/>
        </w:rPr>
        <w:t>收入支出与预算对比分析</w:t>
      </w:r>
    </w:p>
    <w:p>
      <w:pPr>
        <w:keepNext w:val="0"/>
        <w:keepLines w:val="0"/>
        <w:pageBreakBefore w:val="0"/>
        <w:widowControl/>
        <w:shd w:val="clear" w:color="auto" w:fill="FFFFFF"/>
        <w:kinsoku/>
        <w:wordWrap/>
        <w:overflowPunct/>
        <w:topLinePunct w:val="0"/>
        <w:autoSpaceDE/>
        <w:autoSpaceDN/>
        <w:bidi w:val="0"/>
        <w:adjustRightInd/>
        <w:snapToGrid/>
        <w:ind w:firstLine="560" w:firstLineChars="200"/>
        <w:jc w:val="left"/>
        <w:textAlignment w:val="auto"/>
        <w:rPr>
          <w:rFonts w:hint="eastAsia" w:ascii="宋体" w:hAnsi="宋体" w:cs="宋体" w:eastAsiaTheme="minorEastAsia"/>
          <w:sz w:val="28"/>
          <w:szCs w:val="28"/>
          <w:lang w:eastAsia="zh-CN"/>
        </w:rPr>
      </w:pPr>
      <w:r>
        <w:rPr>
          <w:rFonts w:hint="eastAsia" w:ascii="宋体" w:hAnsi="宋体" w:cs="宋体"/>
          <w:sz w:val="28"/>
          <w:szCs w:val="28"/>
        </w:rPr>
        <w:t>2018年全年总收入5493490.22元,其中财拨款决算收入5493490.22元(一般公共服务收入4648490.22元，节能环保收入845000元),其它收入0元, 2018年全年总支出5493490.22元,其中财拨款决算支出5493490.22元(一般公共服务支出4648490.22元，节能环保支出845000元),其它收入0元,2018年财政预算数3112917元，财拔决算比预算多2380573.22元,幅度为76.47%,原因为业务增加</w:t>
      </w:r>
      <w:r>
        <w:rPr>
          <w:rFonts w:hint="eastAsia" w:ascii="宋体" w:hAnsi="宋体" w:cs="宋体"/>
          <w:sz w:val="28"/>
          <w:szCs w:val="28"/>
          <w:lang w:eastAsia="zh-CN"/>
        </w:rPr>
        <w:t>。</w:t>
      </w:r>
    </w:p>
    <w:p>
      <w:pPr>
        <w:keepNext w:val="0"/>
        <w:keepLines w:val="0"/>
        <w:pageBreakBefore w:val="0"/>
        <w:widowControl/>
        <w:shd w:val="clear" w:color="auto" w:fill="FFFFFF"/>
        <w:kinsoku/>
        <w:wordWrap/>
        <w:overflowPunct/>
        <w:topLinePunct w:val="0"/>
        <w:autoSpaceDE/>
        <w:autoSpaceDN/>
        <w:bidi w:val="0"/>
        <w:adjustRightInd/>
        <w:snapToGrid/>
        <w:ind w:firstLine="560" w:firstLineChars="200"/>
        <w:jc w:val="left"/>
        <w:textAlignment w:val="auto"/>
        <w:rPr>
          <w:rFonts w:hint="eastAsia" w:ascii="宋体" w:hAnsi="宋体" w:cs="宋体"/>
          <w:sz w:val="28"/>
          <w:szCs w:val="28"/>
        </w:rPr>
      </w:pPr>
      <w:r>
        <w:rPr>
          <w:rFonts w:hint="eastAsia" w:ascii="宋体" w:hAnsi="宋体" w:cs="宋体"/>
          <w:sz w:val="28"/>
          <w:szCs w:val="28"/>
          <w:lang w:val="en-US" w:eastAsia="zh-CN"/>
        </w:rPr>
        <w:t>2</w:t>
      </w:r>
      <w:r>
        <w:rPr>
          <w:rFonts w:hint="eastAsia" w:ascii="宋体" w:hAnsi="宋体" w:cs="宋体"/>
          <w:sz w:val="28"/>
          <w:szCs w:val="28"/>
        </w:rPr>
        <w:t>、收入支出结构分析</w:t>
      </w:r>
    </w:p>
    <w:p>
      <w:pPr>
        <w:keepNext w:val="0"/>
        <w:keepLines w:val="0"/>
        <w:pageBreakBefore w:val="0"/>
        <w:widowControl/>
        <w:shd w:val="clear" w:color="auto" w:fill="FFFFFF"/>
        <w:kinsoku/>
        <w:wordWrap/>
        <w:overflowPunct/>
        <w:topLinePunct w:val="0"/>
        <w:autoSpaceDE/>
        <w:autoSpaceDN/>
        <w:bidi w:val="0"/>
        <w:adjustRightInd/>
        <w:snapToGrid/>
        <w:ind w:firstLine="560" w:firstLineChars="200"/>
        <w:jc w:val="left"/>
        <w:textAlignment w:val="auto"/>
        <w:rPr>
          <w:rFonts w:hint="eastAsia" w:ascii="宋体" w:hAnsi="宋体" w:cs="宋体"/>
          <w:sz w:val="28"/>
          <w:szCs w:val="28"/>
        </w:rPr>
      </w:pPr>
      <w:r>
        <w:rPr>
          <w:rFonts w:hint="eastAsia" w:ascii="宋体" w:hAnsi="宋体" w:cs="宋体"/>
          <w:sz w:val="28"/>
          <w:szCs w:val="28"/>
        </w:rPr>
        <w:t>2018年全年总收入5493490.22元,其中财拨款决算收入5493490.22元(一般公共服务收入4648490.22元，节能环保收入845000元),其它收入0元</w:t>
      </w:r>
      <w:r>
        <w:rPr>
          <w:rFonts w:hint="eastAsia" w:ascii="宋体" w:hAnsi="宋体" w:cs="宋体"/>
          <w:sz w:val="28"/>
          <w:szCs w:val="28"/>
          <w:lang w:eastAsia="zh-CN"/>
        </w:rPr>
        <w:t>；</w:t>
      </w:r>
      <w:r>
        <w:rPr>
          <w:rFonts w:hint="eastAsia" w:ascii="宋体" w:hAnsi="宋体" w:cs="宋体"/>
          <w:sz w:val="28"/>
          <w:szCs w:val="28"/>
        </w:rPr>
        <w:t>2018年全年总支出5493490.22元,其中财拨款决算支出5493490.22元(一般公共服务支出4648490.22元，节能环保支出845000元),其它支出0元</w:t>
      </w:r>
      <w:r>
        <w:rPr>
          <w:rFonts w:hint="eastAsia" w:ascii="宋体" w:hAnsi="宋体" w:cs="宋体"/>
          <w:sz w:val="28"/>
          <w:szCs w:val="28"/>
          <w:lang w:eastAsia="zh-CN"/>
        </w:rPr>
        <w:t>；</w:t>
      </w:r>
      <w:r>
        <w:rPr>
          <w:rFonts w:hint="eastAsia" w:ascii="宋体" w:hAnsi="宋体" w:cs="宋体"/>
          <w:sz w:val="28"/>
          <w:szCs w:val="28"/>
        </w:rPr>
        <w:t>支出按以下分类说明：</w:t>
      </w:r>
    </w:p>
    <w:p>
      <w:pPr>
        <w:keepNext w:val="0"/>
        <w:keepLines w:val="0"/>
        <w:pageBreakBefore w:val="0"/>
        <w:widowControl/>
        <w:shd w:val="clear" w:color="auto" w:fill="FFFFFF"/>
        <w:kinsoku/>
        <w:wordWrap/>
        <w:overflowPunct/>
        <w:topLinePunct w:val="0"/>
        <w:autoSpaceDE/>
        <w:autoSpaceDN/>
        <w:bidi w:val="0"/>
        <w:adjustRightInd/>
        <w:snapToGrid/>
        <w:ind w:firstLine="560" w:firstLineChars="200"/>
        <w:jc w:val="left"/>
        <w:textAlignment w:val="auto"/>
        <w:rPr>
          <w:rFonts w:hint="eastAsia" w:ascii="宋体" w:hAnsi="宋体" w:cs="宋体"/>
          <w:sz w:val="28"/>
          <w:szCs w:val="28"/>
        </w:rPr>
      </w:pPr>
      <w:r>
        <w:rPr>
          <w:rFonts w:hint="eastAsia" w:ascii="宋体" w:hAnsi="宋体" w:cs="宋体"/>
          <w:sz w:val="28"/>
          <w:szCs w:val="28"/>
          <w:lang w:eastAsia="zh-CN"/>
        </w:rPr>
        <w:t>①</w:t>
      </w:r>
      <w:r>
        <w:rPr>
          <w:rFonts w:hint="eastAsia" w:ascii="宋体" w:hAnsi="宋体" w:cs="宋体"/>
          <w:sz w:val="28"/>
          <w:szCs w:val="28"/>
        </w:rPr>
        <w:t>支出功能分类：总支出5493490.22元;其中政府办公厅（室）及相关机构事务支出4648490.22元，其他环境监测与监察支出845000元。</w:t>
      </w:r>
    </w:p>
    <w:p>
      <w:pPr>
        <w:keepNext w:val="0"/>
        <w:keepLines w:val="0"/>
        <w:pageBreakBefore w:val="0"/>
        <w:widowControl/>
        <w:shd w:val="clear" w:color="auto" w:fill="FFFFFF"/>
        <w:kinsoku/>
        <w:wordWrap/>
        <w:overflowPunct/>
        <w:topLinePunct w:val="0"/>
        <w:autoSpaceDE/>
        <w:autoSpaceDN/>
        <w:bidi w:val="0"/>
        <w:adjustRightInd/>
        <w:snapToGrid/>
        <w:ind w:firstLine="560" w:firstLineChars="200"/>
        <w:jc w:val="left"/>
        <w:textAlignment w:val="auto"/>
        <w:rPr>
          <w:rFonts w:hint="eastAsia" w:ascii="宋体" w:hAnsi="宋体" w:cs="宋体"/>
          <w:sz w:val="28"/>
          <w:szCs w:val="28"/>
        </w:rPr>
      </w:pPr>
      <w:r>
        <w:rPr>
          <w:rFonts w:hint="eastAsia" w:ascii="宋体" w:hAnsi="宋体" w:cs="宋体"/>
          <w:sz w:val="28"/>
          <w:szCs w:val="28"/>
          <w:lang w:eastAsia="zh-CN"/>
        </w:rPr>
        <w:t>②</w:t>
      </w:r>
      <w:r>
        <w:rPr>
          <w:rFonts w:hint="eastAsia" w:ascii="宋体" w:hAnsi="宋体" w:cs="宋体"/>
          <w:sz w:val="28"/>
          <w:szCs w:val="28"/>
        </w:rPr>
        <w:t xml:space="preserve">支出性质分类：总支出5493490.22元，其中人员经费3314555.10元，公用经费2178935.12元; </w:t>
      </w:r>
    </w:p>
    <w:p>
      <w:pPr>
        <w:keepNext w:val="0"/>
        <w:keepLines w:val="0"/>
        <w:pageBreakBefore w:val="0"/>
        <w:widowControl/>
        <w:shd w:val="clear" w:color="auto" w:fill="FFFFFF"/>
        <w:kinsoku/>
        <w:wordWrap/>
        <w:overflowPunct/>
        <w:topLinePunct w:val="0"/>
        <w:autoSpaceDE/>
        <w:autoSpaceDN/>
        <w:bidi w:val="0"/>
        <w:adjustRightInd/>
        <w:snapToGrid/>
        <w:ind w:firstLine="560" w:firstLineChars="200"/>
        <w:jc w:val="left"/>
        <w:textAlignment w:val="auto"/>
        <w:rPr>
          <w:rFonts w:hint="eastAsia" w:ascii="宋体" w:hAnsi="宋体" w:cs="宋体"/>
          <w:sz w:val="28"/>
          <w:szCs w:val="28"/>
        </w:rPr>
      </w:pPr>
      <w:r>
        <w:rPr>
          <w:rFonts w:hint="eastAsia" w:ascii="宋体" w:hAnsi="宋体" w:cs="宋体"/>
          <w:sz w:val="28"/>
          <w:szCs w:val="28"/>
          <w:lang w:eastAsia="zh-CN"/>
        </w:rPr>
        <w:t>③</w:t>
      </w:r>
      <w:r>
        <w:rPr>
          <w:rFonts w:hint="eastAsia" w:ascii="宋体" w:hAnsi="宋体" w:cs="宋体"/>
          <w:sz w:val="28"/>
          <w:szCs w:val="28"/>
        </w:rPr>
        <w:t>支出经济分类：总支出5493490.22元，其中工资福利支出 3314555.10元，商品服务支出2061659.12元，对个人和家庭的补助支出 0元，其它资本性支出 117276元。</w:t>
      </w:r>
    </w:p>
    <w:p>
      <w:pPr>
        <w:keepNext w:val="0"/>
        <w:keepLines w:val="0"/>
        <w:pageBreakBefore w:val="0"/>
        <w:widowControl/>
        <w:shd w:val="clear" w:color="auto" w:fill="FFFFFF"/>
        <w:kinsoku/>
        <w:wordWrap/>
        <w:overflowPunct/>
        <w:topLinePunct w:val="0"/>
        <w:autoSpaceDE/>
        <w:autoSpaceDN/>
        <w:bidi w:val="0"/>
        <w:adjustRightInd/>
        <w:snapToGrid/>
        <w:ind w:firstLine="560" w:firstLineChars="200"/>
        <w:jc w:val="left"/>
        <w:textAlignment w:val="auto"/>
        <w:rPr>
          <w:rFonts w:hint="eastAsia" w:ascii="宋体" w:hAnsi="宋体" w:cs="宋体"/>
          <w:sz w:val="28"/>
          <w:szCs w:val="28"/>
        </w:rPr>
      </w:pPr>
      <w:r>
        <w:rPr>
          <w:rFonts w:hint="eastAsia" w:ascii="宋体" w:hAnsi="宋体" w:cs="宋体"/>
          <w:sz w:val="28"/>
          <w:szCs w:val="28"/>
        </w:rPr>
        <w:t>3、支出按经济分类科目分析</w:t>
      </w:r>
    </w:p>
    <w:p>
      <w:pPr>
        <w:keepNext w:val="0"/>
        <w:keepLines w:val="0"/>
        <w:pageBreakBefore w:val="0"/>
        <w:widowControl/>
        <w:shd w:val="clear" w:color="auto" w:fill="FFFFFF"/>
        <w:kinsoku/>
        <w:wordWrap/>
        <w:overflowPunct/>
        <w:topLinePunct w:val="0"/>
        <w:autoSpaceDE/>
        <w:autoSpaceDN/>
        <w:bidi w:val="0"/>
        <w:adjustRightInd/>
        <w:snapToGrid/>
        <w:ind w:firstLine="560" w:firstLineChars="200"/>
        <w:jc w:val="left"/>
        <w:textAlignment w:val="auto"/>
        <w:rPr>
          <w:rFonts w:hint="eastAsia" w:ascii="宋体" w:hAnsi="宋体" w:cs="宋体"/>
          <w:sz w:val="28"/>
          <w:szCs w:val="28"/>
        </w:rPr>
      </w:pPr>
      <w:r>
        <w:rPr>
          <w:rFonts w:hint="eastAsia" w:ascii="宋体" w:hAnsi="宋体" w:cs="宋体"/>
          <w:sz w:val="28"/>
          <w:szCs w:val="28"/>
        </w:rPr>
        <w:t>2018年全年总支出5493490.22元，其中工资福利支出 3314555.10元，商品服务支出2061659.12元，对个人和家庭的补助支出 0元，其它资本性支出 117276元。</w:t>
      </w:r>
    </w:p>
    <w:p>
      <w:pPr>
        <w:keepNext w:val="0"/>
        <w:keepLines w:val="0"/>
        <w:pageBreakBefore w:val="0"/>
        <w:widowControl/>
        <w:shd w:val="clear" w:color="auto" w:fill="FFFFFF"/>
        <w:kinsoku/>
        <w:wordWrap/>
        <w:overflowPunct/>
        <w:topLinePunct w:val="0"/>
        <w:autoSpaceDE/>
        <w:autoSpaceDN/>
        <w:bidi w:val="0"/>
        <w:adjustRightInd/>
        <w:snapToGrid/>
        <w:ind w:firstLine="562" w:firstLineChars="200"/>
        <w:jc w:val="left"/>
        <w:textAlignment w:val="auto"/>
        <w:rPr>
          <w:rFonts w:hint="eastAsia" w:ascii="宋体" w:hAnsi="宋体" w:cs="宋体"/>
          <w:b/>
          <w:bCs/>
          <w:sz w:val="28"/>
          <w:szCs w:val="28"/>
        </w:rPr>
      </w:pPr>
      <w:r>
        <w:rPr>
          <w:rFonts w:hint="eastAsia" w:ascii="宋体" w:hAnsi="宋体" w:cs="宋体"/>
          <w:b/>
          <w:bCs/>
          <w:sz w:val="28"/>
          <w:szCs w:val="28"/>
          <w:lang w:eastAsia="zh-CN"/>
        </w:rPr>
        <w:t>（二）</w:t>
      </w:r>
      <w:r>
        <w:rPr>
          <w:rFonts w:hint="eastAsia" w:ascii="宋体" w:hAnsi="宋体" w:cs="宋体"/>
          <w:b/>
          <w:bCs/>
          <w:sz w:val="28"/>
          <w:szCs w:val="28"/>
        </w:rPr>
        <w:t xml:space="preserve">关于“三公”经费支出说明 </w:t>
      </w:r>
    </w:p>
    <w:p>
      <w:pPr>
        <w:keepNext w:val="0"/>
        <w:keepLines w:val="0"/>
        <w:pageBreakBefore w:val="0"/>
        <w:widowControl/>
        <w:shd w:val="clear" w:color="auto" w:fill="FFFFFF"/>
        <w:kinsoku/>
        <w:wordWrap/>
        <w:overflowPunct/>
        <w:topLinePunct w:val="0"/>
        <w:autoSpaceDE/>
        <w:autoSpaceDN/>
        <w:bidi w:val="0"/>
        <w:adjustRightInd/>
        <w:snapToGrid/>
        <w:ind w:firstLine="560" w:firstLineChars="200"/>
        <w:jc w:val="left"/>
        <w:textAlignment w:val="auto"/>
        <w:rPr>
          <w:rFonts w:hint="eastAsia" w:ascii="宋体" w:hAnsi="宋体" w:cs="宋体"/>
          <w:sz w:val="28"/>
          <w:szCs w:val="28"/>
          <w:lang w:eastAsia="zh-CN"/>
        </w:rPr>
      </w:pPr>
      <w:r>
        <w:rPr>
          <w:rFonts w:hint="eastAsia" w:ascii="宋体" w:hAnsi="宋体" w:cs="宋体"/>
          <w:sz w:val="28"/>
          <w:szCs w:val="28"/>
        </w:rPr>
        <w:t>2018年决算公务车运行维护费22320.79元，预算数为22320.79万元；2018年决算公务接待数为1250元，预算数为1250元</w:t>
      </w:r>
      <w:r>
        <w:rPr>
          <w:rFonts w:hint="eastAsia" w:ascii="宋体" w:hAnsi="宋体" w:cs="宋体"/>
          <w:sz w:val="28"/>
          <w:szCs w:val="28"/>
          <w:lang w:eastAsia="zh-CN"/>
        </w:rPr>
        <w:t>，接待相关人员</w:t>
      </w:r>
      <w:r>
        <w:rPr>
          <w:rFonts w:hint="eastAsia" w:ascii="宋体" w:hAnsi="宋体" w:cs="宋体"/>
          <w:sz w:val="28"/>
          <w:szCs w:val="28"/>
          <w:lang w:val="en-US" w:eastAsia="zh-CN"/>
        </w:rPr>
        <w:t>2批次，</w:t>
      </w:r>
      <w:r>
        <w:rPr>
          <w:rFonts w:hint="eastAsia" w:ascii="宋体" w:hAnsi="宋体" w:cs="宋体"/>
          <w:sz w:val="28"/>
          <w:szCs w:val="28"/>
          <w:lang w:eastAsia="zh-CN"/>
        </w:rPr>
        <w:t>共计</w:t>
      </w:r>
      <w:r>
        <w:rPr>
          <w:rFonts w:hint="eastAsia" w:ascii="宋体" w:hAnsi="宋体" w:cs="宋体"/>
          <w:sz w:val="28"/>
          <w:szCs w:val="28"/>
          <w:lang w:val="en-US" w:eastAsia="zh-CN"/>
        </w:rPr>
        <w:t>16人</w:t>
      </w:r>
      <w:r>
        <w:rPr>
          <w:rFonts w:hint="eastAsia" w:ascii="宋体" w:hAnsi="宋体" w:cs="宋体"/>
          <w:sz w:val="28"/>
          <w:szCs w:val="28"/>
        </w:rPr>
        <w:t>；</w:t>
      </w:r>
      <w:bookmarkStart w:id="0" w:name="_GoBack"/>
      <w:bookmarkEnd w:id="0"/>
      <w:r>
        <w:rPr>
          <w:rFonts w:hint="eastAsia" w:ascii="宋体" w:hAnsi="宋体" w:cs="宋体"/>
          <w:sz w:val="28"/>
          <w:szCs w:val="28"/>
        </w:rPr>
        <w:t>2018年因公出国（境）费为0元，预算数为0元。2017年决算公务车运行维护费42084.42元，预算数为42084.42万元； 2017年决算公务接待数为2559元，预算数为2559元；2017年因公出国（境）费为0元，预算数为0元</w:t>
      </w:r>
      <w:r>
        <w:rPr>
          <w:rFonts w:hint="eastAsia" w:ascii="宋体" w:hAnsi="宋体" w:cs="宋体"/>
          <w:sz w:val="28"/>
          <w:szCs w:val="28"/>
          <w:lang w:eastAsia="zh-CN"/>
        </w:rPr>
        <w:t>。</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jc w:val="left"/>
        <w:textAlignment w:val="auto"/>
        <w:rPr>
          <w:rFonts w:hint="eastAsia" w:ascii="宋体" w:hAnsi="宋体" w:cs="宋体"/>
          <w:b/>
          <w:bCs/>
          <w:sz w:val="28"/>
          <w:szCs w:val="28"/>
        </w:rPr>
      </w:pPr>
      <w:r>
        <w:rPr>
          <w:rFonts w:hint="eastAsia" w:ascii="宋体" w:hAnsi="宋体" w:cs="宋体"/>
          <w:b/>
          <w:bCs/>
          <w:sz w:val="28"/>
          <w:szCs w:val="28"/>
          <w:lang w:eastAsia="zh-CN"/>
        </w:rPr>
        <w:t>（三）</w:t>
      </w:r>
      <w:r>
        <w:rPr>
          <w:rFonts w:hint="eastAsia" w:ascii="宋体" w:hAnsi="宋体" w:cs="宋体"/>
          <w:b/>
          <w:bCs/>
          <w:sz w:val="28"/>
          <w:szCs w:val="28"/>
        </w:rPr>
        <w:t>关于机关运行经费支出说明</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ind w:firstLine="560" w:firstLineChars="200"/>
        <w:jc w:val="left"/>
        <w:textAlignment w:val="auto"/>
        <w:rPr>
          <w:rFonts w:hint="eastAsia" w:ascii="宋体" w:hAnsi="宋体" w:cs="宋体"/>
          <w:sz w:val="28"/>
          <w:szCs w:val="28"/>
        </w:rPr>
      </w:pPr>
      <w:r>
        <w:rPr>
          <w:rFonts w:hint="eastAsia" w:ascii="宋体" w:hAnsi="宋体" w:cs="宋体"/>
          <w:sz w:val="28"/>
          <w:szCs w:val="28"/>
        </w:rPr>
        <w:t>2018年机关运行经费支出2178935.12元, 2017年机关运行经费支出2051149.28元,同比上年增加127785.84元，同比上年增加6.23%，原因是黄石港区政府办公室业务量增加。</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jc w:val="left"/>
        <w:textAlignment w:val="auto"/>
        <w:rPr>
          <w:rFonts w:hint="eastAsia" w:ascii="宋体" w:hAnsi="宋体" w:cs="宋体"/>
          <w:b/>
          <w:bCs/>
          <w:sz w:val="28"/>
          <w:szCs w:val="28"/>
        </w:rPr>
      </w:pPr>
      <w:r>
        <w:rPr>
          <w:rFonts w:hint="eastAsia" w:ascii="宋体" w:hAnsi="宋体" w:cs="宋体"/>
          <w:b/>
          <w:bCs/>
          <w:sz w:val="28"/>
          <w:szCs w:val="28"/>
          <w:lang w:eastAsia="zh-CN"/>
        </w:rPr>
        <w:t>（四）</w:t>
      </w:r>
      <w:r>
        <w:rPr>
          <w:rFonts w:hint="eastAsia" w:ascii="宋体" w:hAnsi="宋体" w:cs="宋体"/>
          <w:b/>
          <w:bCs/>
          <w:sz w:val="28"/>
          <w:szCs w:val="28"/>
        </w:rPr>
        <w:t>关于政府采购支出说明</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ind w:leftChars="0" w:firstLine="560" w:firstLineChars="200"/>
        <w:jc w:val="left"/>
        <w:textAlignment w:val="auto"/>
        <w:rPr>
          <w:rFonts w:hint="eastAsia" w:ascii="宋体" w:hAnsi="宋体" w:cs="宋体"/>
          <w:sz w:val="28"/>
          <w:szCs w:val="28"/>
        </w:rPr>
      </w:pPr>
      <w:r>
        <w:rPr>
          <w:rFonts w:hint="eastAsia" w:ascii="宋体" w:hAnsi="宋体" w:cs="宋体"/>
          <w:sz w:val="28"/>
          <w:szCs w:val="28"/>
        </w:rPr>
        <w:t>2018年，政府采购总支出48100元，其中政府采购货物支出48100元，政府采购工程支出0元，政府采购服务支出0元。</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jc w:val="left"/>
        <w:textAlignment w:val="auto"/>
        <w:rPr>
          <w:rFonts w:hint="eastAsia" w:ascii="宋体" w:hAnsi="宋体" w:cs="宋体"/>
          <w:b/>
          <w:bCs/>
          <w:sz w:val="28"/>
          <w:szCs w:val="28"/>
        </w:rPr>
      </w:pPr>
      <w:r>
        <w:rPr>
          <w:rFonts w:hint="eastAsia" w:ascii="宋体" w:hAnsi="宋体" w:cs="宋体"/>
          <w:b/>
          <w:bCs/>
          <w:sz w:val="28"/>
          <w:szCs w:val="28"/>
          <w:lang w:eastAsia="zh-CN"/>
        </w:rPr>
        <w:t>（五）</w:t>
      </w:r>
      <w:r>
        <w:rPr>
          <w:rFonts w:hint="eastAsia" w:ascii="宋体" w:hAnsi="宋体" w:cs="宋体"/>
          <w:b/>
          <w:bCs/>
          <w:sz w:val="28"/>
          <w:szCs w:val="28"/>
        </w:rPr>
        <w:t>关于国有资产占用情况说明</w:t>
      </w:r>
    </w:p>
    <w:p>
      <w:pPr>
        <w:keepNext w:val="0"/>
        <w:keepLines w:val="0"/>
        <w:pageBreakBefore w:val="0"/>
        <w:widowControl/>
        <w:shd w:val="clear" w:color="auto" w:fill="FFFFFF"/>
        <w:kinsoku/>
        <w:wordWrap/>
        <w:overflowPunct/>
        <w:topLinePunct w:val="0"/>
        <w:autoSpaceDE/>
        <w:autoSpaceDN/>
        <w:bidi w:val="0"/>
        <w:adjustRightInd/>
        <w:snapToGrid/>
        <w:ind w:firstLine="560" w:firstLineChars="200"/>
        <w:jc w:val="left"/>
        <w:textAlignment w:val="auto"/>
        <w:rPr>
          <w:rFonts w:hint="eastAsia" w:ascii="宋体" w:hAnsi="宋体" w:cs="宋体"/>
          <w:sz w:val="28"/>
          <w:szCs w:val="28"/>
        </w:rPr>
      </w:pPr>
      <w:r>
        <w:rPr>
          <w:rFonts w:hint="eastAsia" w:ascii="宋体" w:hAnsi="宋体" w:cs="宋体"/>
          <w:sz w:val="28"/>
          <w:szCs w:val="28"/>
        </w:rPr>
        <w:t>截至2018年12月31日，本单位共有车辆0辆，其中正县级主要领导干部用车1辆，一般公务用车0辆，一般执法执勤用车0辆，特种专业技术用车0辆，其它用车0辆， 2018年与2017年用车对比没有增减变化；本单位价值50万元以上通用设备0台；本单位价值100万元以上专用设备0台。</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jc w:val="left"/>
        <w:textAlignment w:val="auto"/>
        <w:rPr>
          <w:rFonts w:hint="eastAsia" w:ascii="宋体" w:hAnsi="宋体" w:cs="宋体"/>
          <w:b/>
          <w:bCs/>
          <w:sz w:val="28"/>
          <w:szCs w:val="28"/>
          <w:lang w:val="en-US" w:eastAsia="zh-CN"/>
        </w:rPr>
      </w:pPr>
      <w:r>
        <w:rPr>
          <w:rFonts w:hint="eastAsia" w:ascii="宋体" w:hAnsi="宋体" w:cs="宋体"/>
          <w:b/>
          <w:bCs/>
          <w:sz w:val="28"/>
          <w:szCs w:val="28"/>
          <w:lang w:val="en-US" w:eastAsia="zh-CN"/>
        </w:rPr>
        <w:t>（六）重点绩效评价结果等预算绩效情况说明</w:t>
      </w:r>
    </w:p>
    <w:p>
      <w:pPr>
        <w:keepNext w:val="0"/>
        <w:keepLines w:val="0"/>
        <w:pageBreakBefore w:val="0"/>
        <w:widowControl/>
        <w:shd w:val="clear" w:color="auto" w:fill="FFFFFF"/>
        <w:kinsoku/>
        <w:wordWrap/>
        <w:overflowPunct/>
        <w:topLinePunct w:val="0"/>
        <w:autoSpaceDE/>
        <w:autoSpaceDN/>
        <w:bidi w:val="0"/>
        <w:adjustRightInd/>
        <w:snapToGrid/>
        <w:ind w:firstLine="560" w:firstLineChars="200"/>
        <w:jc w:val="left"/>
        <w:textAlignment w:val="auto"/>
        <w:rPr>
          <w:rFonts w:hint="eastAsia" w:ascii="宋体" w:hAnsi="宋体" w:cs="宋体"/>
          <w:sz w:val="28"/>
          <w:szCs w:val="28"/>
          <w:lang w:val="en-US" w:eastAsia="zh-CN"/>
        </w:rPr>
      </w:pPr>
      <w:r>
        <w:rPr>
          <w:rFonts w:hint="eastAsia" w:ascii="宋体" w:hAnsi="宋体" w:cs="宋体"/>
          <w:sz w:val="28"/>
          <w:szCs w:val="28"/>
          <w:lang w:val="en-US" w:eastAsia="zh-CN"/>
        </w:rPr>
        <w:t>2018年， 根据预算绩效管理要求，我单位组织2018年度一般公共预算项目支出全面开展绩效自评，共涉及项目6个，资金29万元。 2018年项目资金投入29万元，已使用29万元，使用率100%。使用从评价结果看，项目立项程序完整、规范，预算执行及时、有效，绩效目标得到较好实现，绩效管理水平不断提高，绩效指标体系建设逐渐丰富和完善。</w:t>
      </w:r>
    </w:p>
    <w:p>
      <w:pPr>
        <w:spacing w:line="560" w:lineRule="exact"/>
        <w:ind w:firstLine="568" w:firstLineChars="200"/>
        <w:rPr>
          <w:rFonts w:hint="eastAsia" w:asciiTheme="minorEastAsia" w:hAnsiTheme="minorEastAsia" w:eastAsiaTheme="minorEastAsia" w:cstheme="minorEastAsia"/>
          <w:color w:val="000000"/>
          <w:spacing w:val="2"/>
          <w:sz w:val="28"/>
          <w:szCs w:val="28"/>
        </w:rPr>
      </w:pPr>
    </w:p>
    <w:p>
      <w:pPr>
        <w:keepNext w:val="0"/>
        <w:keepLines w:val="0"/>
        <w:pageBreakBefore w:val="0"/>
        <w:widowControl/>
        <w:shd w:val="clear" w:color="auto" w:fill="FFFFFF"/>
        <w:kinsoku/>
        <w:wordWrap/>
        <w:overflowPunct/>
        <w:topLinePunct w:val="0"/>
        <w:autoSpaceDE/>
        <w:autoSpaceDN/>
        <w:bidi w:val="0"/>
        <w:adjustRightInd/>
        <w:snapToGrid/>
        <w:ind w:firstLine="560" w:firstLineChars="200"/>
        <w:jc w:val="left"/>
        <w:textAlignment w:val="auto"/>
        <w:rPr>
          <w:rFonts w:hint="eastAsia" w:ascii="宋体" w:hAnsi="宋体" w:cs="宋体"/>
          <w:sz w:val="28"/>
          <w:szCs w:val="28"/>
        </w:rPr>
      </w:pPr>
    </w:p>
    <w:p>
      <w:pPr>
        <w:widowControl/>
        <w:shd w:val="clear" w:color="auto" w:fill="FFFFFF"/>
        <w:ind w:firstLine="480"/>
        <w:jc w:val="left"/>
        <w:rPr>
          <w:rFonts w:hint="eastAsia" w:ascii="宋体" w:hAnsi="宋体" w:cs="宋体"/>
          <w:sz w:val="28"/>
          <w:szCs w:val="28"/>
        </w:rPr>
      </w:pPr>
      <w:r>
        <w:rPr>
          <w:rFonts w:hint="eastAsia" w:ascii="宋体" w:hAnsi="宋体" w:cs="宋体"/>
          <w:sz w:val="28"/>
          <w:szCs w:val="28"/>
        </w:rPr>
        <w:t xml:space="preserve">      </w:t>
      </w:r>
    </w:p>
    <w:p>
      <w:pPr>
        <w:widowControl/>
        <w:shd w:val="clear" w:color="auto" w:fill="FFFFFF"/>
        <w:ind w:firstLine="480"/>
        <w:jc w:val="left"/>
        <w:rPr>
          <w:rFonts w:hint="eastAsia" w:ascii="宋体" w:hAnsi="宋体" w:cs="宋体"/>
          <w:sz w:val="28"/>
          <w:szCs w:val="28"/>
        </w:rPr>
      </w:pPr>
    </w:p>
    <w:p>
      <w:pPr>
        <w:widowControl/>
        <w:shd w:val="clear" w:color="auto" w:fill="FFFFFF"/>
        <w:ind w:firstLine="480"/>
        <w:jc w:val="left"/>
        <w:rPr>
          <w:rFonts w:hint="eastAsia" w:ascii="宋体" w:hAnsi="宋体" w:cs="宋体"/>
          <w:sz w:val="28"/>
          <w:szCs w:val="28"/>
        </w:rPr>
      </w:pPr>
    </w:p>
    <w:p>
      <w:pPr>
        <w:widowControl/>
        <w:shd w:val="clear" w:color="auto" w:fill="FFFFFF"/>
        <w:ind w:firstLine="240" w:firstLineChars="100"/>
        <w:jc w:val="left"/>
        <w:rPr>
          <w:rFonts w:hint="eastAsia" w:ascii="微软雅黑" w:hAnsi="微软雅黑" w:eastAsia="微软雅黑" w:cs="微软雅黑"/>
          <w:b/>
          <w:bCs/>
          <w:sz w:val="24"/>
          <w:szCs w:val="24"/>
        </w:rPr>
      </w:pPr>
      <w:r>
        <w:rPr>
          <w:rFonts w:hint="eastAsia" w:ascii="微软雅黑" w:hAnsi="微软雅黑" w:eastAsia="微软雅黑" w:cs="微软雅黑"/>
          <w:b/>
          <w:bCs/>
          <w:sz w:val="24"/>
          <w:szCs w:val="24"/>
        </w:rPr>
        <w:t>第四部分：名词解释</w:t>
      </w:r>
    </w:p>
    <w:p>
      <w:pPr>
        <w:keepNext w:val="0"/>
        <w:keepLines w:val="0"/>
        <w:pageBreakBefore w:val="0"/>
        <w:widowControl/>
        <w:shd w:val="clear" w:color="auto" w:fill="FFFFFF"/>
        <w:kinsoku/>
        <w:wordWrap/>
        <w:overflowPunct/>
        <w:topLinePunct w:val="0"/>
        <w:autoSpaceDE/>
        <w:autoSpaceDN/>
        <w:bidi w:val="0"/>
        <w:adjustRightInd/>
        <w:snapToGrid/>
        <w:ind w:firstLine="560" w:firstLineChars="200"/>
        <w:jc w:val="left"/>
        <w:textAlignment w:val="auto"/>
        <w:rPr>
          <w:rFonts w:hint="eastAsia" w:ascii="宋体" w:hAnsi="宋体" w:cs="宋体"/>
          <w:sz w:val="28"/>
          <w:szCs w:val="28"/>
        </w:rPr>
      </w:pPr>
      <w:r>
        <w:rPr>
          <w:rFonts w:hint="eastAsia" w:ascii="宋体" w:hAnsi="宋体" w:cs="宋体"/>
          <w:sz w:val="28"/>
          <w:szCs w:val="28"/>
        </w:rPr>
        <w:t>（一）财政拨款（补助）：指省级财政当年拨付的资金。</w:t>
      </w:r>
    </w:p>
    <w:p>
      <w:pPr>
        <w:keepNext w:val="0"/>
        <w:keepLines w:val="0"/>
        <w:pageBreakBefore w:val="0"/>
        <w:widowControl/>
        <w:shd w:val="clear" w:color="auto" w:fill="FFFFFF"/>
        <w:kinsoku/>
        <w:wordWrap/>
        <w:overflowPunct/>
        <w:topLinePunct w:val="0"/>
        <w:autoSpaceDE/>
        <w:autoSpaceDN/>
        <w:bidi w:val="0"/>
        <w:adjustRightInd/>
        <w:snapToGrid/>
        <w:ind w:firstLine="560" w:firstLineChars="200"/>
        <w:jc w:val="left"/>
        <w:textAlignment w:val="auto"/>
        <w:rPr>
          <w:rFonts w:hint="eastAsia" w:ascii="宋体" w:hAnsi="宋体" w:cs="宋体"/>
          <w:sz w:val="28"/>
          <w:szCs w:val="28"/>
        </w:rPr>
      </w:pPr>
      <w:r>
        <w:rPr>
          <w:rFonts w:hint="eastAsia" w:ascii="宋体" w:hAnsi="宋体" w:cs="宋体"/>
          <w:sz w:val="28"/>
          <w:szCs w:val="28"/>
        </w:rPr>
        <w:t xml:space="preserve">（二）事业收入：指事业单位开展专业业务活动及其辅助活动取得的收入。 </w:t>
      </w:r>
    </w:p>
    <w:p>
      <w:pPr>
        <w:keepNext w:val="0"/>
        <w:keepLines w:val="0"/>
        <w:pageBreakBefore w:val="0"/>
        <w:widowControl/>
        <w:shd w:val="clear" w:color="auto" w:fill="FFFFFF"/>
        <w:kinsoku/>
        <w:wordWrap/>
        <w:overflowPunct/>
        <w:topLinePunct w:val="0"/>
        <w:autoSpaceDE/>
        <w:autoSpaceDN/>
        <w:bidi w:val="0"/>
        <w:adjustRightInd/>
        <w:snapToGrid/>
        <w:ind w:firstLine="560" w:firstLineChars="200"/>
        <w:jc w:val="left"/>
        <w:textAlignment w:val="auto"/>
        <w:rPr>
          <w:rFonts w:hint="eastAsia" w:ascii="宋体" w:hAnsi="宋体" w:cs="宋体"/>
          <w:sz w:val="28"/>
          <w:szCs w:val="28"/>
        </w:rPr>
      </w:pPr>
      <w:r>
        <w:rPr>
          <w:rFonts w:hint="eastAsia" w:ascii="宋体" w:hAnsi="宋体" w:cs="宋体"/>
          <w:sz w:val="28"/>
          <w:szCs w:val="28"/>
        </w:rPr>
        <w:t xml:space="preserve">（三）其他收入：指预算单位在“财政拨款补助收入”、“事业收入”、“经营收入”以外取得的收入。 </w:t>
      </w:r>
    </w:p>
    <w:p>
      <w:pPr>
        <w:keepNext w:val="0"/>
        <w:keepLines w:val="0"/>
        <w:pageBreakBefore w:val="0"/>
        <w:widowControl/>
        <w:shd w:val="clear" w:color="auto" w:fill="FFFFFF"/>
        <w:kinsoku/>
        <w:wordWrap/>
        <w:overflowPunct/>
        <w:topLinePunct w:val="0"/>
        <w:autoSpaceDE/>
        <w:autoSpaceDN/>
        <w:bidi w:val="0"/>
        <w:adjustRightInd/>
        <w:snapToGrid/>
        <w:ind w:firstLine="560" w:firstLineChars="200"/>
        <w:jc w:val="left"/>
        <w:textAlignment w:val="auto"/>
        <w:rPr>
          <w:rFonts w:hint="eastAsia" w:ascii="宋体" w:hAnsi="宋体" w:cs="宋体"/>
          <w:sz w:val="28"/>
          <w:szCs w:val="28"/>
        </w:rPr>
      </w:pPr>
      <w:r>
        <w:rPr>
          <w:rFonts w:hint="eastAsia" w:ascii="宋体" w:hAnsi="宋体" w:cs="宋体"/>
          <w:sz w:val="28"/>
          <w:szCs w:val="28"/>
        </w:rPr>
        <w:t xml:space="preserve">（四）上年结转：指以前年度尚未完成、结转到本年仍按原规定用途继续使用的资金。 </w:t>
      </w:r>
    </w:p>
    <w:p>
      <w:pPr>
        <w:keepNext w:val="0"/>
        <w:keepLines w:val="0"/>
        <w:pageBreakBefore w:val="0"/>
        <w:widowControl/>
        <w:shd w:val="clear" w:color="auto" w:fill="FFFFFF"/>
        <w:kinsoku/>
        <w:wordWrap/>
        <w:overflowPunct/>
        <w:topLinePunct w:val="0"/>
        <w:autoSpaceDE/>
        <w:autoSpaceDN/>
        <w:bidi w:val="0"/>
        <w:adjustRightInd/>
        <w:snapToGrid/>
        <w:ind w:firstLine="560" w:firstLineChars="200"/>
        <w:jc w:val="left"/>
        <w:textAlignment w:val="auto"/>
        <w:rPr>
          <w:rFonts w:hint="eastAsia" w:ascii="宋体" w:hAnsi="宋体" w:cs="宋体"/>
          <w:sz w:val="28"/>
          <w:szCs w:val="28"/>
        </w:rPr>
      </w:pPr>
      <w:r>
        <w:rPr>
          <w:rFonts w:hint="eastAsia" w:ascii="宋体" w:hAnsi="宋体" w:cs="宋体"/>
          <w:sz w:val="28"/>
          <w:szCs w:val="28"/>
        </w:rPr>
        <w:t xml:space="preserve">（五）基本支出：指为保障机构正常运转、完成日常工作任务而发生的人员支出和公用支出。 </w:t>
      </w:r>
    </w:p>
    <w:p>
      <w:pPr>
        <w:keepNext w:val="0"/>
        <w:keepLines w:val="0"/>
        <w:pageBreakBefore w:val="0"/>
        <w:widowControl/>
        <w:shd w:val="clear" w:color="auto" w:fill="FFFFFF"/>
        <w:kinsoku/>
        <w:wordWrap/>
        <w:overflowPunct/>
        <w:topLinePunct w:val="0"/>
        <w:autoSpaceDE/>
        <w:autoSpaceDN/>
        <w:bidi w:val="0"/>
        <w:adjustRightInd/>
        <w:snapToGrid/>
        <w:ind w:firstLine="560" w:firstLineChars="200"/>
        <w:jc w:val="left"/>
        <w:textAlignment w:val="auto"/>
        <w:rPr>
          <w:rFonts w:hint="eastAsia" w:ascii="宋体" w:hAnsi="宋体" w:cs="宋体"/>
          <w:sz w:val="28"/>
          <w:szCs w:val="28"/>
        </w:rPr>
      </w:pPr>
      <w:r>
        <w:rPr>
          <w:rFonts w:hint="eastAsia" w:ascii="宋体" w:hAnsi="宋体" w:cs="宋体"/>
          <w:sz w:val="28"/>
          <w:szCs w:val="28"/>
        </w:rPr>
        <w:t>（六）项目支出：指为完成特定的行政工作任务或事业发展目标，在基本支出之外发生的各项支出。</w:t>
      </w:r>
    </w:p>
    <w:p>
      <w:pPr>
        <w:keepNext w:val="0"/>
        <w:keepLines w:val="0"/>
        <w:pageBreakBefore w:val="0"/>
        <w:widowControl/>
        <w:shd w:val="clear" w:color="auto" w:fill="FFFFFF"/>
        <w:kinsoku/>
        <w:wordWrap/>
        <w:overflowPunct/>
        <w:topLinePunct w:val="0"/>
        <w:autoSpaceDE/>
        <w:autoSpaceDN/>
        <w:bidi w:val="0"/>
        <w:adjustRightInd/>
        <w:snapToGrid/>
        <w:ind w:firstLine="560" w:firstLineChars="200"/>
        <w:jc w:val="left"/>
        <w:textAlignment w:val="auto"/>
        <w:rPr>
          <w:rFonts w:hint="eastAsia" w:ascii="宋体" w:hAnsi="宋体" w:cs="宋体"/>
          <w:sz w:val="28"/>
          <w:szCs w:val="28"/>
        </w:rPr>
      </w:pPr>
      <w:r>
        <w:rPr>
          <w:rFonts w:hint="eastAsia" w:ascii="宋体" w:hAnsi="宋体" w:cs="宋体"/>
          <w:sz w:val="28"/>
          <w:szCs w:val="28"/>
        </w:rPr>
        <w:t>（七）“三公”经费：指用财政拨款安排的因公出国（境）费、公务接待费和公务用车购置及运行费。其中，因公出国（境）费，指单位工作人员公务出国（境）的住宿费、旅费、伙食补助费、杂费、培训费等支出；公务接待费，指单位按规定开支的各类公务接待（含外宾接待）支出。公务用车购置及运行费，指单位公务用车购置及租用费、燃料费、维修费、过路过桥费、保险费、安全奖励费用等支出。</w:t>
      </w:r>
    </w:p>
    <w:p>
      <w:pPr>
        <w:keepNext w:val="0"/>
        <w:keepLines w:val="0"/>
        <w:pageBreakBefore w:val="0"/>
        <w:widowControl/>
        <w:shd w:val="clear" w:color="auto" w:fill="FFFFFF"/>
        <w:kinsoku/>
        <w:wordWrap/>
        <w:overflowPunct/>
        <w:topLinePunct w:val="0"/>
        <w:autoSpaceDE/>
        <w:autoSpaceDN/>
        <w:bidi w:val="0"/>
        <w:adjustRightInd/>
        <w:snapToGrid/>
        <w:ind w:firstLine="560" w:firstLineChars="200"/>
        <w:jc w:val="left"/>
        <w:textAlignment w:val="auto"/>
        <w:rPr>
          <w:rFonts w:ascii="仿宋" w:hAnsi="仿宋" w:eastAsia="仿宋"/>
          <w:sz w:val="28"/>
          <w:szCs w:val="28"/>
        </w:rPr>
      </w:pPr>
      <w:r>
        <w:rPr>
          <w:rFonts w:hint="eastAsia" w:ascii="宋体" w:hAnsi="宋体" w:cs="宋体"/>
          <w:sz w:val="28"/>
          <w:szCs w:val="28"/>
        </w:rPr>
        <w:t>（八）行政运行（项）：指机关和实行公务员法管理事业单位用于保障机构正常运转的基本支出。</w:t>
      </w:r>
    </w:p>
    <w:sectPr>
      <w:pgSz w:w="16838" w:h="11906" w:orient="landscape"/>
      <w:pgMar w:top="1803" w:right="1440" w:bottom="1803" w:left="1440" w:header="851" w:footer="992" w:gutter="0"/>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方正大标宋简体">
    <w:altName w:val="微软雅黑"/>
    <w:panose1 w:val="03000509000000000000"/>
    <w:charset w:val="86"/>
    <w:family w:val="script"/>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5361613"/>
    <w:multiLevelType w:val="singleLevel"/>
    <w:tmpl w:val="F5361613"/>
    <w:lvl w:ilvl="0" w:tentative="0">
      <w:start w:val="1"/>
      <w:numFmt w:val="chineseCounting"/>
      <w:lvlText w:val="(%1)"/>
      <w:lvlJc w:val="left"/>
      <w:pPr>
        <w:tabs>
          <w:tab w:val="left" w:pos="312"/>
        </w:tabs>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embedSystemFonts/>
  <w:bordersDoNotSurroundHeader w:val="0"/>
  <w:bordersDoNotSurroundFooter w:val="0"/>
  <w:documentProtection w:enforcement="0"/>
  <w:defaultTabStop w:val="420"/>
  <w:drawingGridVerticalSpacing w:val="159"/>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6CF"/>
    <w:rsid w:val="00005B9B"/>
    <w:rsid w:val="0000651E"/>
    <w:rsid w:val="00026BBE"/>
    <w:rsid w:val="00044A56"/>
    <w:rsid w:val="00075A05"/>
    <w:rsid w:val="000769F3"/>
    <w:rsid w:val="00077711"/>
    <w:rsid w:val="000B6266"/>
    <w:rsid w:val="000E4746"/>
    <w:rsid w:val="001221E2"/>
    <w:rsid w:val="001315A2"/>
    <w:rsid w:val="0013589B"/>
    <w:rsid w:val="00142039"/>
    <w:rsid w:val="001426AA"/>
    <w:rsid w:val="00144C7F"/>
    <w:rsid w:val="0015317D"/>
    <w:rsid w:val="00165FB8"/>
    <w:rsid w:val="001960C9"/>
    <w:rsid w:val="001B2FE2"/>
    <w:rsid w:val="001B61CA"/>
    <w:rsid w:val="001C7B83"/>
    <w:rsid w:val="00204CCE"/>
    <w:rsid w:val="00206408"/>
    <w:rsid w:val="002147B8"/>
    <w:rsid w:val="00281F8B"/>
    <w:rsid w:val="002B604D"/>
    <w:rsid w:val="002B6FB1"/>
    <w:rsid w:val="002E0EF8"/>
    <w:rsid w:val="002F4ACB"/>
    <w:rsid w:val="002F5A91"/>
    <w:rsid w:val="003503AD"/>
    <w:rsid w:val="00375C9B"/>
    <w:rsid w:val="00386814"/>
    <w:rsid w:val="003E2222"/>
    <w:rsid w:val="003F000E"/>
    <w:rsid w:val="004174ED"/>
    <w:rsid w:val="00441363"/>
    <w:rsid w:val="00447102"/>
    <w:rsid w:val="004926E0"/>
    <w:rsid w:val="005259C6"/>
    <w:rsid w:val="00541336"/>
    <w:rsid w:val="00585130"/>
    <w:rsid w:val="005C52E6"/>
    <w:rsid w:val="005C7533"/>
    <w:rsid w:val="005F46CF"/>
    <w:rsid w:val="00614076"/>
    <w:rsid w:val="0069389A"/>
    <w:rsid w:val="006D7114"/>
    <w:rsid w:val="00741E9D"/>
    <w:rsid w:val="007745A4"/>
    <w:rsid w:val="007A1855"/>
    <w:rsid w:val="007B05C3"/>
    <w:rsid w:val="007B2845"/>
    <w:rsid w:val="007B57D6"/>
    <w:rsid w:val="007C52DA"/>
    <w:rsid w:val="00822503"/>
    <w:rsid w:val="008255CC"/>
    <w:rsid w:val="0084742A"/>
    <w:rsid w:val="008631B2"/>
    <w:rsid w:val="0086787E"/>
    <w:rsid w:val="00880EB9"/>
    <w:rsid w:val="008D4DA0"/>
    <w:rsid w:val="008D6631"/>
    <w:rsid w:val="008E1C06"/>
    <w:rsid w:val="008E73C6"/>
    <w:rsid w:val="00915D29"/>
    <w:rsid w:val="00956BE1"/>
    <w:rsid w:val="00995270"/>
    <w:rsid w:val="009D23B9"/>
    <w:rsid w:val="009D2CC4"/>
    <w:rsid w:val="00A15845"/>
    <w:rsid w:val="00A426B5"/>
    <w:rsid w:val="00A641F6"/>
    <w:rsid w:val="00AB01E0"/>
    <w:rsid w:val="00AC51EA"/>
    <w:rsid w:val="00AD14D3"/>
    <w:rsid w:val="00B01437"/>
    <w:rsid w:val="00B0309F"/>
    <w:rsid w:val="00B27BCF"/>
    <w:rsid w:val="00B308A7"/>
    <w:rsid w:val="00B604AF"/>
    <w:rsid w:val="00BB65C2"/>
    <w:rsid w:val="00BD47FC"/>
    <w:rsid w:val="00BD4911"/>
    <w:rsid w:val="00BF26C7"/>
    <w:rsid w:val="00C72D4D"/>
    <w:rsid w:val="00D216E2"/>
    <w:rsid w:val="00D314E9"/>
    <w:rsid w:val="00D455CB"/>
    <w:rsid w:val="00D62588"/>
    <w:rsid w:val="00D76A03"/>
    <w:rsid w:val="00D8128E"/>
    <w:rsid w:val="00D92A28"/>
    <w:rsid w:val="00DB6E53"/>
    <w:rsid w:val="00DC5E55"/>
    <w:rsid w:val="00DE71CF"/>
    <w:rsid w:val="00DF258A"/>
    <w:rsid w:val="00E27F4C"/>
    <w:rsid w:val="00E7386D"/>
    <w:rsid w:val="00E921C6"/>
    <w:rsid w:val="00EB3881"/>
    <w:rsid w:val="00F248D3"/>
    <w:rsid w:val="00F51CB9"/>
    <w:rsid w:val="00F6558A"/>
    <w:rsid w:val="00F8025E"/>
    <w:rsid w:val="00FC2D77"/>
    <w:rsid w:val="0664587B"/>
    <w:rsid w:val="07D93913"/>
    <w:rsid w:val="0E836A5F"/>
    <w:rsid w:val="12196932"/>
    <w:rsid w:val="14005EAC"/>
    <w:rsid w:val="16C345ED"/>
    <w:rsid w:val="228A65CA"/>
    <w:rsid w:val="255E033E"/>
    <w:rsid w:val="289C3E82"/>
    <w:rsid w:val="2C203A0A"/>
    <w:rsid w:val="31BE75AC"/>
    <w:rsid w:val="32BD01BE"/>
    <w:rsid w:val="38203263"/>
    <w:rsid w:val="3C2D5DD2"/>
    <w:rsid w:val="3E6A6D99"/>
    <w:rsid w:val="46D55864"/>
    <w:rsid w:val="478E1DDE"/>
    <w:rsid w:val="4BD97939"/>
    <w:rsid w:val="59017E06"/>
    <w:rsid w:val="692B2102"/>
    <w:rsid w:val="6AD65F51"/>
    <w:rsid w:val="70A32328"/>
    <w:rsid w:val="746766E2"/>
    <w:rsid w:val="76C86538"/>
    <w:rsid w:val="78186405"/>
    <w:rsid w:val="7ED07D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5"/>
    <w:basedOn w:val="1"/>
    <w:next w:val="1"/>
    <w:semiHidden/>
    <w:unhideWhenUsed/>
    <w:qFormat/>
    <w:uiPriority w:val="0"/>
    <w:pPr>
      <w:spacing w:beforeAutospacing="1" w:afterAutospacing="1"/>
      <w:jc w:val="left"/>
      <w:outlineLvl w:val="4"/>
    </w:pPr>
    <w:rPr>
      <w:rFonts w:hint="eastAsia" w:ascii="宋体" w:hAnsi="宋体" w:eastAsia="宋体" w:cs="Times New Roman"/>
      <w:b/>
      <w:kern w:val="0"/>
      <w:sz w:val="20"/>
      <w:szCs w:val="20"/>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Plain Text"/>
    <w:basedOn w:val="1"/>
    <w:qFormat/>
    <w:uiPriority w:val="0"/>
    <w:rPr>
      <w:rFonts w:ascii="宋体" w:hAnsi="Courier New" w:cs="Courier New"/>
      <w:szCs w:val="21"/>
    </w:rPr>
  </w:style>
  <w:style w:type="paragraph" w:styleId="4">
    <w:name w:val="Balloon Text"/>
    <w:basedOn w:val="1"/>
    <w:link w:val="16"/>
    <w:qFormat/>
    <w:uiPriority w:val="0"/>
    <w:rPr>
      <w:sz w:val="18"/>
      <w:szCs w:val="18"/>
    </w:rPr>
  </w:style>
  <w:style w:type="paragraph" w:styleId="5">
    <w:name w:val="footer"/>
    <w:basedOn w:val="1"/>
    <w:link w:val="15"/>
    <w:qFormat/>
    <w:uiPriority w:val="0"/>
    <w:pPr>
      <w:tabs>
        <w:tab w:val="center" w:pos="4153"/>
        <w:tab w:val="right" w:pos="8306"/>
      </w:tabs>
      <w:snapToGrid w:val="0"/>
      <w:jc w:val="left"/>
    </w:pPr>
    <w:rPr>
      <w:sz w:val="18"/>
      <w:szCs w:val="18"/>
    </w:rPr>
  </w:style>
  <w:style w:type="paragraph" w:styleId="6">
    <w:name w:val="header"/>
    <w:basedOn w:val="1"/>
    <w:link w:val="14"/>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Autospacing="1" w:afterAutospacing="1"/>
      <w:jc w:val="left"/>
    </w:pPr>
    <w:rPr>
      <w:rFonts w:cs="Times New Roman"/>
      <w:kern w:val="0"/>
      <w:sz w:val="24"/>
    </w:rPr>
  </w:style>
  <w:style w:type="character" w:styleId="10">
    <w:name w:val="Strong"/>
    <w:basedOn w:val="9"/>
    <w:qFormat/>
    <w:uiPriority w:val="0"/>
    <w:rPr>
      <w:b/>
    </w:rPr>
  </w:style>
  <w:style w:type="paragraph" w:customStyle="1" w:styleId="11">
    <w:name w:val="正文缩进 + 首行缩进:  2 字符"/>
    <w:basedOn w:val="1"/>
    <w:qFormat/>
    <w:uiPriority w:val="0"/>
    <w:pPr>
      <w:spacing w:line="560" w:lineRule="exact"/>
      <w:ind w:firstLine="640"/>
    </w:pPr>
    <w:rPr>
      <w:rFonts w:ascii="仿宋" w:hAnsi="仿宋" w:cs="宋体"/>
      <w:sz w:val="32"/>
      <w:szCs w:val="32"/>
    </w:rPr>
  </w:style>
  <w:style w:type="character" w:customStyle="1" w:styleId="12">
    <w:name w:val="ca-2"/>
    <w:basedOn w:val="9"/>
    <w:qFormat/>
    <w:uiPriority w:val="0"/>
  </w:style>
  <w:style w:type="paragraph" w:customStyle="1" w:styleId="13">
    <w:name w:val="普通(网站)1"/>
    <w:basedOn w:val="1"/>
    <w:qFormat/>
    <w:uiPriority w:val="0"/>
    <w:pPr>
      <w:widowControl/>
      <w:spacing w:before="100" w:beforeAutospacing="1" w:after="100" w:afterAutospacing="1"/>
      <w:jc w:val="left"/>
    </w:pPr>
    <w:rPr>
      <w:rFonts w:ascii="宋体" w:hAnsi="宋体" w:cs="宋体"/>
      <w:kern w:val="0"/>
      <w:sz w:val="24"/>
    </w:rPr>
  </w:style>
  <w:style w:type="character" w:customStyle="1" w:styleId="14">
    <w:name w:val="页眉 Char"/>
    <w:basedOn w:val="9"/>
    <w:link w:val="6"/>
    <w:qFormat/>
    <w:uiPriority w:val="0"/>
    <w:rPr>
      <w:rFonts w:asciiTheme="minorHAnsi" w:hAnsiTheme="minorHAnsi" w:eastAsiaTheme="minorEastAsia" w:cstheme="minorBidi"/>
      <w:kern w:val="2"/>
      <w:sz w:val="18"/>
      <w:szCs w:val="18"/>
    </w:rPr>
  </w:style>
  <w:style w:type="character" w:customStyle="1" w:styleId="15">
    <w:name w:val="页脚 Char"/>
    <w:basedOn w:val="9"/>
    <w:link w:val="5"/>
    <w:qFormat/>
    <w:uiPriority w:val="0"/>
    <w:rPr>
      <w:rFonts w:asciiTheme="minorHAnsi" w:hAnsiTheme="minorHAnsi" w:eastAsiaTheme="minorEastAsia" w:cstheme="minorBidi"/>
      <w:kern w:val="2"/>
      <w:sz w:val="18"/>
      <w:szCs w:val="18"/>
    </w:rPr>
  </w:style>
  <w:style w:type="character" w:customStyle="1" w:styleId="16">
    <w:name w:val="批注框文本 Char"/>
    <w:basedOn w:val="9"/>
    <w:link w:val="4"/>
    <w:qFormat/>
    <w:uiPriority w:val="0"/>
    <w:rPr>
      <w:rFonts w:asciiTheme="minorHAnsi" w:hAnsiTheme="minorHAnsi" w:eastAsiaTheme="minorEastAsia" w:cstheme="minorBidi"/>
      <w:kern w:val="2"/>
      <w:sz w:val="18"/>
      <w:szCs w:val="18"/>
    </w:rPr>
  </w:style>
  <w:style w:type="paragraph" w:customStyle="1" w:styleId="17">
    <w:name w:val="Normal (Web)"/>
    <w:basedOn w:val="1"/>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D33CF3F-6615-4121-9674-E668502BF2C4}">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Pages>
  <Words>673</Words>
  <Characters>3841</Characters>
  <Lines>32</Lines>
  <Paragraphs>9</Paragraphs>
  <TotalTime>0</TotalTime>
  <ScaleCrop>false</ScaleCrop>
  <LinksUpToDate>false</LinksUpToDate>
  <CharactersWithSpaces>4505</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gg</dc:creator>
  <cp:lastModifiedBy>盼</cp:lastModifiedBy>
  <dcterms:modified xsi:type="dcterms:W3CDTF">2021-05-26T09:52:00Z</dcterms:modified>
  <cp:revision>66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