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政府办</w:t>
      </w:r>
      <w:r>
        <w:rPr>
          <w:rFonts w:ascii="微软雅黑" w:hAnsi="微软雅黑" w:eastAsia="微软雅黑" w:cs="微软雅黑"/>
          <w:color w:val="BC1010"/>
          <w:sz w:val="40"/>
          <w:szCs w:val="40"/>
          <w:shd w:val="clear" w:color="auto" w:fill="FFFFFF"/>
        </w:rPr>
        <w:t>202</w:t>
      </w:r>
      <w:r>
        <w:rPr>
          <w:rFonts w:hint="eastAsia" w:ascii="微软雅黑" w:hAnsi="微软雅黑" w:eastAsia="微软雅黑" w:cs="微软雅黑"/>
          <w:color w:val="BC1010"/>
          <w:sz w:val="40"/>
          <w:szCs w:val="40"/>
          <w:shd w:val="clear" w:color="auto" w:fill="FFFFFF"/>
          <w:lang w:val="en-US" w:eastAsia="zh-CN"/>
        </w:rPr>
        <w:t>1</w:t>
      </w:r>
      <w:r>
        <w:rPr>
          <w:rFonts w:hint="eastAsia" w:ascii="微软雅黑" w:hAnsi="微软雅黑" w:eastAsia="微软雅黑" w:cs="微软雅黑"/>
          <w:color w:val="BC1010"/>
          <w:sz w:val="40"/>
          <w:szCs w:val="40"/>
          <w:shd w:val="clear" w:color="auto" w:fill="FFFFFF"/>
        </w:rPr>
        <w:t>年决算公开</w:t>
      </w:r>
    </w:p>
    <w:p>
      <w:pPr>
        <w:pStyle w:val="9"/>
        <w:widowControl/>
        <w:spacing w:before="76" w:beforeAutospacing="0" w:after="76" w:afterAutospacing="0" w:line="450" w:lineRule="atLeast"/>
        <w:ind w:firstLine="420"/>
        <w:jc w:val="center"/>
        <w:rPr>
          <w:rStyle w:val="12"/>
          <w:rFonts w:hint="eastAsia" w:ascii="微软雅黑" w:hAnsi="微软雅黑" w:eastAsia="微软雅黑" w:cs="微软雅黑"/>
          <w:color w:val="333333"/>
          <w:shd w:val="clear" w:color="auto" w:fill="FFFFFF"/>
        </w:rPr>
      </w:pPr>
      <w:r>
        <w:rPr>
          <w:rStyle w:val="12"/>
          <w:rFonts w:hint="eastAsia" w:ascii="微软雅黑" w:hAnsi="微软雅黑" w:eastAsia="微软雅黑" w:cs="微软雅黑"/>
          <w:color w:val="333333"/>
          <w:shd w:val="clear" w:color="auto" w:fill="FFFFFF"/>
        </w:rPr>
        <w:t>黄石港区政府办202</w:t>
      </w:r>
      <w:r>
        <w:rPr>
          <w:rStyle w:val="12"/>
          <w:rFonts w:hint="eastAsia" w:ascii="微软雅黑" w:hAnsi="微软雅黑" w:eastAsia="微软雅黑" w:cs="微软雅黑"/>
          <w:color w:val="333333"/>
          <w:shd w:val="clear" w:color="auto" w:fill="FFFFFF"/>
          <w:lang w:val="en-US" w:eastAsia="zh-CN"/>
        </w:rPr>
        <w:t>1</w:t>
      </w:r>
      <w:r>
        <w:rPr>
          <w:rStyle w:val="12"/>
          <w:rFonts w:hint="eastAsia" w:ascii="微软雅黑" w:hAnsi="微软雅黑" w:eastAsia="微软雅黑" w:cs="微软雅黑"/>
          <w:color w:val="333333"/>
          <w:shd w:val="clear" w:color="auto" w:fill="FFFFFF"/>
        </w:rPr>
        <w:t>年决算公开</w:t>
      </w:r>
    </w:p>
    <w:p>
      <w:pPr>
        <w:pStyle w:val="9"/>
        <w:widowControl/>
        <w:spacing w:before="76" w:beforeAutospacing="0" w:after="76" w:afterAutospacing="0" w:line="450" w:lineRule="atLeast"/>
        <w:ind w:firstLine="420"/>
        <w:jc w:val="center"/>
        <w:rPr>
          <w:rFonts w:ascii="仿宋" w:hAnsi="仿宋" w:eastAsia="仿宋"/>
          <w:color w:val="333333"/>
          <w:sz w:val="30"/>
          <w:szCs w:val="30"/>
        </w:rPr>
      </w:pPr>
      <w:r>
        <w:rPr>
          <w:rFonts w:hint="eastAsia" w:ascii="仿宋" w:hAnsi="仿宋" w:eastAsia="仿宋" w:cs="微软雅黑"/>
          <w:color w:val="333333"/>
          <w:sz w:val="30"/>
          <w:szCs w:val="30"/>
          <w:shd w:val="clear" w:color="auto" w:fill="FFFFFF"/>
        </w:rPr>
        <w:t>目</w:t>
      </w:r>
      <w:r>
        <w:rPr>
          <w:rFonts w:ascii="仿宋" w:hAnsi="仿宋" w:eastAsia="仿宋" w:cs="微软雅黑"/>
          <w:color w:val="333333"/>
          <w:sz w:val="30"/>
          <w:szCs w:val="30"/>
          <w:shd w:val="clear" w:color="auto" w:fill="FFFFFF"/>
        </w:rPr>
        <w:t xml:space="preserve"> </w:t>
      </w:r>
      <w:r>
        <w:rPr>
          <w:rFonts w:ascii="微软雅黑" w:hAnsi="微软雅黑" w:eastAsia="仿宋" w:cs="微软雅黑"/>
          <w:color w:val="333333"/>
          <w:sz w:val="30"/>
          <w:szCs w:val="30"/>
          <w:shd w:val="clear" w:color="auto" w:fill="FFFFFF"/>
        </w:rPr>
        <w:t> </w:t>
      </w:r>
      <w:r>
        <w:rPr>
          <w:rFonts w:hint="eastAsia" w:ascii="仿宋" w:hAnsi="仿宋" w:eastAsia="仿宋" w:cs="微软雅黑"/>
          <w:color w:val="333333"/>
          <w:sz w:val="30"/>
          <w:szCs w:val="30"/>
          <w:shd w:val="clear" w:color="auto" w:fill="FFFFFF"/>
        </w:rPr>
        <w:t>录</w:t>
      </w:r>
    </w:p>
    <w:p>
      <w:pPr>
        <w:pStyle w:val="22"/>
        <w:spacing w:before="76" w:beforeAutospacing="0" w:after="76" w:afterAutospacing="0" w:line="450" w:lineRule="atLeast"/>
        <w:ind w:firstLine="420"/>
        <w:rPr>
          <w:rFonts w:hint="eastAsia" w:ascii="仿宋" w:hAnsi="仿宋" w:eastAsia="仿宋" w:cs="仿宋"/>
          <w:b/>
          <w:color w:val="333333"/>
          <w:sz w:val="30"/>
          <w:szCs w:val="30"/>
        </w:rPr>
      </w:pPr>
      <w:r>
        <w:rPr>
          <w:rFonts w:hint="eastAsia" w:ascii="仿宋" w:hAnsi="仿宋" w:eastAsia="仿宋" w:cs="仿宋"/>
          <w:b/>
          <w:color w:val="333333"/>
          <w:sz w:val="30"/>
          <w:szCs w:val="30"/>
          <w:shd w:val="clear" w:color="090000" w:fill="FFFFFF"/>
        </w:rPr>
        <w:t>第一部分:部门基本情况</w:t>
      </w:r>
    </w:p>
    <w:p>
      <w:pPr>
        <w:pStyle w:val="22"/>
        <w:spacing w:before="76" w:beforeAutospacing="0" w:after="76" w:afterAutospacing="0" w:line="450" w:lineRule="atLeast"/>
        <w:ind w:firstLine="420"/>
        <w:rPr>
          <w:rFonts w:hint="eastAsia" w:ascii="仿宋" w:hAnsi="仿宋" w:eastAsia="仿宋" w:cs="仿宋"/>
          <w:color w:val="333333"/>
          <w:sz w:val="30"/>
          <w:szCs w:val="30"/>
        </w:rPr>
      </w:pPr>
      <w:r>
        <w:rPr>
          <w:rFonts w:hint="eastAsia" w:ascii="仿宋" w:hAnsi="仿宋" w:eastAsia="仿宋" w:cs="仿宋"/>
          <w:color w:val="333333"/>
          <w:sz w:val="30"/>
          <w:szCs w:val="30"/>
          <w:shd w:val="clear" w:color="090000" w:fill="FFFFFF"/>
        </w:rPr>
        <w:t>一、部门主要职责</w:t>
      </w:r>
    </w:p>
    <w:p>
      <w:pPr>
        <w:pStyle w:val="22"/>
        <w:spacing w:before="76" w:beforeAutospacing="0" w:after="76" w:afterAutospacing="0" w:line="450" w:lineRule="atLeast"/>
        <w:ind w:firstLine="420"/>
        <w:rPr>
          <w:rFonts w:hint="eastAsia" w:ascii="仿宋" w:hAnsi="仿宋" w:eastAsia="仿宋" w:cs="仿宋"/>
          <w:color w:val="333333"/>
          <w:sz w:val="30"/>
          <w:szCs w:val="30"/>
          <w:shd w:val="clear" w:color="090000" w:fill="FFFFFF"/>
        </w:rPr>
      </w:pPr>
      <w:r>
        <w:rPr>
          <w:rFonts w:hint="eastAsia" w:ascii="仿宋" w:hAnsi="仿宋" w:eastAsia="仿宋" w:cs="仿宋"/>
          <w:color w:val="333333"/>
          <w:sz w:val="30"/>
          <w:szCs w:val="30"/>
          <w:shd w:val="clear" w:color="090000" w:fill="FFFFFF"/>
        </w:rPr>
        <w:t>二、部门决算单位构成</w:t>
      </w:r>
    </w:p>
    <w:p>
      <w:pPr>
        <w:pStyle w:val="22"/>
        <w:spacing w:before="76" w:beforeAutospacing="0" w:after="76" w:afterAutospacing="0" w:line="450" w:lineRule="atLeast"/>
        <w:ind w:firstLine="420"/>
        <w:rPr>
          <w:rFonts w:hint="eastAsia" w:ascii="仿宋" w:hAnsi="仿宋" w:eastAsia="仿宋" w:cs="仿宋"/>
          <w:color w:val="333333"/>
          <w:sz w:val="30"/>
          <w:szCs w:val="30"/>
          <w:shd w:val="clear" w:color="090000" w:fill="FFFFFF"/>
        </w:rPr>
      </w:pPr>
      <w:r>
        <w:rPr>
          <w:rFonts w:hint="eastAsia" w:ascii="仿宋" w:hAnsi="仿宋" w:eastAsia="仿宋" w:cs="仿宋"/>
          <w:color w:val="333333"/>
          <w:sz w:val="30"/>
          <w:szCs w:val="30"/>
          <w:shd w:val="clear" w:color="090000" w:fill="FFFFFF"/>
          <w:lang w:eastAsia="zh-CN"/>
        </w:rPr>
        <w:t>三、</w:t>
      </w:r>
      <w:r>
        <w:rPr>
          <w:rFonts w:hint="eastAsia" w:ascii="仿宋" w:hAnsi="仿宋" w:eastAsia="仿宋" w:cs="仿宋"/>
          <w:color w:val="333333"/>
          <w:sz w:val="30"/>
          <w:szCs w:val="30"/>
          <w:shd w:val="clear" w:color="090000" w:fill="FFFFFF"/>
        </w:rPr>
        <w:t>当年取得的主要事业成效</w:t>
      </w:r>
    </w:p>
    <w:p>
      <w:pPr>
        <w:pStyle w:val="22"/>
        <w:spacing w:before="76" w:beforeAutospacing="0" w:after="76" w:afterAutospacing="0" w:line="450" w:lineRule="atLeast"/>
        <w:ind w:firstLine="301" w:firstLineChars="100"/>
        <w:rPr>
          <w:rFonts w:hint="eastAsia" w:ascii="仿宋" w:hAnsi="仿宋" w:eastAsia="仿宋" w:cs="仿宋"/>
          <w:b/>
          <w:color w:val="333333"/>
          <w:sz w:val="30"/>
          <w:szCs w:val="30"/>
        </w:rPr>
      </w:pPr>
      <w:r>
        <w:rPr>
          <w:rFonts w:hint="eastAsia" w:ascii="仿宋" w:hAnsi="仿宋" w:eastAsia="仿宋" w:cs="仿宋"/>
          <w:b/>
          <w:color w:val="333333"/>
          <w:sz w:val="30"/>
          <w:szCs w:val="30"/>
          <w:shd w:val="clear" w:color="090000" w:fill="FFFFFF"/>
        </w:rPr>
        <w:t>第二部分: 部门202</w:t>
      </w:r>
      <w:r>
        <w:rPr>
          <w:rFonts w:hint="eastAsia" w:ascii="仿宋" w:hAnsi="仿宋" w:eastAsia="仿宋" w:cs="仿宋"/>
          <w:b/>
          <w:color w:val="333333"/>
          <w:sz w:val="30"/>
          <w:szCs w:val="30"/>
          <w:shd w:val="clear" w:color="090000" w:fill="FFFFFF"/>
          <w:lang w:val="en-US" w:eastAsia="zh-CN"/>
        </w:rPr>
        <w:t>1</w:t>
      </w:r>
      <w:r>
        <w:rPr>
          <w:rFonts w:hint="eastAsia" w:ascii="仿宋" w:hAnsi="仿宋" w:eastAsia="仿宋" w:cs="仿宋"/>
          <w:b/>
          <w:color w:val="333333"/>
          <w:sz w:val="30"/>
          <w:szCs w:val="30"/>
          <w:shd w:val="clear" w:color="090000" w:fill="FFFFFF"/>
        </w:rPr>
        <w:t>年部门决算表</w:t>
      </w:r>
    </w:p>
    <w:p>
      <w:pPr>
        <w:pStyle w:val="22"/>
        <w:spacing w:before="76" w:beforeAutospacing="0" w:after="76" w:afterAutospacing="0" w:line="450" w:lineRule="atLeast"/>
        <w:ind w:firstLine="420"/>
        <w:rPr>
          <w:rFonts w:hint="eastAsia" w:ascii="仿宋" w:hAnsi="仿宋" w:eastAsia="仿宋" w:cs="仿宋"/>
          <w:color w:val="333333"/>
          <w:sz w:val="30"/>
          <w:szCs w:val="30"/>
        </w:rPr>
      </w:pPr>
      <w:r>
        <w:rPr>
          <w:rFonts w:hint="eastAsia" w:ascii="仿宋" w:hAnsi="仿宋" w:eastAsia="仿宋" w:cs="仿宋"/>
          <w:color w:val="333333"/>
          <w:sz w:val="30"/>
          <w:szCs w:val="30"/>
          <w:shd w:val="clear" w:color="090000" w:fill="FFFFFF"/>
        </w:rPr>
        <w:t>一、收入支出决算表（表1）</w:t>
      </w:r>
    </w:p>
    <w:p>
      <w:pPr>
        <w:pStyle w:val="22"/>
        <w:spacing w:before="76" w:beforeAutospacing="0" w:after="76" w:afterAutospacing="0" w:line="450" w:lineRule="atLeast"/>
        <w:ind w:firstLine="420"/>
        <w:rPr>
          <w:rFonts w:hint="eastAsia" w:ascii="仿宋" w:hAnsi="仿宋" w:eastAsia="仿宋" w:cs="仿宋"/>
          <w:color w:val="333333"/>
          <w:sz w:val="30"/>
          <w:szCs w:val="30"/>
        </w:rPr>
      </w:pPr>
      <w:r>
        <w:rPr>
          <w:rFonts w:hint="eastAsia" w:ascii="仿宋" w:hAnsi="仿宋" w:eastAsia="仿宋" w:cs="仿宋"/>
          <w:color w:val="333333"/>
          <w:sz w:val="30"/>
          <w:szCs w:val="30"/>
          <w:shd w:val="clear" w:color="090000" w:fill="FFFFFF"/>
        </w:rPr>
        <w:t>二、收入决算表（表2）</w:t>
      </w:r>
    </w:p>
    <w:p>
      <w:pPr>
        <w:pStyle w:val="22"/>
        <w:spacing w:before="76" w:beforeAutospacing="0" w:after="76" w:afterAutospacing="0" w:line="450" w:lineRule="atLeast"/>
        <w:ind w:firstLine="420"/>
        <w:rPr>
          <w:rFonts w:hint="eastAsia" w:ascii="仿宋" w:hAnsi="仿宋" w:eastAsia="仿宋" w:cs="仿宋"/>
          <w:color w:val="333333"/>
          <w:sz w:val="30"/>
          <w:szCs w:val="30"/>
        </w:rPr>
      </w:pPr>
      <w:r>
        <w:rPr>
          <w:rFonts w:hint="eastAsia" w:ascii="仿宋" w:hAnsi="仿宋" w:eastAsia="仿宋" w:cs="仿宋"/>
          <w:color w:val="333333"/>
          <w:sz w:val="30"/>
          <w:szCs w:val="30"/>
          <w:shd w:val="clear" w:color="090000" w:fill="FFFFFF"/>
        </w:rPr>
        <w:t>三、支出决算表（表3）</w:t>
      </w:r>
    </w:p>
    <w:p>
      <w:pPr>
        <w:pStyle w:val="22"/>
        <w:spacing w:before="76" w:beforeAutospacing="0" w:after="76" w:afterAutospacing="0" w:line="450" w:lineRule="atLeast"/>
        <w:ind w:firstLine="420"/>
        <w:rPr>
          <w:rFonts w:hint="eastAsia" w:ascii="仿宋" w:hAnsi="仿宋" w:eastAsia="仿宋" w:cs="仿宋"/>
          <w:color w:val="333333"/>
          <w:sz w:val="30"/>
          <w:szCs w:val="30"/>
        </w:rPr>
      </w:pPr>
      <w:r>
        <w:rPr>
          <w:rFonts w:hint="eastAsia" w:ascii="仿宋" w:hAnsi="仿宋" w:eastAsia="仿宋" w:cs="仿宋"/>
          <w:color w:val="333333"/>
          <w:sz w:val="30"/>
          <w:szCs w:val="30"/>
          <w:shd w:val="clear" w:color="090000" w:fill="FFFFFF"/>
        </w:rPr>
        <w:t>四、财政拨款收入支出决算表（表4）</w:t>
      </w:r>
    </w:p>
    <w:p>
      <w:pPr>
        <w:pStyle w:val="22"/>
        <w:spacing w:before="76" w:beforeAutospacing="0" w:after="76" w:afterAutospacing="0" w:line="450" w:lineRule="atLeast"/>
        <w:ind w:firstLine="420"/>
        <w:rPr>
          <w:rFonts w:hint="eastAsia" w:ascii="仿宋" w:hAnsi="仿宋" w:eastAsia="仿宋" w:cs="仿宋"/>
          <w:color w:val="333333"/>
          <w:sz w:val="30"/>
          <w:szCs w:val="30"/>
        </w:rPr>
      </w:pPr>
      <w:r>
        <w:rPr>
          <w:rFonts w:hint="eastAsia" w:ascii="仿宋" w:hAnsi="仿宋" w:eastAsia="仿宋" w:cs="仿宋"/>
          <w:color w:val="333333"/>
          <w:sz w:val="30"/>
          <w:szCs w:val="30"/>
          <w:shd w:val="clear" w:color="090000" w:fill="FFFFFF"/>
        </w:rPr>
        <w:t>五、一般公共预算财政拨款支出决算表（表5）</w:t>
      </w:r>
    </w:p>
    <w:p>
      <w:pPr>
        <w:pStyle w:val="22"/>
        <w:spacing w:before="76" w:beforeAutospacing="0" w:after="76" w:afterAutospacing="0" w:line="450" w:lineRule="atLeast"/>
        <w:ind w:firstLine="420"/>
        <w:rPr>
          <w:rFonts w:hint="eastAsia" w:ascii="仿宋" w:hAnsi="仿宋" w:eastAsia="仿宋" w:cs="仿宋"/>
          <w:color w:val="333333"/>
          <w:sz w:val="30"/>
          <w:szCs w:val="30"/>
          <w:shd w:val="clear" w:color="090000" w:fill="FFFFFF"/>
        </w:rPr>
      </w:pPr>
      <w:r>
        <w:rPr>
          <w:rFonts w:hint="eastAsia" w:ascii="仿宋" w:hAnsi="仿宋" w:eastAsia="仿宋" w:cs="仿宋"/>
          <w:color w:val="333333"/>
          <w:sz w:val="30"/>
          <w:szCs w:val="30"/>
          <w:shd w:val="clear" w:color="090000" w:fill="FFFFFF"/>
        </w:rPr>
        <w:t>六、一般公共预算财政拨款基本支出决算</w:t>
      </w:r>
      <w:r>
        <w:rPr>
          <w:rFonts w:hint="eastAsia" w:ascii="仿宋" w:hAnsi="仿宋" w:eastAsia="仿宋" w:cs="仿宋"/>
          <w:color w:val="333333"/>
          <w:sz w:val="30"/>
          <w:szCs w:val="30"/>
          <w:shd w:val="clear" w:color="090000" w:fill="FFFFFF"/>
          <w:lang w:eastAsia="zh-CN"/>
        </w:rPr>
        <w:t>明细</w:t>
      </w:r>
      <w:r>
        <w:rPr>
          <w:rFonts w:hint="eastAsia" w:ascii="仿宋" w:hAnsi="仿宋" w:eastAsia="仿宋" w:cs="仿宋"/>
          <w:color w:val="333333"/>
          <w:sz w:val="30"/>
          <w:szCs w:val="30"/>
          <w:shd w:val="clear" w:color="090000" w:fill="FFFFFF"/>
        </w:rPr>
        <w:t>表（表6）</w:t>
      </w:r>
    </w:p>
    <w:p>
      <w:pPr>
        <w:pStyle w:val="22"/>
        <w:spacing w:before="76" w:beforeAutospacing="0" w:after="76" w:afterAutospacing="0" w:line="450" w:lineRule="atLeast"/>
        <w:ind w:firstLine="420"/>
        <w:rPr>
          <w:rFonts w:hint="eastAsia" w:ascii="仿宋" w:hAnsi="仿宋" w:eastAsia="仿宋" w:cs="仿宋"/>
          <w:color w:val="333333"/>
          <w:sz w:val="30"/>
          <w:szCs w:val="30"/>
          <w:shd w:val="clear" w:color="090000" w:fill="FFFFFF"/>
        </w:rPr>
      </w:pPr>
      <w:r>
        <w:rPr>
          <w:rFonts w:hint="eastAsia" w:ascii="仿宋" w:hAnsi="仿宋" w:eastAsia="仿宋" w:cs="仿宋"/>
          <w:color w:val="333333"/>
          <w:sz w:val="30"/>
          <w:szCs w:val="30"/>
          <w:shd w:val="clear" w:color="090000" w:fill="FFFFFF"/>
        </w:rPr>
        <w:t>七、一般公共预算财政拨款“三公”经费支出决算表（表7）</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八、政府性基金预算财政拨款收入支出决算表（表8）</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九、国有资本经营预算财政拨款支出决算表(表9)</w:t>
      </w:r>
    </w:p>
    <w:p>
      <w:pPr>
        <w:pStyle w:val="22"/>
        <w:spacing w:before="76" w:beforeAutospacing="0" w:after="76" w:afterAutospacing="0" w:line="450" w:lineRule="atLeast"/>
        <w:ind w:firstLine="301" w:firstLineChars="100"/>
        <w:rPr>
          <w:rFonts w:hint="eastAsia" w:ascii="仿宋" w:hAnsi="仿宋" w:eastAsia="仿宋" w:cs="仿宋"/>
          <w:b/>
          <w:color w:val="333333"/>
          <w:sz w:val="30"/>
          <w:szCs w:val="30"/>
        </w:rPr>
      </w:pPr>
      <w:r>
        <w:rPr>
          <w:rFonts w:hint="eastAsia" w:ascii="仿宋" w:hAnsi="仿宋" w:eastAsia="仿宋" w:cs="仿宋"/>
          <w:b/>
          <w:color w:val="333333"/>
          <w:sz w:val="30"/>
          <w:szCs w:val="30"/>
          <w:shd w:val="clear" w:color="090000" w:fill="FFFFFF"/>
        </w:rPr>
        <w:t>第三部分：部门202</w:t>
      </w:r>
      <w:r>
        <w:rPr>
          <w:rFonts w:hint="eastAsia" w:ascii="仿宋" w:hAnsi="仿宋" w:eastAsia="仿宋" w:cs="仿宋"/>
          <w:b/>
          <w:color w:val="333333"/>
          <w:sz w:val="30"/>
          <w:szCs w:val="30"/>
          <w:shd w:val="clear" w:color="090000" w:fill="FFFFFF"/>
          <w:lang w:val="en-US" w:eastAsia="zh-CN"/>
        </w:rPr>
        <w:t>1</w:t>
      </w:r>
      <w:r>
        <w:rPr>
          <w:rFonts w:hint="eastAsia" w:ascii="仿宋" w:hAnsi="仿宋" w:eastAsia="仿宋" w:cs="仿宋"/>
          <w:b/>
          <w:color w:val="333333"/>
          <w:sz w:val="30"/>
          <w:szCs w:val="30"/>
          <w:shd w:val="clear" w:color="090000" w:fill="FFFFFF"/>
        </w:rPr>
        <w:t>年部门决算情况说明</w:t>
      </w:r>
    </w:p>
    <w:p>
      <w:pPr>
        <w:pStyle w:val="22"/>
        <w:spacing w:before="76" w:beforeAutospacing="0" w:after="76" w:afterAutospacing="0" w:line="450" w:lineRule="atLeast"/>
        <w:ind w:firstLine="420"/>
        <w:rPr>
          <w:rFonts w:hint="eastAsia" w:ascii="仿宋" w:hAnsi="仿宋" w:eastAsia="仿宋" w:cs="仿宋"/>
          <w:color w:val="333333"/>
          <w:sz w:val="30"/>
          <w:szCs w:val="30"/>
          <w:shd w:val="clear" w:color="080000" w:fill="FFFFFF"/>
        </w:rPr>
      </w:pPr>
      <w:r>
        <w:rPr>
          <w:rFonts w:hint="eastAsia" w:ascii="仿宋" w:hAnsi="仿宋" w:eastAsia="仿宋" w:cs="仿宋"/>
          <w:color w:val="333333"/>
          <w:sz w:val="30"/>
          <w:szCs w:val="30"/>
          <w:shd w:val="clear" w:color="080000" w:fill="FFFFFF"/>
        </w:rPr>
        <w:t>一、预算执行情况分析</w:t>
      </w:r>
    </w:p>
    <w:p>
      <w:pPr>
        <w:pStyle w:val="22"/>
        <w:spacing w:before="76" w:beforeAutospacing="0" w:after="76" w:afterAutospacing="0" w:line="450" w:lineRule="atLeast"/>
        <w:ind w:firstLine="420"/>
        <w:rPr>
          <w:rFonts w:hint="eastAsia" w:ascii="仿宋" w:hAnsi="仿宋" w:eastAsia="仿宋" w:cs="仿宋"/>
          <w:color w:val="333333"/>
          <w:sz w:val="30"/>
          <w:szCs w:val="30"/>
          <w:shd w:val="clear" w:color="080000" w:fill="FFFFFF"/>
        </w:rPr>
      </w:pPr>
      <w:r>
        <w:rPr>
          <w:rFonts w:hint="eastAsia" w:ascii="仿宋" w:hAnsi="仿宋" w:eastAsia="仿宋" w:cs="仿宋"/>
          <w:color w:val="333333"/>
          <w:sz w:val="30"/>
          <w:szCs w:val="30"/>
          <w:shd w:val="clear" w:color="080000" w:fill="FFFFFF"/>
        </w:rPr>
        <w:t>二、关于“三公”经费支出说明</w:t>
      </w:r>
    </w:p>
    <w:p>
      <w:pPr>
        <w:pStyle w:val="22"/>
        <w:spacing w:before="76" w:beforeAutospacing="0" w:after="76" w:afterAutospacing="0" w:line="450" w:lineRule="atLeast"/>
        <w:ind w:firstLine="420"/>
        <w:rPr>
          <w:rFonts w:hint="eastAsia" w:ascii="仿宋" w:hAnsi="仿宋" w:eastAsia="仿宋" w:cs="仿宋"/>
          <w:color w:val="333333"/>
          <w:sz w:val="30"/>
          <w:szCs w:val="30"/>
          <w:shd w:val="clear" w:color="080000" w:fill="FFFFFF"/>
        </w:rPr>
      </w:pPr>
      <w:r>
        <w:rPr>
          <w:rFonts w:hint="eastAsia" w:ascii="仿宋" w:hAnsi="仿宋" w:eastAsia="仿宋" w:cs="仿宋"/>
          <w:color w:val="333333"/>
          <w:sz w:val="30"/>
          <w:szCs w:val="30"/>
          <w:shd w:val="clear" w:color="080000" w:fill="FFFFFF"/>
        </w:rPr>
        <w:t>三、关于机关运行经费支出说明</w:t>
      </w:r>
    </w:p>
    <w:p>
      <w:pPr>
        <w:pStyle w:val="22"/>
        <w:spacing w:before="76" w:beforeAutospacing="0" w:after="76" w:afterAutospacing="0" w:line="450" w:lineRule="atLeast"/>
        <w:ind w:firstLine="420"/>
        <w:rPr>
          <w:rFonts w:hint="eastAsia" w:ascii="仿宋" w:hAnsi="仿宋" w:eastAsia="仿宋" w:cs="仿宋"/>
          <w:color w:val="333333"/>
          <w:sz w:val="30"/>
          <w:szCs w:val="30"/>
          <w:shd w:val="clear" w:color="080000" w:fill="FFFFFF"/>
        </w:rPr>
      </w:pPr>
      <w:r>
        <w:rPr>
          <w:rFonts w:hint="eastAsia" w:ascii="仿宋" w:hAnsi="仿宋" w:eastAsia="仿宋" w:cs="仿宋"/>
          <w:color w:val="333333"/>
          <w:sz w:val="30"/>
          <w:szCs w:val="30"/>
          <w:shd w:val="clear" w:color="080000" w:fill="FFFFFF"/>
        </w:rPr>
        <w:t>四、关于政府采购支出说明</w:t>
      </w:r>
    </w:p>
    <w:p>
      <w:pPr>
        <w:pStyle w:val="22"/>
        <w:spacing w:before="76" w:beforeAutospacing="0" w:after="76" w:afterAutospacing="0" w:line="450" w:lineRule="atLeast"/>
        <w:ind w:firstLine="420"/>
        <w:rPr>
          <w:rFonts w:hint="eastAsia" w:ascii="仿宋" w:hAnsi="仿宋" w:eastAsia="仿宋" w:cs="仿宋"/>
          <w:color w:val="333333"/>
          <w:sz w:val="30"/>
          <w:szCs w:val="30"/>
          <w:shd w:val="clear" w:color="080000" w:fill="FFFFFF"/>
        </w:rPr>
      </w:pPr>
      <w:r>
        <w:rPr>
          <w:rFonts w:hint="eastAsia" w:ascii="仿宋" w:hAnsi="仿宋" w:eastAsia="仿宋" w:cs="仿宋"/>
          <w:color w:val="333333"/>
          <w:sz w:val="30"/>
          <w:szCs w:val="30"/>
          <w:shd w:val="clear" w:color="080000" w:fill="FFFFFF"/>
        </w:rPr>
        <w:t>五、关于国有资产占用情况说明</w:t>
      </w:r>
    </w:p>
    <w:p>
      <w:pPr>
        <w:pStyle w:val="22"/>
        <w:spacing w:before="76" w:beforeAutospacing="0" w:after="76" w:afterAutospacing="0" w:line="450" w:lineRule="atLeast"/>
        <w:ind w:firstLine="420"/>
        <w:rPr>
          <w:rFonts w:hint="eastAsia" w:ascii="仿宋" w:hAnsi="仿宋" w:eastAsia="仿宋" w:cs="仿宋"/>
          <w:color w:val="333333"/>
          <w:sz w:val="30"/>
          <w:szCs w:val="30"/>
          <w:shd w:val="clear" w:color="080000" w:fill="FFFFFF"/>
        </w:rPr>
      </w:pPr>
      <w:r>
        <w:rPr>
          <w:rFonts w:hint="eastAsia" w:ascii="仿宋" w:hAnsi="仿宋" w:eastAsia="仿宋" w:cs="仿宋"/>
          <w:color w:val="333333"/>
          <w:sz w:val="30"/>
          <w:szCs w:val="30"/>
          <w:shd w:val="clear" w:color="080000" w:fill="FFFFFF"/>
        </w:rPr>
        <w:t>六、重点绩效评价结果等预算绩效情况说明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七、决算收支增减变化情况</w:t>
      </w:r>
    </w:p>
    <w:p>
      <w:pPr>
        <w:pStyle w:val="22"/>
        <w:spacing w:before="76" w:beforeAutospacing="0" w:after="76" w:afterAutospacing="0" w:line="450" w:lineRule="atLeast"/>
        <w:ind w:firstLine="301" w:firstLineChars="100"/>
        <w:rPr>
          <w:rFonts w:hint="eastAsia" w:ascii="仿宋" w:hAnsi="仿宋" w:eastAsia="仿宋" w:cs="仿宋"/>
          <w:b/>
          <w:color w:val="333333"/>
          <w:sz w:val="30"/>
          <w:szCs w:val="30"/>
        </w:rPr>
      </w:pPr>
      <w:r>
        <w:rPr>
          <w:rFonts w:hint="eastAsia" w:ascii="仿宋" w:hAnsi="仿宋" w:eastAsia="仿宋" w:cs="仿宋"/>
          <w:b/>
          <w:color w:val="333333"/>
          <w:sz w:val="30"/>
          <w:szCs w:val="30"/>
          <w:shd w:val="clear" w:color="090000" w:fill="FFFFFF"/>
        </w:rPr>
        <w:t>第四部分：名词解释 </w:t>
      </w:r>
    </w:p>
    <w:p>
      <w:pPr>
        <w:pStyle w:val="9"/>
        <w:widowControl/>
        <w:spacing w:before="76" w:beforeAutospacing="0" w:after="76" w:afterAutospacing="0" w:line="450" w:lineRule="atLeast"/>
        <w:ind w:firstLine="420"/>
        <w:jc w:val="center"/>
        <w:rPr>
          <w:rFonts w:hint="eastAsia" w:ascii="仿宋" w:hAnsi="仿宋" w:eastAsia="仿宋" w:cs="仿宋"/>
          <w:color w:val="333333"/>
          <w:sz w:val="30"/>
          <w:szCs w:val="30"/>
        </w:rPr>
      </w:pPr>
      <w:r>
        <w:rPr>
          <w:rStyle w:val="12"/>
          <w:rFonts w:hint="eastAsia" w:ascii="仿宋" w:hAnsi="仿宋" w:eastAsia="仿宋" w:cs="仿宋"/>
          <w:color w:val="333333"/>
          <w:sz w:val="30"/>
          <w:szCs w:val="30"/>
          <w:shd w:val="clear" w:color="auto" w:fill="FFFFFF"/>
        </w:rPr>
        <w:t>202</w:t>
      </w:r>
      <w:r>
        <w:rPr>
          <w:rStyle w:val="12"/>
          <w:rFonts w:hint="eastAsia" w:ascii="仿宋" w:hAnsi="仿宋" w:eastAsia="仿宋" w:cs="仿宋"/>
          <w:color w:val="333333"/>
          <w:sz w:val="30"/>
          <w:szCs w:val="30"/>
          <w:shd w:val="clear" w:color="auto" w:fill="FFFFFF"/>
          <w:lang w:val="en-US" w:eastAsia="zh-CN"/>
        </w:rPr>
        <w:t>1</w:t>
      </w:r>
      <w:r>
        <w:rPr>
          <w:rStyle w:val="12"/>
          <w:rFonts w:hint="eastAsia" w:ascii="仿宋" w:hAnsi="仿宋" w:eastAsia="仿宋" w:cs="仿宋"/>
          <w:color w:val="333333"/>
          <w:sz w:val="30"/>
          <w:szCs w:val="30"/>
          <w:shd w:val="clear" w:color="auto" w:fill="FFFFFF"/>
        </w:rPr>
        <w:t>年部门决算</w:t>
      </w:r>
    </w:p>
    <w:p>
      <w:pPr>
        <w:pStyle w:val="9"/>
        <w:widowControl/>
        <w:spacing w:before="76" w:beforeAutospacing="0" w:after="76" w:afterAutospacing="0" w:line="450" w:lineRule="atLeast"/>
        <w:ind w:firstLine="420"/>
        <w:rPr>
          <w:rFonts w:hint="eastAsia" w:ascii="仿宋" w:hAnsi="仿宋" w:eastAsia="仿宋" w:cs="仿宋"/>
          <w:color w:val="333333"/>
          <w:sz w:val="30"/>
          <w:szCs w:val="30"/>
        </w:rPr>
      </w:pPr>
      <w:r>
        <w:rPr>
          <w:rStyle w:val="12"/>
          <w:rFonts w:hint="eastAsia" w:ascii="仿宋" w:hAnsi="仿宋" w:eastAsia="仿宋" w:cs="仿宋"/>
          <w:color w:val="333333"/>
          <w:sz w:val="30"/>
          <w:szCs w:val="30"/>
          <w:shd w:val="clear" w:color="auto" w:fill="FFFFFF"/>
        </w:rPr>
        <w:t xml:space="preserve"> 第一部分：部门基本情况</w:t>
      </w:r>
    </w:p>
    <w:p>
      <w:pPr>
        <w:rPr>
          <w:rFonts w:hint="eastAsia" w:ascii="仿宋" w:hAnsi="仿宋" w:eastAsia="仿宋" w:cs="仿宋"/>
          <w:color w:val="000000"/>
          <w:spacing w:val="2"/>
          <w:sz w:val="30"/>
          <w:szCs w:val="30"/>
        </w:rPr>
      </w:pPr>
      <w:r>
        <w:rPr>
          <w:rFonts w:hint="eastAsia" w:ascii="仿宋" w:hAnsi="仿宋" w:eastAsia="仿宋" w:cs="仿宋"/>
          <w:b/>
          <w:color w:val="000000"/>
          <w:spacing w:val="2"/>
          <w:sz w:val="30"/>
          <w:szCs w:val="30"/>
        </w:rPr>
        <w:t xml:space="preserve">   </w:t>
      </w:r>
      <w:r>
        <w:rPr>
          <w:rFonts w:hint="eastAsia" w:ascii="仿宋" w:hAnsi="仿宋" w:eastAsia="仿宋" w:cs="仿宋"/>
          <w:color w:val="000000"/>
          <w:spacing w:val="2"/>
          <w:sz w:val="30"/>
          <w:szCs w:val="30"/>
        </w:rPr>
        <w:t xml:space="preserve"> 一、部门主要职责</w:t>
      </w:r>
    </w:p>
    <w:p>
      <w:pPr>
        <w:ind w:firstLine="560"/>
        <w:rPr>
          <w:rFonts w:ascii="仿宋" w:hAnsi="仿宋" w:eastAsia="仿宋" w:cs="宋体"/>
          <w:sz w:val="28"/>
          <w:szCs w:val="28"/>
        </w:rPr>
      </w:pPr>
      <w:r>
        <w:rPr>
          <w:rFonts w:hint="eastAsia" w:ascii="仿宋" w:hAnsi="仿宋" w:eastAsia="仿宋" w:cs="仿宋"/>
          <w:kern w:val="0"/>
          <w:sz w:val="30"/>
          <w:szCs w:val="30"/>
        </w:rPr>
        <w:t>区政府办是区政府的综合协调部门，是区政府的运转中心，其主要职能是综合、督办、服务，办文、办会、办事，同时负责区政府法制、应急、值班、金融、招商、扶贫、污染防治等各方面工作。</w:t>
      </w:r>
    </w:p>
    <w:p>
      <w:pPr>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二、部门决算单位构成</w:t>
      </w:r>
    </w:p>
    <w:p>
      <w:pPr>
        <w:ind w:firstLine="608" w:firstLineChars="200"/>
        <w:rPr>
          <w:rFonts w:ascii="仿宋" w:hAnsi="仿宋" w:eastAsia="仿宋" w:cs="仿宋"/>
          <w:kern w:val="1"/>
          <w:sz w:val="28"/>
          <w:szCs w:val="28"/>
        </w:rPr>
      </w:pPr>
      <w:r>
        <w:rPr>
          <w:rFonts w:hint="eastAsia" w:ascii="仿宋" w:hAnsi="仿宋" w:eastAsia="仿宋" w:cs="仿宋"/>
          <w:color w:val="000000"/>
          <w:spacing w:val="2"/>
          <w:sz w:val="30"/>
          <w:szCs w:val="30"/>
        </w:rPr>
        <w:t>区政府办公室编制人数1</w:t>
      </w:r>
      <w:r>
        <w:rPr>
          <w:rFonts w:hint="eastAsia" w:ascii="仿宋" w:hAnsi="仿宋" w:eastAsia="仿宋" w:cs="仿宋"/>
          <w:color w:val="000000"/>
          <w:spacing w:val="2"/>
          <w:sz w:val="30"/>
          <w:szCs w:val="30"/>
          <w:lang w:val="en-US" w:eastAsia="zh-CN"/>
        </w:rPr>
        <w:t>2</w:t>
      </w:r>
      <w:r>
        <w:rPr>
          <w:rFonts w:hint="eastAsia" w:ascii="仿宋" w:hAnsi="仿宋" w:eastAsia="仿宋" w:cs="仿宋"/>
          <w:color w:val="000000"/>
          <w:spacing w:val="2"/>
          <w:sz w:val="30"/>
          <w:szCs w:val="30"/>
        </w:rPr>
        <w:t>人，其中行政编</w:t>
      </w:r>
      <w:r>
        <w:rPr>
          <w:rFonts w:hint="eastAsia" w:ascii="仿宋" w:hAnsi="仿宋" w:eastAsia="仿宋" w:cs="仿宋"/>
          <w:color w:val="000000"/>
          <w:spacing w:val="2"/>
          <w:sz w:val="30"/>
          <w:szCs w:val="30"/>
          <w:lang w:val="en-US" w:eastAsia="zh-CN"/>
        </w:rPr>
        <w:t>9</w:t>
      </w:r>
      <w:r>
        <w:rPr>
          <w:rFonts w:hint="eastAsia" w:ascii="仿宋" w:hAnsi="仿宋" w:eastAsia="仿宋" w:cs="仿宋"/>
          <w:color w:val="000000"/>
          <w:spacing w:val="2"/>
          <w:sz w:val="30"/>
          <w:szCs w:val="30"/>
        </w:rPr>
        <w:t>人，事业编</w:t>
      </w:r>
      <w:r>
        <w:rPr>
          <w:rFonts w:hint="eastAsia" w:ascii="仿宋" w:hAnsi="仿宋" w:eastAsia="仿宋" w:cs="仿宋"/>
          <w:color w:val="000000"/>
          <w:spacing w:val="2"/>
          <w:sz w:val="30"/>
          <w:szCs w:val="30"/>
          <w:lang w:val="en-US" w:eastAsia="zh-CN"/>
        </w:rPr>
        <w:t>3</w:t>
      </w:r>
      <w:r>
        <w:rPr>
          <w:rFonts w:hint="eastAsia" w:ascii="仿宋" w:hAnsi="仿宋" w:eastAsia="仿宋" w:cs="仿宋"/>
          <w:color w:val="000000"/>
          <w:spacing w:val="2"/>
          <w:sz w:val="30"/>
          <w:szCs w:val="30"/>
        </w:rPr>
        <w:t>人;年末实有人数</w:t>
      </w:r>
      <w:r>
        <w:rPr>
          <w:rFonts w:hint="eastAsia" w:ascii="仿宋" w:hAnsi="仿宋" w:eastAsia="仿宋" w:cs="仿宋"/>
          <w:color w:val="000000"/>
          <w:spacing w:val="2"/>
          <w:sz w:val="30"/>
          <w:szCs w:val="30"/>
          <w:lang w:val="en-US" w:eastAsia="zh-CN"/>
        </w:rPr>
        <w:t>19</w:t>
      </w:r>
      <w:r>
        <w:rPr>
          <w:rFonts w:hint="eastAsia" w:ascii="仿宋" w:hAnsi="仿宋" w:eastAsia="仿宋" w:cs="仿宋"/>
          <w:color w:val="000000"/>
          <w:spacing w:val="2"/>
          <w:sz w:val="30"/>
          <w:szCs w:val="30"/>
        </w:rPr>
        <w:t>人，其中行政编1</w:t>
      </w:r>
      <w:r>
        <w:rPr>
          <w:rFonts w:hint="eastAsia" w:ascii="仿宋" w:hAnsi="仿宋" w:eastAsia="仿宋" w:cs="仿宋"/>
          <w:color w:val="000000"/>
          <w:spacing w:val="2"/>
          <w:sz w:val="30"/>
          <w:szCs w:val="30"/>
          <w:lang w:val="en-US" w:eastAsia="zh-CN"/>
        </w:rPr>
        <w:t>2</w:t>
      </w:r>
      <w:r>
        <w:rPr>
          <w:rFonts w:hint="eastAsia" w:ascii="仿宋" w:hAnsi="仿宋" w:eastAsia="仿宋" w:cs="仿宋"/>
          <w:color w:val="000000"/>
          <w:spacing w:val="2"/>
          <w:sz w:val="30"/>
          <w:szCs w:val="30"/>
        </w:rPr>
        <w:t>人，事业编</w:t>
      </w:r>
      <w:r>
        <w:rPr>
          <w:rFonts w:hint="eastAsia" w:ascii="仿宋" w:hAnsi="仿宋" w:eastAsia="仿宋" w:cs="仿宋"/>
          <w:color w:val="000000"/>
          <w:spacing w:val="2"/>
          <w:sz w:val="30"/>
          <w:szCs w:val="30"/>
          <w:lang w:val="en-US" w:eastAsia="zh-CN"/>
        </w:rPr>
        <w:t>7</w:t>
      </w:r>
      <w:r>
        <w:rPr>
          <w:rFonts w:hint="eastAsia" w:ascii="仿宋" w:hAnsi="仿宋" w:eastAsia="仿宋" w:cs="仿宋"/>
          <w:color w:val="000000"/>
          <w:spacing w:val="2"/>
          <w:sz w:val="30"/>
          <w:szCs w:val="30"/>
        </w:rPr>
        <w:t>人。</w:t>
      </w:r>
    </w:p>
    <w:p>
      <w:pPr>
        <w:numPr>
          <w:ilvl w:val="0"/>
          <w:numId w:val="0"/>
        </w:numPr>
        <w:ind w:firstLine="608" w:firstLineChars="200"/>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lang w:eastAsia="zh-CN"/>
        </w:rPr>
        <w:t>三、</w:t>
      </w:r>
      <w:r>
        <w:rPr>
          <w:rFonts w:hint="eastAsia" w:ascii="仿宋" w:hAnsi="仿宋" w:eastAsia="仿宋" w:cs="仿宋"/>
          <w:color w:val="000000"/>
          <w:spacing w:val="2"/>
          <w:sz w:val="30"/>
          <w:szCs w:val="30"/>
        </w:rPr>
        <w:t>当年取得的主要事业成效</w:t>
      </w:r>
    </w:p>
    <w:p>
      <w:pPr>
        <w:spacing w:line="587" w:lineRule="exact"/>
        <w:ind w:firstLine="632"/>
        <w:rPr>
          <w:rFonts w:hint="eastAsia" w:ascii="仿宋" w:hAnsi="仿宋" w:eastAsia="仿宋" w:cs="仿宋"/>
          <w:kern w:val="1"/>
          <w:sz w:val="30"/>
          <w:szCs w:val="30"/>
        </w:rPr>
      </w:pPr>
      <w:r>
        <w:rPr>
          <w:rFonts w:hint="eastAsia" w:ascii="仿宋" w:hAnsi="仿宋" w:eastAsia="仿宋" w:cs="仿宋"/>
          <w:kern w:val="1"/>
          <w:sz w:val="30"/>
          <w:szCs w:val="30"/>
        </w:rPr>
        <w:t>区十届人大一次会议以来，面对经济结构转型升级、长江经济带发展深入推进的重大机遇，面对疫情冲击、经济下行的双重挑战，我们始终坚持以习近平新时代中国特色社会主义思想为指导，在市委、市政府和区委的坚强领导下，在区人大、区政协的监督支持下，围绕打造“四个中心”、建设现代化幸福城区目标，勠力同心、拼搏奋进，各项事业呈现良好态势，圆满完成了区十届人大确定的主要目标任务。</w:t>
      </w:r>
    </w:p>
    <w:p>
      <w:pPr>
        <w:spacing w:line="587" w:lineRule="exact"/>
        <w:ind w:firstLine="632"/>
        <w:rPr>
          <w:rFonts w:hint="eastAsia" w:ascii="仿宋" w:hAnsi="仿宋" w:eastAsia="仿宋" w:cs="仿宋"/>
          <w:kern w:val="1"/>
          <w:sz w:val="30"/>
          <w:szCs w:val="30"/>
        </w:rPr>
      </w:pPr>
      <w:r>
        <w:rPr>
          <w:rFonts w:hint="eastAsia" w:ascii="仿宋" w:hAnsi="仿宋" w:eastAsia="仿宋" w:cs="仿宋"/>
          <w:kern w:val="1"/>
          <w:sz w:val="30"/>
          <w:szCs w:val="30"/>
        </w:rPr>
        <w:t>（一）经济运行稳中向好，综合实力显著提升。地区生产总值跨越220亿元、年均增长5.2%；财政总收入逼近14亿元、年均增长3.65%；社会消费品零售总额超越140亿元、年均增长5%；服务业增加值冲破180亿元、年均增长6.8%。财政总收入、社会消费品零售总额等经济指标连续多年位居全市前列。服务业增加值占GDP比重超过83%，连续两年荣获“全省服务业突出贡献奖”，服务业发展评估全省第四，鄂东商贸物流中心功能不断增强。</w:t>
      </w:r>
    </w:p>
    <w:p>
      <w:pPr>
        <w:spacing w:line="587" w:lineRule="exact"/>
        <w:ind w:firstLine="632"/>
        <w:rPr>
          <w:rFonts w:hint="eastAsia" w:ascii="仿宋" w:hAnsi="仿宋" w:eastAsia="仿宋" w:cs="仿宋"/>
          <w:kern w:val="1"/>
          <w:sz w:val="30"/>
          <w:szCs w:val="30"/>
        </w:rPr>
      </w:pPr>
      <w:r>
        <w:rPr>
          <w:rFonts w:hint="eastAsia" w:ascii="仿宋" w:hAnsi="仿宋" w:eastAsia="仿宋" w:cs="仿宋"/>
          <w:kern w:val="1"/>
          <w:sz w:val="30"/>
          <w:szCs w:val="30"/>
        </w:rPr>
        <w:t>（二）产业质效持续提升，发展后劲不断增强。“两园两带”</w:t>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vertAlign w:val="superscript"/>
        </w:rPr>
        <w:endnoteReference w:id="0"/>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rPr>
        <w:t>产业空间加速布局，临空商务产业园起步区开工建设，以西有新经济产业园为代表的“四新”</w:t>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vertAlign w:val="superscript"/>
        </w:rPr>
        <w:endnoteReference w:id="1"/>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rPr>
        <w:t>园区突破发展。湖北鄂东人力资源服务产业园获“省级人力资源服务产业园”称号。华新水泥总部物流、鄂东长江大桥等一批总部经济项目异军突起，年缴税超亿元。现代服务业迅猛发展，摩尔城、万达两大特色商圈崛起成势，以九州物流为代表的智慧物流业顺势而兴，以中南文化产业园为代表的科创文旅业蓄势待发。先进制造业赋能升级，投资1.48亿元建成的智能输送装备制造产业园满园运行，入驻企业天华智能在新三板成功挂牌上市，发展后劲持续增强。</w:t>
      </w:r>
    </w:p>
    <w:p>
      <w:pPr>
        <w:spacing w:line="587" w:lineRule="exact"/>
        <w:ind w:firstLine="632"/>
        <w:rPr>
          <w:rFonts w:hint="eastAsia" w:ascii="仿宋" w:hAnsi="仿宋" w:eastAsia="仿宋" w:cs="仿宋"/>
          <w:kern w:val="1"/>
          <w:sz w:val="30"/>
          <w:szCs w:val="30"/>
        </w:rPr>
      </w:pPr>
      <w:r>
        <w:rPr>
          <w:rFonts w:hint="eastAsia" w:ascii="仿宋" w:hAnsi="仿宋" w:eastAsia="仿宋" w:cs="仿宋"/>
          <w:kern w:val="1"/>
          <w:sz w:val="30"/>
          <w:szCs w:val="30"/>
        </w:rPr>
        <w:t>（三）改革创新不断突破，内生动力有效激发。教育医疗、国资国企、财税金融、政府行政体制等重点领域改革纵深推进。“放管服”改革持续发力，营商环境不断优化，政府服务效能显著提升。纳税服务满意度评选全省第一，财务绩效管理工作连续两年获省级奖励。科技创新成果丰硕，建成国家重点实验室1个、市级重点实验室2个、专家院士工作站6个，万人拥有发明专利6.5件，荣获“国家知识产权强县工程优秀试点区”“基础教育国家级优秀教学成果推广应用示范区”称号，鄂东科教创新中心基础不断夯实。</w:t>
      </w:r>
    </w:p>
    <w:p>
      <w:pPr>
        <w:spacing w:line="587" w:lineRule="exact"/>
        <w:ind w:firstLine="632"/>
        <w:rPr>
          <w:rFonts w:hint="eastAsia" w:ascii="仿宋" w:hAnsi="仿宋" w:eastAsia="仿宋" w:cs="仿宋"/>
          <w:kern w:val="1"/>
          <w:sz w:val="30"/>
          <w:szCs w:val="30"/>
        </w:rPr>
      </w:pPr>
      <w:r>
        <w:rPr>
          <w:rFonts w:hint="eastAsia" w:ascii="仿宋" w:hAnsi="仿宋" w:eastAsia="仿宋" w:cs="仿宋"/>
          <w:kern w:val="1"/>
          <w:sz w:val="30"/>
          <w:szCs w:val="30"/>
        </w:rPr>
        <w:t>（四）三大攻坚战顺利推进，发展底板更加坚固。重大风险防控能力不断提升，交警小区等14个涉房、黄棉公司等56家涉企遗留问题得到有效化解，涉众金融风险得到有效管控。对口帮扶的阳新龙港镇6个村，建档立卡贫困户545户全部脱贫。生态环境不断改善，黑臭水体全部脱黑，长江饮用水源地保护工作成效显著，被评为全省“长江经济带绿色发展示范区”。扫黑除恶专项斗争、政法队伍教育整顿取得良好成效，食品药品、安全生产等重点领域形势总体平稳。</w:t>
      </w:r>
    </w:p>
    <w:p>
      <w:pPr>
        <w:spacing w:line="587" w:lineRule="exact"/>
        <w:ind w:firstLine="632"/>
        <w:rPr>
          <w:rFonts w:hint="eastAsia" w:ascii="仿宋" w:hAnsi="仿宋" w:eastAsia="仿宋" w:cs="仿宋"/>
          <w:kern w:val="1"/>
          <w:sz w:val="30"/>
          <w:szCs w:val="30"/>
        </w:rPr>
      </w:pPr>
      <w:r>
        <w:rPr>
          <w:rFonts w:hint="eastAsia" w:ascii="仿宋" w:hAnsi="仿宋" w:eastAsia="仿宋" w:cs="仿宋"/>
          <w:kern w:val="1"/>
          <w:sz w:val="30"/>
          <w:szCs w:val="30"/>
        </w:rPr>
        <w:t>（五）城市建管全面发力，功能品质不断提升。深入开展“棚改攻坚”“老城提质”系列行动，累计实施棚改项目24个，腾退土地1500余亩，1.3万户居民乔迁新居。城市更新有序推进，44个老旧小区和38条背街小巷改造升级，枫叶山小区改造经验在全省推介。路网交通不断升级，建成人行过街天桥4座，有轨电车、沿江大道等市级重点交通工程开工建设。打造沈家营花海绿地、打鼓墩等10处“网红”口袋公园。实施城管体制改革，成立街道执法中队，城市管理执法盲区有效消除。成功创建国家卫生城市，顺利通过国卫复审，积极创建全国文明城市。</w:t>
      </w:r>
    </w:p>
    <w:p>
      <w:pPr>
        <w:spacing w:line="587" w:lineRule="exact"/>
        <w:ind w:firstLine="632"/>
        <w:rPr>
          <w:rFonts w:hint="eastAsia" w:ascii="仿宋" w:hAnsi="仿宋" w:eastAsia="仿宋" w:cs="仿宋"/>
          <w:kern w:val="1"/>
          <w:sz w:val="30"/>
          <w:szCs w:val="30"/>
        </w:rPr>
      </w:pPr>
      <w:r>
        <w:rPr>
          <w:rFonts w:hint="eastAsia" w:ascii="仿宋" w:hAnsi="仿宋" w:eastAsia="仿宋" w:cs="仿宋"/>
          <w:kern w:val="1"/>
          <w:sz w:val="30"/>
          <w:szCs w:val="30"/>
        </w:rPr>
        <w:t>（六）民生事业协调发展，幸福指数日益攀升。社会保障水平不断提升，城镇居民人均可支配收入达47987元，年均增长6.9%。基础教育投入力度持续加大，投资10.79亿元新建、改扩建中小学校9所，新增学位4961个，教育大区强区地位更加牢固。教育集团化办学改革成效明显，教育教学质量稳步提升。医联体改革取得实质性进展，基层公共卫生和疾病预防控制体系建设逐步完善，黄石港社区卫生服务中心获批“全国全科医师规培基层实践基地”。改造升级15家农贸市场，新增110家医药零售连锁店，实现便民肉蔬水果店、线下团购店、快递驿站小区全覆盖，群众生活更加便利。华新旧址博物馆、大众山省级森林公园、生态体育公园、区图书馆等文体场所建成开放。山水休闲、工业遗址文化品牌效应持续扩大，鄂东文化旅游中心、健康运动中心成色更足。</w:t>
      </w:r>
    </w:p>
    <w:p>
      <w:pPr>
        <w:spacing w:line="587" w:lineRule="exact"/>
        <w:ind w:firstLine="632"/>
        <w:rPr>
          <w:rFonts w:hint="eastAsia" w:ascii="仿宋" w:hAnsi="仿宋" w:eastAsia="仿宋" w:cs="仿宋"/>
          <w:kern w:val="1"/>
          <w:sz w:val="30"/>
          <w:szCs w:val="30"/>
        </w:rPr>
      </w:pPr>
      <w:r>
        <w:rPr>
          <w:rFonts w:hint="eastAsia" w:ascii="仿宋" w:hAnsi="仿宋" w:eastAsia="仿宋" w:cs="仿宋"/>
          <w:kern w:val="1"/>
          <w:sz w:val="30"/>
          <w:szCs w:val="30"/>
        </w:rPr>
        <w:t>五年来，我们无惧风雨，以实干笃定前行，每一步都不容易；我们不懈努力，用汗水浇灌收获，每个人都了不起！这五年，我们从百姓呼声最迫切的事情做起，攻坚克难、担当作为，打赢了防汛抗洪“突击战”、新冠肺炎疫情防控“阻击战”等一场场大仗硬仗，解决了一大批多年想解决而没有解决的问题，干成了多年想干而没有干成的事情，为高质量发展奠定了基础。这五年，我们共同经历着黄石港区理念之变、协同之变、产业之变、城市之变、作风之变。当前全区上下政通人和，干部群众激情创业，大家争当建设者、不做旁观客，为我们做好今后各项工作积蓄了强大动能和宝贵财富。</w:t>
      </w:r>
    </w:p>
    <w:p>
      <w:pPr>
        <w:spacing w:line="587" w:lineRule="exact"/>
        <w:ind w:firstLine="632"/>
        <w:rPr>
          <w:rFonts w:hint="eastAsia" w:ascii="仿宋" w:hAnsi="仿宋" w:eastAsia="仿宋" w:cs="仿宋"/>
          <w:kern w:val="1"/>
          <w:sz w:val="30"/>
          <w:szCs w:val="30"/>
        </w:rPr>
      </w:pPr>
      <w:r>
        <w:rPr>
          <w:rFonts w:hint="eastAsia" w:ascii="仿宋" w:hAnsi="仿宋" w:eastAsia="仿宋" w:cs="仿宋"/>
          <w:kern w:val="1"/>
          <w:sz w:val="30"/>
          <w:szCs w:val="30"/>
        </w:rPr>
        <w:t>各位代表，2021年是建党100周年、是全面实施“十四五”规划的开局之年、是开启临空黄石港现代化建设新征程的起步之年。我们紧扣“开局漂亮”“全年精彩”要求，加速恢复追补、创新赋能产业、持续放大优势、追求品质生活，经济社会发展实现稳中有进、进中向好的发展态势。初步预计，全年完成地区生产总值229亿元，增长15.5%；规模以上工业增加值22.4亿元，增长14.2%；固定资产投资完成63亿元，增长5%；社会消费品零售总额完成147.1亿元，增长17.5%；地方公共财政预算收入完成8.13亿元，增长33%。一年来，我们主要抓了如下工作：</w:t>
      </w:r>
    </w:p>
    <w:p>
      <w:pPr>
        <w:spacing w:line="587" w:lineRule="exact"/>
        <w:ind w:firstLine="632"/>
        <w:rPr>
          <w:rFonts w:hint="eastAsia" w:ascii="仿宋" w:hAnsi="仿宋" w:eastAsia="仿宋" w:cs="仿宋"/>
          <w:kern w:val="1"/>
          <w:sz w:val="30"/>
          <w:szCs w:val="30"/>
        </w:rPr>
      </w:pPr>
      <w:r>
        <w:rPr>
          <w:rFonts w:hint="eastAsia" w:ascii="仿宋" w:hAnsi="仿宋" w:eastAsia="仿宋" w:cs="仿宋"/>
          <w:b/>
          <w:bCs/>
          <w:kern w:val="1"/>
          <w:sz w:val="30"/>
          <w:szCs w:val="30"/>
        </w:rPr>
        <w:t>深入推进产业升级。</w:t>
      </w:r>
      <w:r>
        <w:rPr>
          <w:rFonts w:hint="eastAsia" w:ascii="仿宋" w:hAnsi="仿宋" w:eastAsia="仿宋" w:cs="仿宋"/>
          <w:spacing w:val="-6"/>
          <w:kern w:val="1"/>
          <w:sz w:val="30"/>
          <w:szCs w:val="30"/>
        </w:rPr>
        <w:t>不断完善产业扶持政策，制定新经济发展“黄金十二条”</w:t>
      </w:r>
      <w:r>
        <w:rPr>
          <w:rFonts w:hint="eastAsia" w:ascii="仿宋" w:hAnsi="仿宋" w:eastAsia="仿宋" w:cs="仿宋"/>
          <w:spacing w:val="-6"/>
          <w:kern w:val="1"/>
          <w:sz w:val="30"/>
          <w:szCs w:val="30"/>
          <w:vertAlign w:val="superscript"/>
        </w:rPr>
        <w:t>[</w:t>
      </w:r>
      <w:r>
        <w:rPr>
          <w:rFonts w:hint="eastAsia" w:ascii="仿宋" w:hAnsi="仿宋" w:eastAsia="仿宋" w:cs="仿宋"/>
          <w:spacing w:val="-6"/>
          <w:kern w:val="1"/>
          <w:sz w:val="30"/>
          <w:szCs w:val="30"/>
          <w:vertAlign w:val="superscript"/>
        </w:rPr>
        <w:endnoteReference w:id="2"/>
      </w:r>
      <w:r>
        <w:rPr>
          <w:rFonts w:hint="eastAsia" w:ascii="仿宋" w:hAnsi="仿宋" w:eastAsia="仿宋" w:cs="仿宋"/>
          <w:spacing w:val="-6"/>
          <w:kern w:val="1"/>
          <w:sz w:val="30"/>
          <w:szCs w:val="30"/>
          <w:vertAlign w:val="superscript"/>
        </w:rPr>
        <w:t>]</w:t>
      </w:r>
      <w:r>
        <w:rPr>
          <w:rFonts w:hint="eastAsia" w:ascii="仿宋" w:hAnsi="仿宋" w:eastAsia="仿宋" w:cs="仿宋"/>
          <w:spacing w:val="-6"/>
          <w:kern w:val="1"/>
          <w:sz w:val="30"/>
          <w:szCs w:val="30"/>
        </w:rPr>
        <w:t>、突破性发展现代服务业实施意见，助力以环湖大学科创园为代表的产业园区集聚发展。重振消费信心，推出以啤酒节、美食节为载体的消费引领活动，促进新一轮疫后商圈转型。全年新增限上商贸企业34家、规上现代服务业企业10家、规上工业企业3家、科技创新企业48家，净增高新技术企业2家。</w:t>
      </w:r>
    </w:p>
    <w:p>
      <w:pPr>
        <w:spacing w:line="587" w:lineRule="exact"/>
        <w:ind w:firstLine="632"/>
        <w:rPr>
          <w:rFonts w:hint="eastAsia" w:ascii="仿宋" w:hAnsi="仿宋" w:eastAsia="仿宋" w:cs="仿宋"/>
          <w:kern w:val="1"/>
          <w:sz w:val="30"/>
          <w:szCs w:val="30"/>
        </w:rPr>
      </w:pPr>
      <w:r>
        <w:rPr>
          <w:rFonts w:hint="eastAsia" w:ascii="仿宋" w:hAnsi="仿宋" w:eastAsia="仿宋" w:cs="仿宋"/>
          <w:b/>
          <w:bCs/>
          <w:kern w:val="1"/>
          <w:sz w:val="30"/>
          <w:szCs w:val="30"/>
        </w:rPr>
        <w:t>全力实施项目攻坚。</w:t>
      </w:r>
      <w:r>
        <w:rPr>
          <w:rFonts w:hint="eastAsia" w:ascii="仿宋" w:hAnsi="仿宋" w:eastAsia="仿宋" w:cs="仿宋"/>
          <w:kern w:val="1"/>
          <w:sz w:val="30"/>
          <w:szCs w:val="30"/>
        </w:rPr>
        <w:t>成立项目攻坚指挥部，建立健全项目协同会商、拉练机制，成功举办临空商务产业园项目集中开工仪式、新经济发展云招商推介会。全年新列入省、市重点项目4个，总投资41亿元。央聚跨境电商等20个重点项目成功签约，临空商务独栋企业总部区等35个重点项目开工建设，国药医药智慧供应链产业园等24个重点项目竣工投产。</w:t>
      </w:r>
    </w:p>
    <w:p>
      <w:pPr>
        <w:widowControl/>
        <w:spacing w:line="587" w:lineRule="exact"/>
        <w:ind w:firstLine="632"/>
        <w:jc w:val="left"/>
        <w:rPr>
          <w:rFonts w:hint="eastAsia" w:ascii="仿宋" w:hAnsi="仿宋" w:eastAsia="仿宋" w:cs="仿宋"/>
          <w:kern w:val="1"/>
          <w:sz w:val="30"/>
          <w:szCs w:val="30"/>
        </w:rPr>
      </w:pPr>
      <w:r>
        <w:rPr>
          <w:rFonts w:hint="eastAsia" w:ascii="仿宋" w:hAnsi="仿宋" w:eastAsia="仿宋" w:cs="仿宋"/>
          <w:b/>
          <w:bCs/>
          <w:kern w:val="1"/>
          <w:sz w:val="30"/>
          <w:szCs w:val="30"/>
        </w:rPr>
        <w:t>持续优化营商环境。</w:t>
      </w:r>
      <w:r>
        <w:rPr>
          <w:rFonts w:hint="eastAsia" w:ascii="仿宋" w:hAnsi="仿宋" w:eastAsia="仿宋" w:cs="仿宋"/>
          <w:kern w:val="1"/>
          <w:sz w:val="30"/>
          <w:szCs w:val="30"/>
          <w:lang w:val="zh-CN"/>
        </w:rPr>
        <w:t>深入实施“放管服”改革和“</w:t>
      </w:r>
      <w:r>
        <w:rPr>
          <w:rFonts w:hint="eastAsia" w:ascii="仿宋" w:hAnsi="仿宋" w:eastAsia="仿宋" w:cs="仿宋"/>
          <w:kern w:val="1"/>
          <w:sz w:val="30"/>
          <w:szCs w:val="30"/>
        </w:rPr>
        <w:t>清减降”</w:t>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vertAlign w:val="superscript"/>
        </w:rPr>
        <w:endnoteReference w:id="3"/>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lang w:val="zh-CN"/>
        </w:rPr>
        <w:t>专项行动，</w:t>
      </w:r>
      <w:r>
        <w:rPr>
          <w:rFonts w:hint="eastAsia" w:ascii="仿宋" w:hAnsi="仿宋" w:eastAsia="仿宋" w:cs="仿宋"/>
          <w:kern w:val="1"/>
          <w:sz w:val="30"/>
          <w:szCs w:val="30"/>
        </w:rPr>
        <w:t>737个政务服务事项实现全流程网办，561个行政审批事项实现“一次就办好”，</w:t>
      </w:r>
      <w:r>
        <w:rPr>
          <w:rFonts w:hint="eastAsia" w:ascii="仿宋" w:hAnsi="仿宋" w:eastAsia="仿宋" w:cs="仿宋"/>
          <w:kern w:val="1"/>
          <w:sz w:val="30"/>
          <w:szCs w:val="30"/>
          <w:lang w:val="zh-CN"/>
        </w:rPr>
        <w:t>“大力推进一事联办”改革事项被列入全省优化营商环境先行试点创建名单。</w:t>
      </w:r>
      <w:r>
        <w:rPr>
          <w:rFonts w:hint="eastAsia" w:ascii="仿宋" w:hAnsi="仿宋" w:eastAsia="仿宋" w:cs="仿宋"/>
          <w:kern w:val="1"/>
          <w:sz w:val="30"/>
          <w:szCs w:val="30"/>
        </w:rPr>
        <w:t>深化“双千”工作，召开9场“服务帮扶、纾难解困、提振信心”企业座谈会，收集企业诉求158个，并积极推进化解；举办专项招聘会49场，帮助企业招工1.8万余人。</w:t>
      </w:r>
    </w:p>
    <w:p>
      <w:pPr>
        <w:spacing w:line="587" w:lineRule="exact"/>
        <w:ind w:firstLine="632"/>
        <w:rPr>
          <w:rFonts w:hint="eastAsia" w:ascii="仿宋" w:hAnsi="仿宋" w:eastAsia="仿宋" w:cs="仿宋"/>
          <w:kern w:val="1"/>
          <w:sz w:val="30"/>
          <w:szCs w:val="30"/>
        </w:rPr>
      </w:pPr>
      <w:r>
        <w:rPr>
          <w:rFonts w:hint="eastAsia" w:ascii="仿宋" w:hAnsi="仿宋" w:eastAsia="仿宋" w:cs="仿宋"/>
          <w:b/>
          <w:bCs/>
          <w:kern w:val="1"/>
          <w:sz w:val="30"/>
          <w:szCs w:val="30"/>
        </w:rPr>
        <w:t>加速推进城市更新。</w:t>
      </w:r>
      <w:r>
        <w:rPr>
          <w:rFonts w:hint="eastAsia" w:ascii="仿宋" w:hAnsi="仿宋" w:eastAsia="仿宋" w:cs="仿宋"/>
          <w:kern w:val="1"/>
          <w:sz w:val="30"/>
          <w:szCs w:val="30"/>
        </w:rPr>
        <w:t>争取旧改资金3亿元，强力推进“两路一改”</w:t>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vertAlign w:val="superscript"/>
        </w:rPr>
        <w:endnoteReference w:id="4"/>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rPr>
        <w:t>，实施武汉路一期、湖滨大道景观路改造，打通朝阳路延伸段、英才巷等7条断头路，完成23个老旧小区改造，拆除违法建筑5.7万平方米。实施“棚改清零”行动，人民街A地块等7块土地挂牌出让。完成大众山降高工作，保障鄂州花湖机场建成校飞。统筹推进环卫园林市场化改革，持续开展“洁城风暴”，圆满完成国卫复审和创文阶段性目标任务。</w:t>
      </w:r>
    </w:p>
    <w:p>
      <w:pPr>
        <w:spacing w:line="587" w:lineRule="exact"/>
        <w:ind w:firstLine="632"/>
        <w:jc w:val="left"/>
        <w:rPr>
          <w:rFonts w:hint="eastAsia" w:ascii="仿宋" w:hAnsi="仿宋" w:eastAsia="仿宋" w:cs="仿宋"/>
          <w:kern w:val="1"/>
          <w:sz w:val="30"/>
          <w:szCs w:val="30"/>
        </w:rPr>
      </w:pPr>
      <w:r>
        <w:rPr>
          <w:rFonts w:hint="eastAsia" w:ascii="仿宋" w:hAnsi="仿宋" w:eastAsia="仿宋" w:cs="仿宋"/>
          <w:b/>
          <w:bCs/>
          <w:kern w:val="1"/>
          <w:sz w:val="30"/>
          <w:szCs w:val="30"/>
        </w:rPr>
        <w:t>着力改善民生福祉。</w:t>
      </w:r>
      <w:r>
        <w:rPr>
          <w:rFonts w:hint="eastAsia" w:ascii="仿宋" w:hAnsi="仿宋" w:eastAsia="仿宋" w:cs="仿宋"/>
          <w:kern w:val="1"/>
          <w:sz w:val="30"/>
          <w:szCs w:val="30"/>
        </w:rPr>
        <w:t>“双创”</w:t>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vertAlign w:val="superscript"/>
        </w:rPr>
        <w:endnoteReference w:id="5"/>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rPr>
        <w:t>带动就业稳定增长，</w:t>
      </w:r>
      <w:r>
        <w:rPr>
          <w:rFonts w:hint="eastAsia" w:ascii="仿宋" w:hAnsi="仿宋" w:eastAsia="仿宋" w:cs="仿宋"/>
          <w:kern w:val="1"/>
          <w:sz w:val="30"/>
          <w:szCs w:val="30"/>
          <w:lang w:val="zh-CN"/>
        </w:rPr>
        <w:t>新增就业7</w:t>
      </w:r>
      <w:r>
        <w:rPr>
          <w:rFonts w:hint="eastAsia" w:ascii="仿宋" w:hAnsi="仿宋" w:eastAsia="仿宋" w:cs="仿宋"/>
          <w:kern w:val="1"/>
          <w:sz w:val="30"/>
          <w:szCs w:val="30"/>
        </w:rPr>
        <w:t>500余</w:t>
      </w:r>
      <w:r>
        <w:rPr>
          <w:rFonts w:hint="eastAsia" w:ascii="仿宋" w:hAnsi="仿宋" w:eastAsia="仿宋" w:cs="仿宋"/>
          <w:kern w:val="1"/>
          <w:sz w:val="30"/>
          <w:szCs w:val="30"/>
          <w:lang w:val="zh-CN"/>
        </w:rPr>
        <w:t>人，扶持创业</w:t>
      </w:r>
      <w:r>
        <w:rPr>
          <w:rFonts w:hint="eastAsia" w:ascii="仿宋" w:hAnsi="仿宋" w:eastAsia="仿宋" w:cs="仿宋"/>
          <w:kern w:val="1"/>
          <w:sz w:val="30"/>
          <w:szCs w:val="30"/>
        </w:rPr>
        <w:t>1000余</w:t>
      </w:r>
      <w:r>
        <w:rPr>
          <w:rFonts w:hint="eastAsia" w:ascii="仿宋" w:hAnsi="仿宋" w:eastAsia="仿宋" w:cs="仿宋"/>
          <w:kern w:val="1"/>
          <w:sz w:val="30"/>
          <w:szCs w:val="30"/>
          <w:lang w:val="zh-CN"/>
        </w:rPr>
        <w:t>人，城镇登记失业率控制在</w:t>
      </w:r>
      <w:r>
        <w:rPr>
          <w:rFonts w:hint="eastAsia" w:ascii="仿宋" w:hAnsi="仿宋" w:eastAsia="仿宋" w:cs="仿宋"/>
          <w:kern w:val="1"/>
          <w:sz w:val="30"/>
          <w:szCs w:val="30"/>
        </w:rPr>
        <w:t>3.26%低位水平</w:t>
      </w:r>
      <w:r>
        <w:rPr>
          <w:rFonts w:hint="eastAsia" w:ascii="仿宋" w:hAnsi="仿宋" w:eastAsia="仿宋" w:cs="仿宋"/>
          <w:kern w:val="1"/>
          <w:sz w:val="30"/>
          <w:szCs w:val="30"/>
          <w:lang w:val="zh-CN"/>
        </w:rPr>
        <w:t>。实施</w:t>
      </w:r>
      <w:r>
        <w:rPr>
          <w:rFonts w:hint="eastAsia" w:ascii="仿宋" w:hAnsi="仿宋" w:eastAsia="仿宋" w:cs="仿宋"/>
          <w:kern w:val="1"/>
          <w:sz w:val="30"/>
          <w:szCs w:val="30"/>
        </w:rPr>
        <w:t>中山小学一期等6所中小学校改扩建项目。做好常态化疫情防控工作，有效应对多起关联聚集性疫情潜在输入风险，新冠肺炎疫苗接种工作全市领先。启动与蕲春县乡村振兴定点帮扶工作。隆重举办庆祝建党100周年、磁湖文化节、磁湖健步走等系列活动，文体活动精彩纷呈。</w:t>
      </w:r>
    </w:p>
    <w:p>
      <w:pPr>
        <w:spacing w:line="587" w:lineRule="exact"/>
        <w:ind w:firstLine="632"/>
        <w:rPr>
          <w:rFonts w:hint="eastAsia" w:ascii="仿宋" w:hAnsi="仿宋" w:eastAsia="仿宋" w:cs="仿宋"/>
          <w:kern w:val="1"/>
          <w:sz w:val="30"/>
          <w:szCs w:val="30"/>
        </w:rPr>
      </w:pPr>
      <w:r>
        <w:rPr>
          <w:rFonts w:hint="eastAsia" w:ascii="仿宋" w:hAnsi="仿宋" w:eastAsia="仿宋" w:cs="仿宋"/>
          <w:b/>
          <w:bCs/>
          <w:kern w:val="1"/>
          <w:sz w:val="30"/>
          <w:szCs w:val="30"/>
        </w:rPr>
        <w:t>维护社会大局稳定。</w:t>
      </w:r>
      <w:r>
        <w:rPr>
          <w:rFonts w:hint="eastAsia" w:ascii="仿宋" w:hAnsi="仿宋" w:eastAsia="仿宋" w:cs="仿宋"/>
          <w:kern w:val="1"/>
          <w:sz w:val="30"/>
          <w:szCs w:val="30"/>
        </w:rPr>
        <w:t>健全安全生产责任体系，扎实开展燃气、危险化学品等重点行业专项整治工作，平稳处置了上港闸渗漏等安全隐患，全区工矿企业连续37个月未发生安全生产事故。成功解决了事关老百姓切身利益的吉雄药业、消防路A地块等涉企、涉房历史遗留问题。完善社会治安防控体系，始终保持对黄赌毒、盗抢骗等违法犯罪行为的高压态势。扎实推进环保工作，确保中央环保督察“回头看”反馈问题整改到位。</w:t>
      </w:r>
    </w:p>
    <w:p>
      <w:pPr>
        <w:spacing w:line="587" w:lineRule="exact"/>
        <w:ind w:firstLine="632"/>
        <w:rPr>
          <w:rFonts w:hint="eastAsia" w:ascii="仿宋" w:hAnsi="仿宋" w:eastAsia="仿宋" w:cs="仿宋"/>
          <w:kern w:val="1"/>
          <w:sz w:val="30"/>
          <w:szCs w:val="30"/>
        </w:rPr>
      </w:pPr>
      <w:r>
        <w:rPr>
          <w:rFonts w:hint="eastAsia" w:ascii="仿宋" w:hAnsi="仿宋" w:eastAsia="仿宋" w:cs="仿宋"/>
          <w:kern w:val="1"/>
          <w:sz w:val="30"/>
          <w:szCs w:val="30"/>
        </w:rPr>
        <w:t>各位代表，总结过去，我们深感逆势有为、来之不易。当前取得的成就，是习近平新时代中国特色社会主义思想科学指引的结果，是市委、市政府和区委坚强领导的结果，是区人大、区政协及社会各界监督支持的结果，是全区人民团结奋斗的结果。在此，我代表区人民政府，向全区人民，向人大代表、政协委员、各民主党派、工商联、人民团体，向所有关心、支持和参与黄石港区建设发展的社会各界人士，致以衷心的感谢和崇高的敬意！</w:t>
      </w:r>
    </w:p>
    <w:p>
      <w:pPr>
        <w:spacing w:line="587" w:lineRule="exact"/>
        <w:ind w:firstLine="632"/>
        <w:rPr>
          <w:rFonts w:hint="eastAsia" w:ascii="仿宋" w:hAnsi="仿宋" w:eastAsia="仿宋" w:cs="仿宋"/>
          <w:kern w:val="1"/>
          <w:sz w:val="30"/>
          <w:szCs w:val="30"/>
        </w:rPr>
      </w:pPr>
      <w:r>
        <w:rPr>
          <w:rFonts w:hint="eastAsia" w:ascii="仿宋" w:hAnsi="仿宋" w:eastAsia="仿宋" w:cs="仿宋"/>
          <w:kern w:val="1"/>
          <w:sz w:val="30"/>
          <w:szCs w:val="30"/>
        </w:rPr>
        <w:t>风雨多经志弥坚，关山初度路犹长。总结成绩的同时，我们也清醒地看到，发展中还存在不少困难和问题：传统产业转型升级和新兴产业发展步伐不快，招大引强、招新引优难度大，缺乏重大项目支撑；企业改制、涉房群体等历史遗留问题较多，发展包袱较重；城市基础设施建设投入力度不够，精细化管理水平不高，文明城市持续创建稳步提升机制尚未形成；教育布局不优，停车难、行车难等民生短板问题推进速度不快；营商环境仍需进一步优化，基层治理水平有待提高，干部队伍作风仍要不断加强。对此，我们将直面正视，不遮掩不回避；常态推进，不见效不放松；会商解决，不销号不罢休。</w:t>
      </w:r>
    </w:p>
    <w:p>
      <w:pPr>
        <w:spacing w:line="560" w:lineRule="exact"/>
        <w:ind w:firstLine="627"/>
        <w:rPr>
          <w:rFonts w:hint="eastAsia" w:ascii="仿宋" w:hAnsi="仿宋" w:eastAsia="仿宋" w:cs="仿宋"/>
          <w:kern w:val="1"/>
          <w:sz w:val="30"/>
          <w:szCs w:val="30"/>
        </w:rPr>
      </w:pPr>
      <w:r>
        <w:rPr>
          <w:rFonts w:hint="eastAsia" w:ascii="仿宋" w:hAnsi="仿宋" w:eastAsia="仿宋" w:cs="仿宋"/>
          <w:kern w:val="1"/>
          <w:sz w:val="30"/>
          <w:szCs w:val="30"/>
        </w:rPr>
        <w:t>二、“十四五”时期发展目标任务</w:t>
      </w:r>
    </w:p>
    <w:p>
      <w:pPr>
        <w:spacing w:line="560" w:lineRule="exact"/>
        <w:ind w:firstLine="627"/>
        <w:rPr>
          <w:rFonts w:hint="eastAsia" w:ascii="仿宋" w:hAnsi="仿宋" w:eastAsia="仿宋" w:cs="仿宋"/>
          <w:kern w:val="1"/>
          <w:sz w:val="30"/>
          <w:szCs w:val="30"/>
        </w:rPr>
      </w:pPr>
      <w:r>
        <w:rPr>
          <w:rFonts w:hint="eastAsia" w:ascii="仿宋" w:hAnsi="仿宋" w:eastAsia="仿宋" w:cs="仿宋"/>
          <w:kern w:val="1"/>
          <w:sz w:val="30"/>
          <w:szCs w:val="30"/>
        </w:rPr>
        <w:t>“十四五”时期，我区处于临空发展腾飞期、新兴经济迸发期、区域协调融合期、城市功能更新期、生活品质提升期，机遇大于挑战，发展前景广阔。根据《中共黄石港区委关于制定全区国民经济和社会发展第十四个五年规划和二〇三五年远景目标的建议》，区政府组织编制了《黄石港区国民经济和社会发展第十四个五年规划纲要和二〇三五年远景目标（草案）》。</w:t>
      </w:r>
    </w:p>
    <w:p>
      <w:pPr>
        <w:spacing w:line="560" w:lineRule="exact"/>
        <w:ind w:firstLine="627"/>
        <w:rPr>
          <w:rFonts w:hint="eastAsia" w:ascii="仿宋" w:hAnsi="仿宋" w:eastAsia="仿宋" w:cs="仿宋"/>
          <w:kern w:val="1"/>
          <w:sz w:val="30"/>
          <w:szCs w:val="30"/>
        </w:rPr>
      </w:pPr>
      <w:r>
        <w:rPr>
          <w:rFonts w:hint="eastAsia" w:ascii="仿宋" w:hAnsi="仿宋" w:eastAsia="仿宋" w:cs="仿宋"/>
          <w:kern w:val="1"/>
          <w:sz w:val="30"/>
          <w:szCs w:val="30"/>
        </w:rPr>
        <w:t>“十四五”时期总体思路是：高举中国特色社会主义伟大旗帜，坚持以习近平新时代中国特色社会主义思想为指导，深入贯彻党的十九大和十九届二中、三中、四中、五中全会精神，统筹推进“五位一体”总体布局，协调推进“四个全面”战略布局，立足新发展阶段、贯彻新发展理念、融入新发展格局，认真落实湖北省“一主引领、两翼驱动、全域协同”区域发展布局，紧紧围绕黄石“五城”、“四再”目标和“一心两带、多点支撑、全域一体”的发展布局，坚持以转型升级、高质量发展为主题，抢抓湖北国际物流核心枢纽建设重大机遇，牢固树立全域临空理念，深入推进科创临空、产业临空、智慧临空、生态临空、人文临空战略，争创全国现代服务业试验区，打造长江经济带绿色发展示范区，建设全域临空先行区，创造美好生活引领区，全面开启临空黄石港现代化建设新征程，为黄石建成长江中游城市群区域性中心城市贡献力量。</w:t>
      </w:r>
    </w:p>
    <w:p>
      <w:pPr>
        <w:spacing w:line="560" w:lineRule="exact"/>
        <w:ind w:firstLine="627"/>
        <w:rPr>
          <w:rFonts w:hint="eastAsia" w:ascii="仿宋" w:hAnsi="仿宋" w:eastAsia="仿宋" w:cs="仿宋"/>
          <w:kern w:val="1"/>
          <w:sz w:val="30"/>
          <w:szCs w:val="30"/>
        </w:rPr>
      </w:pPr>
      <w:r>
        <w:rPr>
          <w:rFonts w:hint="eastAsia" w:ascii="仿宋" w:hAnsi="仿宋" w:eastAsia="仿宋" w:cs="仿宋"/>
          <w:kern w:val="1"/>
          <w:sz w:val="30"/>
          <w:szCs w:val="30"/>
        </w:rPr>
        <w:t>“十四五”时期主要目标是：全域临空定位深入人心，“五个临空”</w:t>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vertAlign w:val="superscript"/>
        </w:rPr>
        <w:endnoteReference w:id="6"/>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rPr>
        <w:t>战略深入推进，“四区”</w:t>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vertAlign w:val="superscript"/>
        </w:rPr>
        <w:endnoteReference w:id="7"/>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rPr>
        <w:t>目标基本实现，经济综合实力、创新发展活力、区域功能布局、生态文明建设、人民生活品质、区域治理效能取得新的更大进展。</w:t>
      </w:r>
    </w:p>
    <w:p>
      <w:pPr>
        <w:spacing w:line="560" w:lineRule="exact"/>
        <w:ind w:firstLine="627"/>
        <w:rPr>
          <w:rFonts w:hint="eastAsia" w:ascii="仿宋" w:hAnsi="仿宋" w:eastAsia="仿宋" w:cs="仿宋"/>
          <w:kern w:val="1"/>
          <w:sz w:val="30"/>
          <w:szCs w:val="30"/>
        </w:rPr>
      </w:pPr>
      <w:r>
        <w:rPr>
          <w:rFonts w:hint="eastAsia" w:ascii="仿宋" w:hAnsi="仿宋" w:eastAsia="仿宋" w:cs="仿宋"/>
          <w:kern w:val="1"/>
          <w:sz w:val="30"/>
          <w:szCs w:val="30"/>
        </w:rPr>
        <w:t>“十四五”时期主要任务是：</w:t>
      </w:r>
    </w:p>
    <w:p>
      <w:pPr>
        <w:spacing w:line="560" w:lineRule="exact"/>
        <w:ind w:firstLine="630"/>
        <w:rPr>
          <w:rFonts w:hint="eastAsia" w:ascii="仿宋" w:hAnsi="仿宋" w:eastAsia="仿宋" w:cs="仿宋"/>
          <w:kern w:val="1"/>
          <w:sz w:val="30"/>
          <w:szCs w:val="30"/>
        </w:rPr>
      </w:pPr>
      <w:bookmarkStart w:id="0" w:name="_Hlk59780515"/>
      <w:bookmarkEnd w:id="0"/>
      <w:r>
        <w:rPr>
          <w:rFonts w:hint="eastAsia" w:ascii="仿宋" w:hAnsi="仿宋" w:eastAsia="仿宋" w:cs="仿宋"/>
          <w:b/>
          <w:kern w:val="1"/>
          <w:sz w:val="30"/>
          <w:szCs w:val="30"/>
        </w:rPr>
        <w:t>——</w:t>
      </w:r>
      <w:r>
        <w:rPr>
          <w:rFonts w:hint="eastAsia" w:ascii="仿宋" w:hAnsi="仿宋" w:eastAsia="仿宋" w:cs="仿宋"/>
          <w:bCs/>
          <w:kern w:val="1"/>
          <w:sz w:val="30"/>
          <w:szCs w:val="30"/>
        </w:rPr>
        <w:t>推进经济高质量发展，争创全国现代服务业试验区。</w:t>
      </w:r>
      <w:r>
        <w:rPr>
          <w:rFonts w:hint="eastAsia" w:ascii="仿宋" w:hAnsi="仿宋" w:eastAsia="仿宋" w:cs="仿宋"/>
          <w:kern w:val="1"/>
          <w:sz w:val="30"/>
          <w:szCs w:val="30"/>
        </w:rPr>
        <w:t>产业基础高级化、产业链现代化水平明显提高，以总部经济、数字经济为重点的现代产业体系建设取得重大进展，智能制造业与现代服务业融合发展实现新突破，全区第三产业占比达85%以上，社会消费品零售总额实现翻番，巩固提升服务业发展在全省城区中的领先地位，争创全国现代服务业试验区。</w:t>
      </w:r>
    </w:p>
    <w:p>
      <w:pPr>
        <w:spacing w:line="560" w:lineRule="exact"/>
        <w:ind w:firstLine="630"/>
        <w:rPr>
          <w:rFonts w:hint="eastAsia" w:ascii="仿宋" w:hAnsi="仿宋" w:eastAsia="仿宋" w:cs="仿宋"/>
          <w:kern w:val="1"/>
          <w:sz w:val="30"/>
          <w:szCs w:val="30"/>
        </w:rPr>
      </w:pPr>
      <w:bookmarkStart w:id="1" w:name="_Hlk59780575"/>
      <w:bookmarkEnd w:id="1"/>
      <w:r>
        <w:rPr>
          <w:rFonts w:hint="eastAsia" w:ascii="仿宋" w:hAnsi="仿宋" w:eastAsia="仿宋" w:cs="仿宋"/>
          <w:b/>
          <w:kern w:val="1"/>
          <w:sz w:val="30"/>
          <w:szCs w:val="30"/>
        </w:rPr>
        <w:t>——</w:t>
      </w:r>
      <w:r>
        <w:rPr>
          <w:rFonts w:hint="eastAsia" w:ascii="仿宋" w:hAnsi="仿宋" w:eastAsia="仿宋" w:cs="仿宋"/>
          <w:bCs/>
          <w:kern w:val="1"/>
          <w:sz w:val="30"/>
          <w:szCs w:val="30"/>
        </w:rPr>
        <w:t>推进科技和改革创新，增强发展动能和活力。</w:t>
      </w:r>
      <w:r>
        <w:rPr>
          <w:rFonts w:hint="eastAsia" w:ascii="仿宋" w:hAnsi="仿宋" w:eastAsia="仿宋" w:cs="仿宋"/>
          <w:kern w:val="1"/>
          <w:sz w:val="30"/>
          <w:szCs w:val="30"/>
        </w:rPr>
        <w:t>创新在发展全局中的核心地位全面凸显，科技、产业、人才和体制机制创新体系不断完善，企业创新能力显著提升，社会创新活力不断增强，融入区域创新协作取得成效，重点领域和关键环节改革实现新突破，营商环境全面优化。</w:t>
      </w:r>
    </w:p>
    <w:p>
      <w:pPr>
        <w:spacing w:line="560" w:lineRule="exact"/>
        <w:ind w:firstLine="630"/>
        <w:rPr>
          <w:rFonts w:hint="eastAsia" w:ascii="仿宋" w:hAnsi="仿宋" w:eastAsia="仿宋" w:cs="仿宋"/>
          <w:kern w:val="1"/>
          <w:sz w:val="30"/>
          <w:szCs w:val="30"/>
        </w:rPr>
      </w:pPr>
      <w:bookmarkStart w:id="2" w:name="_Hlk59780466"/>
      <w:bookmarkEnd w:id="2"/>
      <w:r>
        <w:rPr>
          <w:rFonts w:hint="eastAsia" w:ascii="仿宋" w:hAnsi="仿宋" w:eastAsia="仿宋" w:cs="仿宋"/>
          <w:b/>
          <w:kern w:val="1"/>
          <w:sz w:val="30"/>
          <w:szCs w:val="30"/>
        </w:rPr>
        <w:t>——</w:t>
      </w:r>
      <w:r>
        <w:rPr>
          <w:rFonts w:hint="eastAsia" w:ascii="仿宋" w:hAnsi="仿宋" w:eastAsia="仿宋" w:cs="仿宋"/>
          <w:bCs/>
          <w:kern w:val="1"/>
          <w:sz w:val="30"/>
          <w:szCs w:val="30"/>
        </w:rPr>
        <w:t>推进智慧城市建设，建设全域临空先行区。</w:t>
      </w:r>
      <w:r>
        <w:rPr>
          <w:rFonts w:hint="eastAsia" w:ascii="仿宋" w:hAnsi="仿宋" w:eastAsia="仿宋" w:cs="仿宋"/>
          <w:kern w:val="1"/>
          <w:sz w:val="30"/>
          <w:szCs w:val="30"/>
        </w:rPr>
        <w:t>全域临空的功能全面凸显，“两园两带”</w:t>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vertAlign w:val="superscript"/>
        </w:rPr>
        <w:endnoteReference w:id="8"/>
      </w:r>
      <w:r>
        <w:rPr>
          <w:rFonts w:hint="eastAsia" w:ascii="仿宋" w:hAnsi="仿宋" w:eastAsia="仿宋" w:cs="仿宋"/>
          <w:kern w:val="1"/>
          <w:sz w:val="30"/>
          <w:szCs w:val="30"/>
          <w:vertAlign w:val="superscript"/>
        </w:rPr>
        <w:t>]</w:t>
      </w:r>
      <w:r>
        <w:rPr>
          <w:rFonts w:hint="eastAsia" w:ascii="仿宋" w:hAnsi="仿宋" w:eastAsia="仿宋" w:cs="仿宋"/>
          <w:kern w:val="1"/>
          <w:sz w:val="30"/>
          <w:szCs w:val="30"/>
        </w:rPr>
        <w:t>的空间布局基本形成，临空商务产业园核心区建成见效，临空智造产业园形成规模，临空都市发展带、滨水绿色发展带在全市发展布局中发挥先行引领作用。着力推进智慧交通、智慧市政、智慧社区工程建设，打造大数据支撑、网络化共享、智能化协作的智慧供应链体系，推动城市管理、服务、运营向精细化、科学化、智能化方向迈进,建设全域临空先行区。</w:t>
      </w:r>
    </w:p>
    <w:p>
      <w:pPr>
        <w:spacing w:line="560" w:lineRule="exact"/>
        <w:ind w:firstLine="630"/>
        <w:rPr>
          <w:rFonts w:hint="eastAsia" w:ascii="仿宋" w:hAnsi="仿宋" w:eastAsia="仿宋" w:cs="仿宋"/>
          <w:kern w:val="1"/>
          <w:sz w:val="30"/>
          <w:szCs w:val="30"/>
        </w:rPr>
      </w:pPr>
      <w:r>
        <w:rPr>
          <w:rFonts w:hint="eastAsia" w:ascii="仿宋" w:hAnsi="仿宋" w:eastAsia="仿宋" w:cs="仿宋"/>
          <w:b/>
          <w:kern w:val="1"/>
          <w:sz w:val="30"/>
          <w:szCs w:val="30"/>
        </w:rPr>
        <w:t>——</w:t>
      </w:r>
      <w:r>
        <w:rPr>
          <w:rFonts w:hint="eastAsia" w:ascii="仿宋" w:hAnsi="仿宋" w:eastAsia="仿宋" w:cs="仿宋"/>
          <w:bCs/>
          <w:kern w:val="1"/>
          <w:sz w:val="30"/>
          <w:szCs w:val="30"/>
        </w:rPr>
        <w:t>推进生态治理和环境保护，打造长江经济绿色发展示范区。</w:t>
      </w:r>
      <w:r>
        <w:rPr>
          <w:rFonts w:hint="eastAsia" w:ascii="仿宋" w:hAnsi="仿宋" w:eastAsia="仿宋" w:cs="仿宋"/>
          <w:kern w:val="1"/>
          <w:sz w:val="30"/>
          <w:szCs w:val="30"/>
        </w:rPr>
        <w:t>长江岸线治理、修复和保护取得更大成效，区域内山、水、林、湖、草综合治理全面达标，主要污染物排放总量持续减少，区域生态环境持续改善，生态安全屏障更加牢固，</w:t>
      </w:r>
      <w:bookmarkStart w:id="3" w:name="_Hlk59780755"/>
      <w:bookmarkEnd w:id="3"/>
      <w:r>
        <w:rPr>
          <w:rFonts w:hint="eastAsia" w:ascii="仿宋" w:hAnsi="仿宋" w:eastAsia="仿宋" w:cs="仿宋"/>
          <w:kern w:val="1"/>
          <w:sz w:val="30"/>
          <w:szCs w:val="30"/>
        </w:rPr>
        <w:t>建成国家级生态文明示范城区，打造长江经济带绿色发展示范区。</w:t>
      </w:r>
    </w:p>
    <w:p>
      <w:pPr>
        <w:spacing w:line="560" w:lineRule="exact"/>
        <w:ind w:firstLine="630"/>
        <w:rPr>
          <w:rFonts w:hint="eastAsia" w:ascii="仿宋" w:hAnsi="仿宋" w:eastAsia="仿宋" w:cs="仿宋"/>
          <w:kern w:val="1"/>
          <w:sz w:val="30"/>
          <w:szCs w:val="30"/>
        </w:rPr>
      </w:pPr>
      <w:r>
        <w:rPr>
          <w:rFonts w:hint="eastAsia" w:ascii="仿宋" w:hAnsi="仿宋" w:eastAsia="仿宋" w:cs="仿宋"/>
          <w:b/>
          <w:kern w:val="1"/>
          <w:sz w:val="30"/>
          <w:szCs w:val="30"/>
        </w:rPr>
        <w:t>——</w:t>
      </w:r>
      <w:r>
        <w:rPr>
          <w:rFonts w:hint="eastAsia" w:ascii="仿宋" w:hAnsi="仿宋" w:eastAsia="仿宋" w:cs="仿宋"/>
          <w:bCs/>
          <w:kern w:val="1"/>
          <w:sz w:val="30"/>
          <w:szCs w:val="30"/>
        </w:rPr>
        <w:t>推进社会事业高品质发展，创造美好生活引领区。</w:t>
      </w:r>
      <w:r>
        <w:rPr>
          <w:rFonts w:hint="eastAsia" w:ascii="仿宋" w:hAnsi="仿宋" w:eastAsia="仿宋" w:cs="仿宋"/>
          <w:kern w:val="1"/>
          <w:sz w:val="30"/>
          <w:szCs w:val="30"/>
        </w:rPr>
        <w:t>全面完成老旧小区改造任务，完成“15分钟生活圈”全覆盖。实现更加充分更高质量就业，居民收入稳步增长，基本公共服务均等化水平明显提高。全民受教育程度不断提升，卫生健康服务体系更加完善，多层次社会保障体系更加健全。公共文化服务体系进一步完善，文旅产业融合发展格局基本形成，社会文明程度显著提升，群众获得感幸福感不断增强，</w:t>
      </w:r>
      <w:bookmarkStart w:id="4" w:name="_Hlk59780814"/>
      <w:bookmarkEnd w:id="4"/>
      <w:r>
        <w:rPr>
          <w:rFonts w:hint="eastAsia" w:ascii="仿宋" w:hAnsi="仿宋" w:eastAsia="仿宋" w:cs="仿宋"/>
          <w:kern w:val="1"/>
          <w:sz w:val="30"/>
          <w:szCs w:val="30"/>
        </w:rPr>
        <w:t>创造美好生活引领区。</w:t>
      </w:r>
    </w:p>
    <w:p>
      <w:pPr>
        <w:spacing w:line="560" w:lineRule="exact"/>
        <w:ind w:firstLine="630"/>
        <w:rPr>
          <w:rFonts w:hint="eastAsia" w:ascii="仿宋" w:hAnsi="仿宋" w:eastAsia="仿宋" w:cs="仿宋"/>
          <w:kern w:val="1"/>
          <w:sz w:val="30"/>
          <w:szCs w:val="30"/>
        </w:rPr>
      </w:pPr>
      <w:r>
        <w:rPr>
          <w:rFonts w:hint="eastAsia" w:ascii="仿宋" w:hAnsi="仿宋" w:eastAsia="仿宋" w:cs="仿宋"/>
          <w:b/>
          <w:kern w:val="1"/>
          <w:sz w:val="30"/>
          <w:szCs w:val="30"/>
        </w:rPr>
        <w:t>——</w:t>
      </w:r>
      <w:r>
        <w:rPr>
          <w:rFonts w:hint="eastAsia" w:ascii="仿宋" w:hAnsi="仿宋" w:eastAsia="仿宋" w:cs="仿宋"/>
          <w:bCs/>
          <w:kern w:val="1"/>
          <w:sz w:val="30"/>
          <w:szCs w:val="30"/>
        </w:rPr>
        <w:t>推进社会治理体系和能力建设，提高区域社会治理现代化水平。</w:t>
      </w:r>
      <w:r>
        <w:rPr>
          <w:rFonts w:hint="eastAsia" w:ascii="仿宋" w:hAnsi="仿宋" w:eastAsia="仿宋" w:cs="仿宋"/>
          <w:kern w:val="1"/>
          <w:sz w:val="30"/>
          <w:szCs w:val="30"/>
        </w:rPr>
        <w:t>社会主义民主法治更加健全，社会公平正义进一步彰显。防范化解重大风险、应急处置、反恐维稳、消防救援、救灾减灾能力不断增强，发展安全保障更加有力。社会治理体系更加完善，基层治理水平明显提高，</w:t>
      </w:r>
      <w:bookmarkStart w:id="5" w:name="_Hlk59780955"/>
      <w:bookmarkEnd w:id="5"/>
      <w:r>
        <w:rPr>
          <w:rFonts w:hint="eastAsia" w:ascii="仿宋" w:hAnsi="仿宋" w:eastAsia="仿宋" w:cs="仿宋"/>
          <w:kern w:val="1"/>
          <w:sz w:val="30"/>
          <w:szCs w:val="30"/>
        </w:rPr>
        <w:t>区域社会治理能力和水平走在全市前列。</w:t>
      </w:r>
    </w:p>
    <w:p>
      <w:pPr>
        <w:widowControl/>
        <w:ind w:firstLine="602" w:firstLineChars="200"/>
        <w:jc w:val="left"/>
        <w:rPr>
          <w:rFonts w:hint="eastAsia" w:ascii="仿宋" w:hAnsi="仿宋" w:eastAsia="仿宋" w:cs="仿宋"/>
          <w:b/>
          <w:bCs/>
          <w:sz w:val="30"/>
          <w:szCs w:val="30"/>
        </w:rPr>
      </w:pPr>
    </w:p>
    <w:p>
      <w:pPr>
        <w:widowControl/>
        <w:ind w:firstLine="602" w:firstLineChars="200"/>
        <w:jc w:val="left"/>
        <w:rPr>
          <w:rFonts w:hint="eastAsia" w:ascii="仿宋" w:hAnsi="仿宋" w:eastAsia="仿宋" w:cs="仿宋"/>
          <w:b/>
          <w:bCs/>
          <w:sz w:val="30"/>
          <w:szCs w:val="30"/>
        </w:rPr>
      </w:pPr>
    </w:p>
    <w:p>
      <w:pPr>
        <w:widowControl/>
        <w:ind w:firstLine="602" w:firstLineChars="200"/>
        <w:jc w:val="left"/>
        <w:rPr>
          <w:rFonts w:hint="eastAsia" w:ascii="仿宋" w:hAnsi="仿宋" w:eastAsia="仿宋" w:cs="仿宋"/>
          <w:b/>
          <w:bCs/>
          <w:sz w:val="30"/>
          <w:szCs w:val="30"/>
        </w:rPr>
      </w:pPr>
    </w:p>
    <w:p>
      <w:pPr>
        <w:widowControl/>
        <w:ind w:firstLine="602" w:firstLineChars="200"/>
        <w:jc w:val="left"/>
        <w:rPr>
          <w:rFonts w:hint="eastAsia" w:ascii="仿宋" w:hAnsi="仿宋" w:eastAsia="仿宋" w:cs="仿宋"/>
          <w:b/>
          <w:bCs/>
          <w:sz w:val="30"/>
          <w:szCs w:val="30"/>
        </w:rPr>
      </w:pPr>
    </w:p>
    <w:p>
      <w:pPr>
        <w:widowControl/>
        <w:ind w:firstLine="602" w:firstLineChars="200"/>
        <w:jc w:val="left"/>
        <w:rPr>
          <w:rFonts w:hint="eastAsia" w:ascii="仿宋" w:hAnsi="仿宋" w:eastAsia="仿宋" w:cs="仿宋"/>
          <w:b/>
          <w:bCs/>
          <w:sz w:val="30"/>
          <w:szCs w:val="30"/>
        </w:rPr>
      </w:pPr>
    </w:p>
    <w:p>
      <w:pPr>
        <w:widowControl/>
        <w:ind w:firstLine="602" w:firstLineChars="200"/>
        <w:jc w:val="left"/>
        <w:rPr>
          <w:rFonts w:hint="eastAsia" w:ascii="仿宋" w:hAnsi="仿宋" w:eastAsia="仿宋" w:cs="仿宋"/>
          <w:b/>
          <w:bCs/>
          <w:sz w:val="30"/>
          <w:szCs w:val="30"/>
        </w:rPr>
      </w:pPr>
    </w:p>
    <w:p>
      <w:pPr>
        <w:widowControl/>
        <w:ind w:firstLine="602" w:firstLineChars="200"/>
        <w:jc w:val="left"/>
        <w:rPr>
          <w:rFonts w:hint="eastAsia" w:ascii="仿宋" w:hAnsi="仿宋" w:eastAsia="仿宋" w:cs="仿宋"/>
          <w:b/>
          <w:bCs/>
          <w:sz w:val="30"/>
          <w:szCs w:val="30"/>
        </w:rPr>
      </w:pPr>
    </w:p>
    <w:p>
      <w:pPr>
        <w:widowControl/>
        <w:ind w:firstLine="602" w:firstLineChars="200"/>
        <w:jc w:val="left"/>
        <w:rPr>
          <w:rFonts w:hint="eastAsia" w:ascii="仿宋" w:hAnsi="仿宋" w:eastAsia="仿宋" w:cs="仿宋"/>
          <w:b/>
          <w:bCs/>
          <w:sz w:val="30"/>
          <w:szCs w:val="30"/>
        </w:rPr>
      </w:pPr>
    </w:p>
    <w:p>
      <w:pPr>
        <w:widowControl/>
        <w:ind w:firstLine="602" w:firstLineChars="200"/>
        <w:jc w:val="left"/>
        <w:rPr>
          <w:rFonts w:hint="eastAsia" w:ascii="仿宋" w:hAnsi="仿宋" w:eastAsia="仿宋" w:cs="仿宋"/>
          <w:b/>
          <w:bCs/>
          <w:sz w:val="30"/>
          <w:szCs w:val="30"/>
        </w:rPr>
      </w:pPr>
    </w:p>
    <w:p>
      <w:pPr>
        <w:widowControl/>
        <w:ind w:firstLine="602" w:firstLineChars="200"/>
        <w:jc w:val="left"/>
        <w:rPr>
          <w:rFonts w:hint="eastAsia" w:ascii="仿宋" w:hAnsi="仿宋" w:eastAsia="仿宋" w:cs="仿宋"/>
          <w:b/>
          <w:bCs/>
          <w:sz w:val="30"/>
          <w:szCs w:val="30"/>
        </w:rPr>
      </w:pPr>
    </w:p>
    <w:p>
      <w:pPr>
        <w:widowControl/>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第二部分：部门202</w:t>
      </w: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年部门决算表</w:t>
      </w:r>
    </w:p>
    <w:tbl>
      <w:tblPr>
        <w:tblStyle w:val="10"/>
        <w:tblW w:w="1288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4"/>
        <w:gridCol w:w="317"/>
        <w:gridCol w:w="1963"/>
        <w:gridCol w:w="329"/>
        <w:gridCol w:w="207"/>
        <w:gridCol w:w="616"/>
        <w:gridCol w:w="125"/>
        <w:gridCol w:w="456"/>
        <w:gridCol w:w="835"/>
        <w:gridCol w:w="228"/>
        <w:gridCol w:w="245"/>
        <w:gridCol w:w="631"/>
        <w:gridCol w:w="65"/>
        <w:gridCol w:w="847"/>
        <w:gridCol w:w="53"/>
        <w:gridCol w:w="919"/>
        <w:gridCol w:w="77"/>
        <w:gridCol w:w="379"/>
        <w:gridCol w:w="617"/>
        <w:gridCol w:w="283"/>
        <w:gridCol w:w="677"/>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883" w:type="dxa"/>
            <w:gridSpan w:val="22"/>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883" w:type="dxa"/>
            <w:gridSpan w:val="2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部门：黄石市黄石港区政府办公室</w:t>
            </w:r>
          </w:p>
        </w:tc>
        <w:tc>
          <w:tcPr>
            <w:tcW w:w="61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644"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3216" w:type="dxa"/>
            <w:gridSpan w:val="8"/>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1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640" w:type="dxa"/>
            <w:gridSpan w:val="3"/>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410" w:type="dxa"/>
            <w:gridSpan w:val="10"/>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6473" w:type="dxa"/>
            <w:gridSpan w:val="1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64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64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616"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4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617"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64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4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4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4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4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4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4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4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40.10</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64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606.50</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64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64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22.22</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644"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6" w:type="dxa"/>
            <w:gridSpan w:val="8"/>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640" w:type="dxa"/>
            <w:gridSpan w:val="3"/>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64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628.72</w:t>
            </w:r>
          </w:p>
        </w:tc>
        <w:tc>
          <w:tcPr>
            <w:tcW w:w="3216"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61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64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883" w:type="dxa"/>
            <w:gridSpan w:val="22"/>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883" w:type="dxa"/>
            <w:gridSpan w:val="22"/>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883" w:type="dxa"/>
            <w:gridSpan w:val="2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75" w:hRule="atLeast"/>
        </w:trPr>
        <w:tc>
          <w:tcPr>
            <w:tcW w:w="11203" w:type="dxa"/>
            <w:gridSpan w:val="21"/>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00" w:hRule="atLeast"/>
        </w:trPr>
        <w:tc>
          <w:tcPr>
            <w:tcW w:w="11203" w:type="dxa"/>
            <w:gridSpan w:val="21"/>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00" w:hRule="atLeast"/>
        </w:trPr>
        <w:tc>
          <w:tcPr>
            <w:tcW w:w="3943" w:type="dxa"/>
            <w:gridSpan w:val="4"/>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部门：黄石市黄石港区政府办公室</w:t>
            </w:r>
          </w:p>
        </w:tc>
        <w:tc>
          <w:tcPr>
            <w:tcW w:w="948"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64"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696"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00"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96"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956"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00" w:hRule="atLeast"/>
        </w:trPr>
        <w:tc>
          <w:tcPr>
            <w:tcW w:w="3943"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48"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764"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69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900"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99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99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960"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00" w:hRule="atLeast"/>
        </w:trPr>
        <w:tc>
          <w:tcPr>
            <w:tcW w:w="1651" w:type="dxa"/>
            <w:gridSpan w:val="2"/>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292" w:type="dxa"/>
            <w:gridSpan w:val="2"/>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9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64"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0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6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00" w:hRule="atLeast"/>
        </w:trPr>
        <w:tc>
          <w:tcPr>
            <w:tcW w:w="1651" w:type="dxa"/>
            <w:gridSpan w:val="2"/>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92" w:type="dxa"/>
            <w:gridSpan w:val="2"/>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64"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0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6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00" w:hRule="atLeast"/>
        </w:trPr>
        <w:tc>
          <w:tcPr>
            <w:tcW w:w="1651" w:type="dxa"/>
            <w:gridSpan w:val="2"/>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92" w:type="dxa"/>
            <w:gridSpan w:val="2"/>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64"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0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6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00" w:hRule="atLeast"/>
        </w:trPr>
        <w:tc>
          <w:tcPr>
            <w:tcW w:w="3943"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948"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64"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0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9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6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00" w:hRule="atLeast"/>
        </w:trPr>
        <w:tc>
          <w:tcPr>
            <w:tcW w:w="3943"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606.50</w:t>
            </w:r>
          </w:p>
        </w:tc>
        <w:tc>
          <w:tcPr>
            <w:tcW w:w="176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566.40</w:t>
            </w:r>
          </w:p>
        </w:tc>
        <w:tc>
          <w:tcPr>
            <w:tcW w:w="6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00" w:hRule="atLeast"/>
        </w:trPr>
        <w:tc>
          <w:tcPr>
            <w:tcW w:w="165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229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9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606.50</w:t>
            </w:r>
          </w:p>
        </w:tc>
        <w:tc>
          <w:tcPr>
            <w:tcW w:w="176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566.40</w:t>
            </w:r>
          </w:p>
        </w:tc>
        <w:tc>
          <w:tcPr>
            <w:tcW w:w="69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00" w:hRule="atLeast"/>
        </w:trPr>
        <w:tc>
          <w:tcPr>
            <w:tcW w:w="165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w:t>
            </w:r>
          </w:p>
        </w:tc>
        <w:tc>
          <w:tcPr>
            <w:tcW w:w="229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政府办公厅（室）及相关机构事务</w:t>
            </w:r>
          </w:p>
        </w:tc>
        <w:tc>
          <w:tcPr>
            <w:tcW w:w="948"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606.50</w:t>
            </w:r>
          </w:p>
        </w:tc>
        <w:tc>
          <w:tcPr>
            <w:tcW w:w="176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566.40</w:t>
            </w:r>
          </w:p>
        </w:tc>
        <w:tc>
          <w:tcPr>
            <w:tcW w:w="69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00" w:hRule="atLeast"/>
        </w:trPr>
        <w:tc>
          <w:tcPr>
            <w:tcW w:w="1651"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2292" w:type="dxa"/>
            <w:gridSpan w:val="2"/>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9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606.50</w:t>
            </w:r>
          </w:p>
        </w:tc>
        <w:tc>
          <w:tcPr>
            <w:tcW w:w="176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6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80" w:type="dxa"/>
          <w:trHeight w:val="300" w:hRule="atLeast"/>
        </w:trPr>
        <w:tc>
          <w:tcPr>
            <w:tcW w:w="11203" w:type="dxa"/>
            <w:gridSpan w:val="2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357" w:type="dxa"/>
          <w:trHeight w:val="375" w:hRule="atLeast"/>
        </w:trPr>
        <w:tc>
          <w:tcPr>
            <w:tcW w:w="10526" w:type="dxa"/>
            <w:gridSpan w:val="2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357" w:type="dxa"/>
          <w:trHeight w:val="300" w:hRule="atLeast"/>
        </w:trPr>
        <w:tc>
          <w:tcPr>
            <w:tcW w:w="10526" w:type="dxa"/>
            <w:gridSpan w:val="20"/>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357" w:type="dxa"/>
          <w:trHeight w:val="300" w:hRule="atLeast"/>
        </w:trPr>
        <w:tc>
          <w:tcPr>
            <w:tcW w:w="3614"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部门：黄石市黄石港区政府办公室</w:t>
            </w:r>
          </w:p>
        </w:tc>
        <w:tc>
          <w:tcPr>
            <w:tcW w:w="3672" w:type="dxa"/>
            <w:gridSpan w:val="9"/>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2021年度</w:t>
            </w:r>
          </w:p>
        </w:tc>
        <w:tc>
          <w:tcPr>
            <w:tcW w:w="912"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328" w:type="dxa"/>
            <w:gridSpan w:val="6"/>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357" w:type="dxa"/>
          <w:trHeight w:val="300" w:hRule="atLeast"/>
        </w:trPr>
        <w:tc>
          <w:tcPr>
            <w:tcW w:w="361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33"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83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104"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912"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972"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356"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357" w:type="dxa"/>
          <w:trHeight w:val="300" w:hRule="atLeast"/>
        </w:trPr>
        <w:tc>
          <w:tcPr>
            <w:tcW w:w="1334"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280" w:type="dxa"/>
            <w:gridSpan w:val="2"/>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33"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3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04"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12"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2"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56"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357" w:type="dxa"/>
          <w:trHeight w:val="300" w:hRule="atLeast"/>
        </w:trPr>
        <w:tc>
          <w:tcPr>
            <w:tcW w:w="1334"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80" w:type="dxa"/>
            <w:gridSpan w:val="2"/>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33"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3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04"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12"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2"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56"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357" w:type="dxa"/>
          <w:trHeight w:val="300" w:hRule="atLeast"/>
        </w:trPr>
        <w:tc>
          <w:tcPr>
            <w:tcW w:w="1334"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80" w:type="dxa"/>
            <w:gridSpan w:val="2"/>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33"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3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04"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12"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2"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56"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357" w:type="dxa"/>
          <w:trHeight w:val="300" w:hRule="atLeast"/>
        </w:trPr>
        <w:tc>
          <w:tcPr>
            <w:tcW w:w="361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33"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4"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2"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72"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56"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357" w:type="dxa"/>
          <w:trHeight w:val="300" w:hRule="atLeast"/>
        </w:trPr>
        <w:tc>
          <w:tcPr>
            <w:tcW w:w="361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33"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606.50</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606.50</w:t>
            </w:r>
          </w:p>
        </w:tc>
        <w:tc>
          <w:tcPr>
            <w:tcW w:w="110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12"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72"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56"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357" w:type="dxa"/>
          <w:trHeight w:val="300" w:hRule="atLeast"/>
        </w:trPr>
        <w:tc>
          <w:tcPr>
            <w:tcW w:w="133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228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733"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606.50</w:t>
            </w:r>
          </w:p>
        </w:tc>
        <w:tc>
          <w:tcPr>
            <w:tcW w:w="8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606.50</w:t>
            </w:r>
          </w:p>
        </w:tc>
        <w:tc>
          <w:tcPr>
            <w:tcW w:w="1104"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7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56"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357" w:type="dxa"/>
          <w:trHeight w:val="300" w:hRule="atLeast"/>
        </w:trPr>
        <w:tc>
          <w:tcPr>
            <w:tcW w:w="133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w:t>
            </w:r>
          </w:p>
        </w:tc>
        <w:tc>
          <w:tcPr>
            <w:tcW w:w="228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政府办公厅（室）及相关机构事务</w:t>
            </w:r>
          </w:p>
        </w:tc>
        <w:tc>
          <w:tcPr>
            <w:tcW w:w="1733"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606.50</w:t>
            </w:r>
          </w:p>
        </w:tc>
        <w:tc>
          <w:tcPr>
            <w:tcW w:w="8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606.50</w:t>
            </w:r>
          </w:p>
        </w:tc>
        <w:tc>
          <w:tcPr>
            <w:tcW w:w="1104"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7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56"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57" w:type="dxa"/>
          <w:trHeight w:val="300" w:hRule="atLeast"/>
        </w:trPr>
        <w:tc>
          <w:tcPr>
            <w:tcW w:w="133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2280" w:type="dxa"/>
            <w:gridSpan w:val="2"/>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733"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606.50</w:t>
            </w:r>
          </w:p>
        </w:tc>
        <w:tc>
          <w:tcPr>
            <w:tcW w:w="8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606.50</w:t>
            </w:r>
          </w:p>
        </w:tc>
        <w:tc>
          <w:tcPr>
            <w:tcW w:w="110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2"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56"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57" w:type="dxa"/>
          <w:trHeight w:val="300" w:hRule="atLeast"/>
        </w:trPr>
        <w:tc>
          <w:tcPr>
            <w:tcW w:w="10526" w:type="dxa"/>
            <w:gridSpan w:val="2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numPr>
          <w:ilvl w:val="0"/>
          <w:numId w:val="0"/>
        </w:numPr>
        <w:ind w:firstLine="602" w:firstLineChars="200"/>
        <w:rPr>
          <w:rFonts w:hint="eastAsia" w:ascii="仿宋" w:hAnsi="仿宋" w:eastAsia="仿宋" w:cs="仿宋"/>
          <w:b/>
          <w:sz w:val="30"/>
          <w:szCs w:val="30"/>
          <w:lang w:val="en-US" w:eastAsia="zh-CN"/>
        </w:rPr>
      </w:pPr>
    </w:p>
    <w:p>
      <w:pPr>
        <w:numPr>
          <w:ilvl w:val="0"/>
          <w:numId w:val="0"/>
        </w:numPr>
        <w:ind w:firstLine="602" w:firstLineChars="200"/>
        <w:rPr>
          <w:rFonts w:hint="eastAsia" w:ascii="仿宋" w:hAnsi="仿宋" w:eastAsia="仿宋" w:cs="仿宋"/>
          <w:b/>
          <w:sz w:val="30"/>
          <w:szCs w:val="30"/>
          <w:lang w:val="en-US" w:eastAsia="zh-CN"/>
        </w:rPr>
      </w:pPr>
    </w:p>
    <w:p>
      <w:pPr>
        <w:numPr>
          <w:ilvl w:val="0"/>
          <w:numId w:val="0"/>
        </w:numPr>
        <w:ind w:firstLine="602" w:firstLineChars="200"/>
        <w:rPr>
          <w:rFonts w:hint="eastAsia" w:ascii="仿宋" w:hAnsi="仿宋" w:eastAsia="仿宋" w:cs="仿宋"/>
          <w:b/>
          <w:sz w:val="30"/>
          <w:szCs w:val="30"/>
          <w:lang w:val="en-US" w:eastAsia="zh-CN"/>
        </w:rPr>
      </w:pPr>
    </w:p>
    <w:p>
      <w:pPr>
        <w:numPr>
          <w:ilvl w:val="0"/>
          <w:numId w:val="0"/>
        </w:numPr>
        <w:ind w:firstLine="602" w:firstLineChars="200"/>
        <w:rPr>
          <w:rFonts w:hint="eastAsia" w:ascii="仿宋" w:hAnsi="仿宋" w:eastAsia="仿宋" w:cs="仿宋"/>
          <w:b/>
          <w:sz w:val="30"/>
          <w:szCs w:val="30"/>
          <w:lang w:val="en-US" w:eastAsia="zh-CN"/>
        </w:rPr>
      </w:pPr>
    </w:p>
    <w:p>
      <w:pPr>
        <w:numPr>
          <w:ilvl w:val="0"/>
          <w:numId w:val="0"/>
        </w:numPr>
        <w:ind w:firstLine="602" w:firstLineChars="200"/>
        <w:rPr>
          <w:rFonts w:hint="eastAsia" w:ascii="仿宋" w:hAnsi="仿宋" w:eastAsia="仿宋" w:cs="仿宋"/>
          <w:b/>
          <w:sz w:val="30"/>
          <w:szCs w:val="30"/>
          <w:lang w:val="en-US" w:eastAsia="zh-CN"/>
        </w:rPr>
      </w:pPr>
    </w:p>
    <w:tbl>
      <w:tblPr>
        <w:tblStyle w:val="10"/>
        <w:tblW w:w="1397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52"/>
        <w:gridCol w:w="591"/>
        <w:gridCol w:w="885"/>
        <w:gridCol w:w="2287"/>
        <w:gridCol w:w="2125"/>
        <w:gridCol w:w="1030"/>
        <w:gridCol w:w="970"/>
        <w:gridCol w:w="77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972"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972" w:type="dxa"/>
            <w:gridSpan w:val="9"/>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部门：黄石市黄石港区政府办公室</w:t>
            </w:r>
          </w:p>
        </w:tc>
        <w:tc>
          <w:tcPr>
            <w:tcW w:w="59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8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125"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03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7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7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5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8"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8944"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552"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9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8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2287" w:type="dxa"/>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1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03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7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77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7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52" w:type="dxa"/>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5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87" w:type="dxa"/>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21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30"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7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91"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87"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125"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8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8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87"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0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87"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8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87"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5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8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22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2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7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16" w:type="dxa"/>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7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16" w:type="dxa"/>
            <w:gridSpan w:val="8"/>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rPr>
          <w:rFonts w:hint="eastAsia" w:ascii="仿宋" w:hAnsi="仿宋" w:eastAsia="仿宋" w:cs="仿宋"/>
          <w:b/>
          <w:sz w:val="30"/>
          <w:szCs w:val="30"/>
          <w:lang w:val="en-US" w:eastAsia="zh-CN"/>
        </w:rPr>
      </w:pPr>
    </w:p>
    <w:p>
      <w:pPr>
        <w:numPr>
          <w:ilvl w:val="0"/>
          <w:numId w:val="0"/>
        </w:numPr>
        <w:rPr>
          <w:rFonts w:hint="eastAsia" w:ascii="仿宋" w:hAnsi="仿宋" w:eastAsia="仿宋" w:cs="仿宋"/>
          <w:b/>
          <w:sz w:val="30"/>
          <w:szCs w:val="30"/>
          <w:lang w:val="en-US" w:eastAsia="zh-CN"/>
        </w:rPr>
      </w:pPr>
    </w:p>
    <w:p>
      <w:pPr>
        <w:numPr>
          <w:ilvl w:val="0"/>
          <w:numId w:val="0"/>
        </w:numPr>
        <w:rPr>
          <w:rFonts w:hint="eastAsia" w:ascii="仿宋" w:hAnsi="仿宋" w:eastAsia="仿宋" w:cs="仿宋"/>
          <w:b/>
          <w:sz w:val="30"/>
          <w:szCs w:val="30"/>
          <w:lang w:val="en-US" w:eastAsia="zh-CN"/>
        </w:rPr>
      </w:pPr>
    </w:p>
    <w:p>
      <w:pPr>
        <w:numPr>
          <w:ilvl w:val="0"/>
          <w:numId w:val="0"/>
        </w:numPr>
        <w:rPr>
          <w:rFonts w:hint="eastAsia" w:ascii="仿宋" w:hAnsi="仿宋" w:eastAsia="仿宋" w:cs="仿宋"/>
          <w:b/>
          <w:sz w:val="30"/>
          <w:szCs w:val="30"/>
          <w:lang w:val="en-US" w:eastAsia="zh-CN"/>
        </w:rPr>
      </w:pPr>
    </w:p>
    <w:p>
      <w:pPr>
        <w:numPr>
          <w:ilvl w:val="0"/>
          <w:numId w:val="0"/>
        </w:numPr>
        <w:rPr>
          <w:rFonts w:hint="eastAsia" w:ascii="仿宋" w:hAnsi="仿宋" w:eastAsia="仿宋" w:cs="仿宋"/>
          <w:b/>
          <w:sz w:val="30"/>
          <w:szCs w:val="30"/>
          <w:lang w:val="en-US" w:eastAsia="zh-CN"/>
        </w:rPr>
      </w:pPr>
    </w:p>
    <w:p>
      <w:pPr>
        <w:numPr>
          <w:ilvl w:val="0"/>
          <w:numId w:val="0"/>
        </w:numPr>
        <w:rPr>
          <w:rFonts w:hint="eastAsia" w:ascii="仿宋" w:hAnsi="仿宋" w:eastAsia="仿宋" w:cs="仿宋"/>
          <w:b/>
          <w:sz w:val="30"/>
          <w:szCs w:val="30"/>
          <w:lang w:val="en-US" w:eastAsia="zh-CN"/>
        </w:rPr>
      </w:pPr>
    </w:p>
    <w:p>
      <w:pPr>
        <w:numPr>
          <w:ilvl w:val="0"/>
          <w:numId w:val="0"/>
        </w:numPr>
        <w:rPr>
          <w:rFonts w:hint="eastAsia" w:ascii="仿宋" w:hAnsi="仿宋" w:eastAsia="仿宋" w:cs="仿宋"/>
          <w:b/>
          <w:sz w:val="30"/>
          <w:szCs w:val="30"/>
          <w:lang w:val="en-US" w:eastAsia="zh-CN"/>
        </w:rPr>
      </w:pPr>
    </w:p>
    <w:p>
      <w:pPr>
        <w:numPr>
          <w:ilvl w:val="0"/>
          <w:numId w:val="0"/>
        </w:numPr>
        <w:rPr>
          <w:rFonts w:hint="eastAsia" w:ascii="仿宋" w:hAnsi="仿宋" w:eastAsia="仿宋" w:cs="仿宋"/>
          <w:b/>
          <w:sz w:val="30"/>
          <w:szCs w:val="30"/>
          <w:lang w:val="en-US" w:eastAsia="zh-CN"/>
        </w:rPr>
      </w:pPr>
    </w:p>
    <w:p>
      <w:pPr>
        <w:numPr>
          <w:ilvl w:val="0"/>
          <w:numId w:val="0"/>
        </w:numPr>
        <w:rPr>
          <w:rFonts w:hint="eastAsia" w:ascii="仿宋" w:hAnsi="仿宋" w:eastAsia="仿宋" w:cs="仿宋"/>
          <w:b/>
          <w:sz w:val="30"/>
          <w:szCs w:val="30"/>
          <w:lang w:val="en-US" w:eastAsia="zh-CN"/>
        </w:rPr>
      </w:pPr>
    </w:p>
    <w:tbl>
      <w:tblPr>
        <w:tblStyle w:val="10"/>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2"/>
        <w:gridCol w:w="276"/>
        <w:gridCol w:w="276"/>
        <w:gridCol w:w="4014"/>
        <w:gridCol w:w="1306"/>
        <w:gridCol w:w="1344"/>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78" w:type="dxa"/>
            <w:gridSpan w:val="7"/>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078" w:type="dxa"/>
            <w:gridSpan w:val="7"/>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部门：黄石市黄石港区政府办公室</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869"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7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7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3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7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7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566.40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566.40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566.40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566.40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566.40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566.40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numPr>
          <w:ilvl w:val="0"/>
          <w:numId w:val="0"/>
        </w:numPr>
        <w:ind w:firstLine="602" w:firstLineChars="200"/>
        <w:rPr>
          <w:rFonts w:hint="eastAsia" w:ascii="仿宋" w:hAnsi="仿宋" w:eastAsia="仿宋" w:cs="仿宋"/>
          <w:b/>
          <w:sz w:val="30"/>
          <w:szCs w:val="30"/>
          <w:lang w:val="en-US" w:eastAsia="zh-CN"/>
        </w:rPr>
      </w:pPr>
    </w:p>
    <w:p>
      <w:pPr>
        <w:numPr>
          <w:ilvl w:val="0"/>
          <w:numId w:val="0"/>
        </w:numPr>
        <w:ind w:firstLine="602" w:firstLineChars="200"/>
        <w:rPr>
          <w:rFonts w:hint="eastAsia" w:ascii="仿宋" w:hAnsi="仿宋" w:eastAsia="仿宋" w:cs="仿宋"/>
          <w:b/>
          <w:sz w:val="30"/>
          <w:szCs w:val="30"/>
          <w:lang w:val="en-US" w:eastAsia="zh-CN"/>
        </w:rPr>
      </w:pPr>
    </w:p>
    <w:p>
      <w:pPr>
        <w:numPr>
          <w:ilvl w:val="0"/>
          <w:numId w:val="0"/>
        </w:numPr>
        <w:ind w:firstLine="602" w:firstLineChars="200"/>
        <w:rPr>
          <w:rFonts w:hint="eastAsia" w:ascii="仿宋" w:hAnsi="仿宋" w:eastAsia="仿宋" w:cs="仿宋"/>
          <w:b/>
          <w:sz w:val="30"/>
          <w:szCs w:val="30"/>
          <w:lang w:val="en-US" w:eastAsia="zh-CN"/>
        </w:rPr>
      </w:pPr>
    </w:p>
    <w:p>
      <w:pPr>
        <w:numPr>
          <w:ilvl w:val="0"/>
          <w:numId w:val="0"/>
        </w:numPr>
        <w:ind w:firstLine="602" w:firstLineChars="200"/>
        <w:rPr>
          <w:rFonts w:hint="eastAsia" w:ascii="仿宋" w:hAnsi="仿宋" w:eastAsia="仿宋" w:cs="仿宋"/>
          <w:b/>
          <w:sz w:val="30"/>
          <w:szCs w:val="30"/>
          <w:lang w:val="en-US" w:eastAsia="zh-CN"/>
        </w:rPr>
      </w:pPr>
    </w:p>
    <w:p>
      <w:pPr>
        <w:numPr>
          <w:ilvl w:val="0"/>
          <w:numId w:val="0"/>
        </w:numPr>
        <w:ind w:firstLine="602" w:firstLineChars="200"/>
        <w:rPr>
          <w:rFonts w:hint="eastAsia" w:ascii="仿宋" w:hAnsi="仿宋" w:eastAsia="仿宋" w:cs="仿宋"/>
          <w:b/>
          <w:sz w:val="30"/>
          <w:szCs w:val="30"/>
          <w:lang w:val="en-US" w:eastAsia="zh-CN"/>
        </w:rPr>
      </w:pPr>
    </w:p>
    <w:p>
      <w:pPr>
        <w:numPr>
          <w:ilvl w:val="0"/>
          <w:numId w:val="0"/>
        </w:numPr>
        <w:ind w:firstLine="602" w:firstLineChars="200"/>
        <w:rPr>
          <w:rFonts w:hint="eastAsia" w:ascii="仿宋" w:hAnsi="仿宋" w:eastAsia="仿宋" w:cs="仿宋"/>
          <w:b/>
          <w:sz w:val="30"/>
          <w:szCs w:val="30"/>
          <w:lang w:val="en-US" w:eastAsia="zh-CN"/>
        </w:rPr>
      </w:pPr>
    </w:p>
    <w:tbl>
      <w:tblPr>
        <w:tblStyle w:val="10"/>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65"/>
        <w:gridCol w:w="1773"/>
        <w:gridCol w:w="889"/>
        <w:gridCol w:w="864"/>
        <w:gridCol w:w="2388"/>
        <w:gridCol w:w="888"/>
        <w:gridCol w:w="876"/>
        <w:gridCol w:w="2412"/>
        <w:gridCol w:w="1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78"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078" w:type="dxa"/>
            <w:gridSpan w:val="9"/>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38" w:type="dxa"/>
            <w:gridSpan w:val="2"/>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部门：黄石市黄石港区政府办公室</w:t>
            </w:r>
          </w:p>
        </w:tc>
        <w:tc>
          <w:tcPr>
            <w:tcW w:w="88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6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388" w:type="dxa"/>
            <w:tcBorders>
              <w:top w:val="nil"/>
              <w:left w:val="nil"/>
              <w:bottom w:val="single" w:color="000000" w:sz="4" w:space="0"/>
              <w:right w:val="nil"/>
            </w:tcBorders>
            <w:shd w:val="clear" w:color="auto" w:fill="FFFFFF"/>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2021年</w:t>
            </w:r>
          </w:p>
        </w:tc>
        <w:tc>
          <w:tcPr>
            <w:tcW w:w="88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7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835"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2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8851"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77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8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86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38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8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87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1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2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7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8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6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8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8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7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41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2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389.46</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175.44</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65.25</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75.19</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124.01</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38.36</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11.89</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36.97</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35.58</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0.55</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46.25</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100.76</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4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412"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2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0.99</w:t>
            </w:r>
          </w:p>
        </w:tc>
        <w:tc>
          <w:tcPr>
            <w:tcW w:w="876"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412"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2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65"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773"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3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876"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412"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2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3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8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390.96</w:t>
            </w:r>
          </w:p>
        </w:tc>
        <w:tc>
          <w:tcPr>
            <w:tcW w:w="7428"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4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078"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078" w:type="dxa"/>
            <w:gridSpan w:val="9"/>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ind w:firstLine="602" w:firstLineChars="200"/>
        <w:rPr>
          <w:rFonts w:hint="eastAsia" w:ascii="仿宋" w:hAnsi="仿宋" w:eastAsia="仿宋" w:cs="仿宋"/>
          <w:b/>
          <w:sz w:val="30"/>
          <w:szCs w:val="30"/>
          <w:lang w:val="en-US" w:eastAsia="zh-CN"/>
        </w:rPr>
      </w:pPr>
    </w:p>
    <w:tbl>
      <w:tblPr>
        <w:tblStyle w:val="10"/>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47"/>
        <w:gridCol w:w="1068"/>
        <w:gridCol w:w="1092"/>
        <w:gridCol w:w="996"/>
        <w:gridCol w:w="852"/>
        <w:gridCol w:w="2498"/>
        <w:gridCol w:w="621"/>
        <w:gridCol w:w="841"/>
        <w:gridCol w:w="676"/>
        <w:gridCol w:w="850"/>
        <w:gridCol w:w="666"/>
        <w:gridCol w:w="1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78" w:type="dxa"/>
            <w:gridSpan w:val="12"/>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5"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预算代码：{FMDM[YSDM]}</w:t>
            </w:r>
          </w:p>
        </w:tc>
        <w:tc>
          <w:tcPr>
            <w:tcW w:w="109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9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5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9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2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4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7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6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71"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5"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部门：黄石市黄石港区政府办公室</w:t>
            </w:r>
          </w:p>
        </w:tc>
        <w:tc>
          <w:tcPr>
            <w:tcW w:w="109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9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5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498"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制表日期：20</w:t>
            </w:r>
            <w:r>
              <w:rPr>
                <w:rFonts w:hint="eastAsia" w:ascii="宋体" w:hAnsi="宋体" w:cs="宋体"/>
                <w:i w:val="0"/>
                <w:iCs w:val="0"/>
                <w:color w:val="000000"/>
                <w:kern w:val="0"/>
                <w:sz w:val="22"/>
                <w:szCs w:val="22"/>
                <w:u w:val="none"/>
                <w:lang w:val="en-US" w:eastAsia="zh-CN" w:bidi="ar"/>
              </w:rPr>
              <w:t>21年</w:t>
            </w:r>
          </w:p>
        </w:tc>
        <w:tc>
          <w:tcPr>
            <w:tcW w:w="62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4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7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5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37"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3" w:type="dxa"/>
            <w:gridSpan w:val="6"/>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5225"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47"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6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294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249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62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84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2192"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57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347"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6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9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9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8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249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4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7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8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66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57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47"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6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49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2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7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6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7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47"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w:t>
            </w:r>
          </w:p>
        </w:tc>
        <w:tc>
          <w:tcPr>
            <w:tcW w:w="10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9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9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24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62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84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8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15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078"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numPr>
          <w:ilvl w:val="0"/>
          <w:numId w:val="0"/>
        </w:numPr>
        <w:ind w:firstLine="602" w:firstLineChars="200"/>
        <w:rPr>
          <w:rFonts w:hint="eastAsia" w:ascii="仿宋" w:hAnsi="仿宋" w:eastAsia="仿宋" w:cs="仿宋"/>
          <w:b/>
          <w:sz w:val="30"/>
          <w:szCs w:val="30"/>
          <w:lang w:val="en-US" w:eastAsia="zh-CN"/>
        </w:rPr>
      </w:pPr>
    </w:p>
    <w:p>
      <w:pPr>
        <w:numPr>
          <w:ilvl w:val="0"/>
          <w:numId w:val="0"/>
        </w:numPr>
        <w:ind w:firstLine="602" w:firstLineChars="200"/>
        <w:rPr>
          <w:rFonts w:hint="eastAsia" w:ascii="仿宋" w:hAnsi="仿宋" w:eastAsia="仿宋" w:cs="仿宋"/>
          <w:b/>
          <w:sz w:val="30"/>
          <w:szCs w:val="30"/>
          <w:lang w:val="en-US" w:eastAsia="zh-CN"/>
        </w:rPr>
      </w:pPr>
    </w:p>
    <w:p>
      <w:pPr>
        <w:numPr>
          <w:ilvl w:val="0"/>
          <w:numId w:val="0"/>
        </w:numPr>
        <w:ind w:firstLine="602" w:firstLineChars="200"/>
        <w:rPr>
          <w:rFonts w:hint="eastAsia" w:ascii="仿宋" w:hAnsi="仿宋" w:eastAsia="仿宋" w:cs="仿宋"/>
          <w:b/>
          <w:sz w:val="30"/>
          <w:szCs w:val="30"/>
          <w:lang w:val="en-US" w:eastAsia="zh-CN"/>
        </w:rPr>
      </w:pPr>
    </w:p>
    <w:p>
      <w:pPr>
        <w:numPr>
          <w:ilvl w:val="0"/>
          <w:numId w:val="0"/>
        </w:numPr>
        <w:ind w:firstLine="602" w:firstLineChars="200"/>
        <w:rPr>
          <w:rFonts w:hint="eastAsia" w:ascii="仿宋" w:hAnsi="仿宋" w:eastAsia="仿宋" w:cs="仿宋"/>
          <w:b/>
          <w:sz w:val="30"/>
          <w:szCs w:val="30"/>
          <w:lang w:val="en-US" w:eastAsia="zh-CN"/>
        </w:rPr>
      </w:pPr>
    </w:p>
    <w:tbl>
      <w:tblPr>
        <w:tblStyle w:val="10"/>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87"/>
        <w:gridCol w:w="329"/>
        <w:gridCol w:w="329"/>
        <w:gridCol w:w="1206"/>
        <w:gridCol w:w="3084"/>
        <w:gridCol w:w="1025"/>
        <w:gridCol w:w="1026"/>
        <w:gridCol w:w="1036"/>
        <w:gridCol w:w="959"/>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78"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8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08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2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2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3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56"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5"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部门：黄石市黄石港区政府办公室</w:t>
            </w:r>
          </w:p>
        </w:tc>
        <w:tc>
          <w:tcPr>
            <w:tcW w:w="120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084"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02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02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03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656"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1"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08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0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021"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169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20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0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5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69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0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30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5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9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0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30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5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9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1"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0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1"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0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0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02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0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9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6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078" w:type="dxa"/>
            <w:gridSpan w:val="10"/>
            <w:tcBorders>
              <w:top w:val="nil"/>
              <w:left w:val="nil"/>
              <w:bottom w:val="nil"/>
              <w:right w:val="nil"/>
            </w:tcBorders>
            <w:shd w:val="clear" w:color="auto" w:fill="FFFFFF"/>
            <w:noWrap/>
            <w:vAlign w:val="center"/>
          </w:tcPr>
          <w:tbl>
            <w:tblPr>
              <w:tblStyle w:val="10"/>
              <w:tblpPr w:leftFromText="180" w:rightFromText="180" w:vertAnchor="text" w:horzAnchor="page" w:tblpX="251" w:tblpY="775"/>
              <w:tblOverlap w:val="never"/>
              <w:tblW w:w="139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86"/>
              <w:gridCol w:w="353"/>
              <w:gridCol w:w="353"/>
              <w:gridCol w:w="1828"/>
              <w:gridCol w:w="1576"/>
              <w:gridCol w:w="1490"/>
              <w:gridCol w:w="2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975" w:type="dxa"/>
                  <w:gridSpan w:val="7"/>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86" w:type="dxa"/>
                  <w:gridSpan w:val="6"/>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789"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8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部门：黄石市黄石港区政府办公室</w:t>
                  </w:r>
                </w:p>
              </w:tc>
              <w:tc>
                <w:tcPr>
                  <w:tcW w:w="35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5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828"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57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9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789"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20"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85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9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828"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7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9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78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9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28"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7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78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9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28"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7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78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20"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7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20"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4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7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975"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我部门无此项内容，本表无数据。</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我部门无此项内容，本表无数据。</w:t>
            </w:r>
          </w:p>
        </w:tc>
      </w:tr>
    </w:tbl>
    <w:p>
      <w:pPr>
        <w:numPr>
          <w:ilvl w:val="0"/>
          <w:numId w:val="0"/>
        </w:numPr>
        <w:ind w:firstLine="301" w:firstLineChars="100"/>
        <w:rPr>
          <w:rFonts w:hint="eastAsia" w:ascii="仿宋" w:hAnsi="仿宋" w:eastAsia="仿宋" w:cs="仿宋"/>
          <w:b/>
          <w:sz w:val="30"/>
          <w:szCs w:val="30"/>
        </w:rPr>
      </w:pPr>
      <w:r>
        <w:rPr>
          <w:rFonts w:hint="eastAsia" w:ascii="仿宋" w:hAnsi="仿宋" w:eastAsia="仿宋" w:cs="仿宋"/>
          <w:b/>
          <w:sz w:val="30"/>
          <w:szCs w:val="30"/>
          <w:lang w:val="en-US" w:eastAsia="zh-CN"/>
        </w:rPr>
        <w:t>第三部分</w:t>
      </w:r>
      <w:r>
        <w:rPr>
          <w:rFonts w:hint="eastAsia" w:ascii="仿宋" w:hAnsi="仿宋" w:eastAsia="仿宋" w:cs="仿宋"/>
          <w:b/>
          <w:sz w:val="30"/>
          <w:szCs w:val="30"/>
        </w:rPr>
        <w:t>：部门202</w:t>
      </w:r>
      <w:r>
        <w:rPr>
          <w:rFonts w:hint="eastAsia" w:ascii="仿宋" w:hAnsi="仿宋" w:eastAsia="仿宋" w:cs="仿宋"/>
          <w:b/>
          <w:sz w:val="30"/>
          <w:szCs w:val="30"/>
          <w:lang w:val="en-US" w:eastAsia="zh-CN"/>
        </w:rPr>
        <w:t>1</w:t>
      </w:r>
      <w:r>
        <w:rPr>
          <w:rFonts w:hint="eastAsia" w:ascii="仿宋" w:hAnsi="仿宋" w:eastAsia="仿宋" w:cs="仿宋"/>
          <w:b/>
          <w:sz w:val="30"/>
          <w:szCs w:val="30"/>
        </w:rPr>
        <w:t>年部门决算情况说明</w:t>
      </w:r>
    </w:p>
    <w:p>
      <w:pPr>
        <w:widowControl/>
        <w:ind w:firstLine="602" w:firstLineChars="200"/>
        <w:rPr>
          <w:rFonts w:hint="eastAsia" w:ascii="仿宋" w:hAnsi="仿宋" w:eastAsia="仿宋" w:cs="仿宋"/>
          <w:b/>
          <w:color w:val="000000"/>
          <w:spacing w:val="2"/>
          <w:sz w:val="30"/>
          <w:szCs w:val="30"/>
        </w:rPr>
      </w:pPr>
      <w:r>
        <w:rPr>
          <w:rFonts w:hint="eastAsia" w:ascii="仿宋" w:hAnsi="仿宋" w:eastAsia="仿宋" w:cs="仿宋"/>
          <w:b/>
          <w:sz w:val="30"/>
          <w:szCs w:val="30"/>
        </w:rPr>
        <w:t>一、</w:t>
      </w:r>
      <w:r>
        <w:rPr>
          <w:rFonts w:hint="eastAsia" w:ascii="仿宋" w:hAnsi="仿宋" w:eastAsia="仿宋" w:cs="仿宋"/>
          <w:b/>
          <w:color w:val="000000"/>
          <w:spacing w:val="2"/>
          <w:sz w:val="30"/>
          <w:szCs w:val="30"/>
        </w:rPr>
        <w:t>预算执行情况分析</w:t>
      </w:r>
    </w:p>
    <w:p>
      <w:pPr>
        <w:widowControl/>
        <w:rPr>
          <w:rFonts w:hint="eastAsia" w:ascii="仿宋" w:hAnsi="仿宋" w:eastAsia="仿宋" w:cs="仿宋"/>
          <w:b/>
          <w:sz w:val="30"/>
          <w:szCs w:val="30"/>
        </w:rPr>
      </w:pPr>
      <w:r>
        <w:rPr>
          <w:rFonts w:hint="eastAsia" w:ascii="仿宋" w:hAnsi="仿宋" w:eastAsia="仿宋" w:cs="仿宋"/>
          <w:b/>
          <w:color w:val="000000"/>
          <w:spacing w:val="2"/>
          <w:sz w:val="30"/>
          <w:szCs w:val="30"/>
        </w:rPr>
        <w:t xml:space="preserve">   </w:t>
      </w:r>
      <w:r>
        <w:rPr>
          <w:rFonts w:hint="eastAsia" w:ascii="仿宋" w:hAnsi="仿宋" w:eastAsia="仿宋" w:cs="仿宋"/>
          <w:b/>
          <w:sz w:val="30"/>
          <w:szCs w:val="30"/>
        </w:rPr>
        <w:t>（一）收入支出预算安排情况</w:t>
      </w:r>
    </w:p>
    <w:p>
      <w:pPr>
        <w:widowControl/>
        <w:ind w:firstLine="557"/>
        <w:rPr>
          <w:rFonts w:ascii="宋体" w:hAnsi="宋体" w:cs="宋体"/>
          <w:spacing w:val="1"/>
          <w:kern w:val="1"/>
          <w:sz w:val="28"/>
          <w:szCs w:val="28"/>
        </w:rPr>
      </w:pPr>
      <w:r>
        <w:rPr>
          <w:rFonts w:ascii="宋体" w:hAnsi="宋体" w:cs="宋体"/>
          <w:spacing w:val="1"/>
          <w:kern w:val="1"/>
          <w:sz w:val="28"/>
          <w:szCs w:val="28"/>
        </w:rPr>
        <w:t>2020年财政收入预算数3205467.00元，其中人员经费2198550.00元，公用经费1006917.00元, 2020年财政支出预算数3205467.00元，其中人员经费2198550.00元，公用经费1006917.00元。</w:t>
      </w:r>
    </w:p>
    <w:p>
      <w:pPr>
        <w:widowControl/>
        <w:ind w:firstLine="557"/>
        <w:rPr>
          <w:rFonts w:ascii="宋体" w:hAnsi="宋体" w:cs="宋体"/>
          <w:spacing w:val="1"/>
          <w:kern w:val="1"/>
          <w:sz w:val="28"/>
          <w:szCs w:val="28"/>
        </w:rPr>
      </w:pPr>
      <w:r>
        <w:rPr>
          <w:rFonts w:ascii="宋体" w:hAnsi="宋体" w:cs="宋体"/>
          <w:spacing w:val="1"/>
          <w:kern w:val="1"/>
          <w:sz w:val="28"/>
          <w:szCs w:val="28"/>
        </w:rPr>
        <w:t>2021年财政收入预算数3420421元，其中人员经费2521910元，公用经费898511元, 2021年财政支出预算数3420421元，其中人员经费2521910元，公用经费898511元。</w:t>
      </w:r>
    </w:p>
    <w:p>
      <w:pPr>
        <w:widowControl/>
        <w:ind w:firstLine="566" w:firstLineChars="200"/>
        <w:rPr>
          <w:rFonts w:ascii="宋体" w:hAnsi="宋体" w:cs="宋体"/>
          <w:b/>
          <w:spacing w:val="1"/>
          <w:kern w:val="1"/>
          <w:sz w:val="28"/>
          <w:szCs w:val="28"/>
        </w:rPr>
      </w:pPr>
      <w:r>
        <w:rPr>
          <w:rFonts w:ascii="宋体" w:hAnsi="宋体" w:cs="宋体"/>
          <w:b/>
          <w:spacing w:val="1"/>
          <w:kern w:val="1"/>
          <w:sz w:val="28"/>
          <w:szCs w:val="28"/>
        </w:rPr>
        <w:t>（二）收入支出预算执行情况</w:t>
      </w:r>
    </w:p>
    <w:p>
      <w:pPr>
        <w:widowControl/>
        <w:ind w:firstLine="557"/>
        <w:rPr>
          <w:rFonts w:ascii="宋体" w:hAnsi="宋体" w:cs="宋体"/>
          <w:spacing w:val="1"/>
          <w:kern w:val="1"/>
          <w:sz w:val="28"/>
          <w:szCs w:val="28"/>
        </w:rPr>
      </w:pPr>
      <w:r>
        <w:rPr>
          <w:rFonts w:ascii="宋体" w:hAnsi="宋体" w:cs="宋体"/>
          <w:spacing w:val="1"/>
          <w:kern w:val="1"/>
          <w:sz w:val="28"/>
          <w:szCs w:val="28"/>
        </w:rPr>
        <w:t>2020年财政收入预算执行数3205467.00元，其中人员经费2198550.00元，公用经费1006917.00元, 2020年财政支出预算执行数3205467.00元，其中人员经费2198550.00元，公用经费1006917.00元。</w:t>
      </w:r>
    </w:p>
    <w:p>
      <w:pPr>
        <w:widowControl/>
        <w:ind w:firstLine="557"/>
        <w:rPr>
          <w:rFonts w:ascii="宋体" w:hAnsi="宋体" w:cs="宋体"/>
          <w:spacing w:val="1"/>
          <w:kern w:val="1"/>
          <w:sz w:val="28"/>
          <w:szCs w:val="28"/>
        </w:rPr>
      </w:pPr>
      <w:r>
        <w:rPr>
          <w:rFonts w:ascii="宋体" w:hAnsi="宋体" w:cs="宋体"/>
          <w:spacing w:val="1"/>
          <w:kern w:val="1"/>
          <w:sz w:val="28"/>
          <w:szCs w:val="28"/>
        </w:rPr>
        <w:t>2021年财政收入预算执行数3420421元，其中人员经费2521910元，公用经费898511元, 2021年财政支出预算执行数3420421元，其中人员经费2521910元，公用经费898511元。</w:t>
      </w:r>
    </w:p>
    <w:p>
      <w:pPr>
        <w:widowControl/>
        <w:ind w:firstLine="557"/>
        <w:rPr>
          <w:rFonts w:ascii="宋体" w:hAnsi="宋体" w:cs="宋体"/>
          <w:spacing w:val="1"/>
          <w:kern w:val="1"/>
          <w:sz w:val="28"/>
          <w:szCs w:val="28"/>
        </w:rPr>
      </w:pPr>
      <w:r>
        <w:rPr>
          <w:rFonts w:ascii="宋体" w:hAnsi="宋体" w:cs="宋体"/>
          <w:spacing w:val="1"/>
          <w:kern w:val="1"/>
          <w:sz w:val="28"/>
          <w:szCs w:val="28"/>
        </w:rPr>
        <w:t>2021年支出预算执行数比上年增加214954元。</w:t>
      </w:r>
    </w:p>
    <w:p>
      <w:pPr>
        <w:widowControl/>
        <w:ind w:firstLine="283" w:firstLineChars="100"/>
        <w:rPr>
          <w:rFonts w:ascii="宋体" w:hAnsi="宋体" w:cs="宋体"/>
          <w:b/>
          <w:spacing w:val="1"/>
          <w:kern w:val="1"/>
          <w:sz w:val="28"/>
          <w:szCs w:val="28"/>
        </w:rPr>
      </w:pPr>
      <w:r>
        <w:rPr>
          <w:rFonts w:ascii="宋体" w:hAnsi="宋体" w:cs="宋体"/>
          <w:b/>
          <w:spacing w:val="1"/>
          <w:kern w:val="1"/>
          <w:sz w:val="28"/>
          <w:szCs w:val="28"/>
        </w:rPr>
        <w:t>（三）收入支出与预算对比分析</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2021年全年总收入6065005.32元,其中财拨款决算收入5664004.68元,其它收入401000.64元,2021年全年总支出6065005.32元,其中财拨款决算支出5664004.68元，其它资金支出401000.64元,2021年财政预算数3420421元，财拔决算比预算多2243583.68元,幅度为65.59%,原因为业务增加。</w:t>
      </w:r>
    </w:p>
    <w:p>
      <w:pPr>
        <w:spacing w:line="440" w:lineRule="exact"/>
        <w:ind w:firstLine="283" w:firstLineChars="100"/>
        <w:rPr>
          <w:rFonts w:ascii="宋体" w:hAnsi="宋体" w:cs="宋体"/>
          <w:b/>
          <w:bCs/>
          <w:spacing w:val="1"/>
          <w:kern w:val="1"/>
          <w:sz w:val="28"/>
          <w:szCs w:val="28"/>
        </w:rPr>
      </w:pPr>
      <w:r>
        <w:rPr>
          <w:rFonts w:ascii="宋体" w:hAnsi="宋体" w:cs="宋体"/>
          <w:b/>
          <w:bCs/>
          <w:spacing w:val="1"/>
          <w:kern w:val="1"/>
          <w:sz w:val="28"/>
          <w:szCs w:val="28"/>
        </w:rPr>
        <w:t>（四）收入支出结构分析</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2021年全年总收入6065005.32元,</w:t>
      </w:r>
      <w:r>
        <w:rPr>
          <w:rFonts w:hint="eastAsia" w:ascii="宋体" w:hAnsi="宋体" w:cs="宋体"/>
          <w:spacing w:val="1"/>
          <w:kern w:val="1"/>
          <w:sz w:val="28"/>
          <w:szCs w:val="28"/>
          <w:lang w:val="en-US" w:eastAsia="zh-CN"/>
        </w:rPr>
        <w:t>同比增加12.89%，主要为业务增加，</w:t>
      </w:r>
      <w:r>
        <w:rPr>
          <w:rFonts w:ascii="宋体" w:hAnsi="宋体" w:cs="宋体"/>
          <w:spacing w:val="1"/>
          <w:kern w:val="1"/>
          <w:sz w:val="28"/>
          <w:szCs w:val="28"/>
        </w:rPr>
        <w:t>其中财拨款决算收入5664004.68元,其它收入401000.64元；</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2021年全年总支出6065005.32元,</w:t>
      </w:r>
      <w:r>
        <w:rPr>
          <w:rFonts w:hint="eastAsia" w:ascii="宋体" w:hAnsi="宋体" w:cs="宋体"/>
          <w:spacing w:val="1"/>
          <w:kern w:val="1"/>
          <w:sz w:val="28"/>
          <w:szCs w:val="28"/>
          <w:lang w:val="en-US" w:eastAsia="zh-CN"/>
        </w:rPr>
        <w:t>同比增加12.89%，主要为业务增加，</w:t>
      </w:r>
      <w:r>
        <w:rPr>
          <w:rFonts w:ascii="宋体" w:hAnsi="宋体" w:cs="宋体"/>
          <w:spacing w:val="1"/>
          <w:kern w:val="1"/>
          <w:sz w:val="28"/>
          <w:szCs w:val="28"/>
        </w:rPr>
        <w:t>其中财拨款决算支出5664004.68元,其它支出401000.64元。支出按以下分类说明：</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（1）支出功能分类：总支出6065005.32元;其中政府办公厅（室）及相关机构事务支出6065005.32元。</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（2）支出性质分类：总支出6065005.32元，其中人员经费4239507.16元，公用经费1825498.16元;</w:t>
      </w:r>
      <w:r>
        <w:rPr>
          <w:rFonts w:ascii="宋体" w:hAnsi="宋体" w:cs="宋体"/>
          <w:color w:val="FF0000"/>
          <w:spacing w:val="1"/>
          <w:kern w:val="1"/>
          <w:sz w:val="28"/>
          <w:szCs w:val="28"/>
        </w:rPr>
        <w:t xml:space="preserve"> </w:t>
      </w:r>
    </w:p>
    <w:p>
      <w:pPr>
        <w:spacing w:line="440" w:lineRule="exact"/>
        <w:ind w:firstLine="710"/>
        <w:rPr>
          <w:rFonts w:ascii="宋体" w:hAnsi="宋体" w:cs="宋体"/>
          <w:spacing w:val="1"/>
          <w:kern w:val="1"/>
          <w:sz w:val="28"/>
          <w:szCs w:val="28"/>
        </w:rPr>
      </w:pPr>
      <w:r>
        <w:rPr>
          <w:rFonts w:ascii="宋体" w:hAnsi="宋体" w:cs="宋体"/>
          <w:spacing w:val="1"/>
          <w:kern w:val="1"/>
          <w:sz w:val="28"/>
          <w:szCs w:val="28"/>
        </w:rPr>
        <w:t>(3)支出经济分类：总支出6065005.32元，其中工资福利支出4224533.16元，商品服务支出1824298.16元，对个人和家庭的补助支出14974元，其它资本性支出1200元。</w:t>
      </w:r>
    </w:p>
    <w:p>
      <w:pPr>
        <w:spacing w:line="440" w:lineRule="exact"/>
        <w:ind w:firstLine="568"/>
        <w:rPr>
          <w:rFonts w:ascii="宋体" w:hAnsi="宋体" w:cs="宋体"/>
          <w:b/>
          <w:bCs/>
          <w:spacing w:val="1"/>
          <w:kern w:val="1"/>
          <w:sz w:val="28"/>
          <w:szCs w:val="28"/>
        </w:rPr>
      </w:pPr>
      <w:r>
        <w:rPr>
          <w:rFonts w:ascii="宋体" w:hAnsi="宋体" w:cs="宋体"/>
          <w:b/>
          <w:bCs/>
          <w:spacing w:val="1"/>
          <w:kern w:val="1"/>
          <w:sz w:val="28"/>
          <w:szCs w:val="28"/>
        </w:rPr>
        <w:t>（五）支出按经济分类科目分析</w:t>
      </w:r>
    </w:p>
    <w:p>
      <w:pPr>
        <w:spacing w:line="440" w:lineRule="exact"/>
        <w:ind w:firstLine="710"/>
        <w:rPr>
          <w:rFonts w:ascii="宋体" w:hAnsi="宋体" w:cs="宋体"/>
          <w:spacing w:val="1"/>
          <w:kern w:val="1"/>
          <w:sz w:val="28"/>
          <w:szCs w:val="28"/>
        </w:rPr>
      </w:pPr>
      <w:r>
        <w:rPr>
          <w:rFonts w:ascii="宋体" w:hAnsi="宋体" w:cs="宋体"/>
          <w:spacing w:val="1"/>
          <w:kern w:val="1"/>
          <w:sz w:val="28"/>
          <w:szCs w:val="28"/>
        </w:rPr>
        <w:t>2021年全年总支出6065005.32元，其中工资福利支出4224533.16元，商品服务支出1824298.16元，对个人和家庭的补助支出14974元，其它资本性支出1200元。</w:t>
      </w:r>
    </w:p>
    <w:p>
      <w:pPr>
        <w:spacing w:line="440" w:lineRule="exact"/>
        <w:ind w:firstLine="566" w:firstLineChars="200"/>
        <w:rPr>
          <w:rFonts w:ascii="宋体" w:hAnsi="宋体" w:cs="宋体"/>
          <w:b/>
          <w:color w:val="FF6600"/>
          <w:spacing w:val="1"/>
          <w:kern w:val="1"/>
          <w:sz w:val="28"/>
          <w:szCs w:val="28"/>
        </w:rPr>
      </w:pPr>
      <w:r>
        <w:rPr>
          <w:rFonts w:ascii="宋体" w:hAnsi="宋体" w:cs="宋体"/>
          <w:b/>
          <w:color w:val="000000"/>
          <w:spacing w:val="1"/>
          <w:kern w:val="1"/>
          <w:sz w:val="28"/>
          <w:szCs w:val="28"/>
        </w:rPr>
        <w:t>（六）财政收入、支出分析</w:t>
      </w:r>
    </w:p>
    <w:p>
      <w:pPr>
        <w:spacing w:line="440" w:lineRule="exact"/>
        <w:ind w:firstLine="564" w:firstLineChars="200"/>
        <w:rPr>
          <w:rFonts w:ascii="宋体" w:hAnsi="宋体" w:cs="宋体"/>
          <w:spacing w:val="1"/>
          <w:kern w:val="1"/>
          <w:sz w:val="28"/>
          <w:szCs w:val="28"/>
        </w:rPr>
      </w:pPr>
      <w:r>
        <w:rPr>
          <w:rFonts w:ascii="宋体" w:hAnsi="宋体" w:cs="宋体"/>
          <w:spacing w:val="1"/>
          <w:kern w:val="1"/>
          <w:sz w:val="28"/>
          <w:szCs w:val="28"/>
        </w:rPr>
        <w:t xml:space="preserve">财拨款决算收入5664004.68元，其中：人员经费3909600.71元，公用经费1754403.97元； </w:t>
      </w:r>
    </w:p>
    <w:p>
      <w:pPr>
        <w:spacing w:line="440" w:lineRule="exact"/>
        <w:ind w:firstLine="564" w:firstLineChars="200"/>
        <w:rPr>
          <w:rFonts w:ascii="宋体" w:hAnsi="宋体" w:cs="宋体"/>
          <w:spacing w:val="1"/>
          <w:kern w:val="1"/>
          <w:sz w:val="28"/>
          <w:szCs w:val="28"/>
        </w:rPr>
      </w:pPr>
      <w:r>
        <w:rPr>
          <w:rFonts w:ascii="宋体" w:hAnsi="宋体" w:cs="宋体"/>
          <w:spacing w:val="1"/>
          <w:kern w:val="1"/>
          <w:sz w:val="28"/>
          <w:szCs w:val="28"/>
        </w:rPr>
        <w:t>财拨款决算支出5664004.68元，其中：人员经费3909600.71元，公用经费1754403.97元。</w:t>
      </w:r>
    </w:p>
    <w:p>
      <w:pPr>
        <w:spacing w:line="440" w:lineRule="exact"/>
        <w:ind w:firstLine="564" w:firstLineChars="200"/>
        <w:rPr>
          <w:rFonts w:ascii="宋体" w:hAnsi="宋体" w:cs="宋体"/>
          <w:spacing w:val="1"/>
          <w:kern w:val="1"/>
          <w:sz w:val="28"/>
          <w:szCs w:val="28"/>
        </w:rPr>
      </w:pPr>
      <w:r>
        <w:rPr>
          <w:rFonts w:hint="eastAsia" w:ascii="宋体" w:hAnsi="宋体" w:cs="宋体"/>
          <w:spacing w:val="1"/>
          <w:kern w:val="1"/>
          <w:sz w:val="28"/>
          <w:szCs w:val="28"/>
          <w:lang w:eastAsia="zh-CN"/>
        </w:rPr>
        <w:t>支出增减变化情况：</w:t>
      </w:r>
      <w:r>
        <w:rPr>
          <w:rFonts w:hint="eastAsia" w:ascii="宋体" w:hAnsi="宋体" w:cs="宋体"/>
          <w:spacing w:val="1"/>
          <w:kern w:val="1"/>
          <w:sz w:val="28"/>
          <w:szCs w:val="28"/>
        </w:rPr>
        <w:t>2021年全年财拨款决算支出</w:t>
      </w:r>
      <w:r>
        <w:rPr>
          <w:rFonts w:ascii="宋体" w:hAnsi="宋体" w:cs="宋体"/>
          <w:spacing w:val="1"/>
          <w:kern w:val="1"/>
          <w:sz w:val="28"/>
          <w:szCs w:val="28"/>
        </w:rPr>
        <w:t>6065005.32</w:t>
      </w:r>
      <w:r>
        <w:rPr>
          <w:rFonts w:hint="eastAsia" w:ascii="宋体" w:hAnsi="宋体" w:cs="宋体"/>
          <w:spacing w:val="1"/>
          <w:kern w:val="1"/>
          <w:sz w:val="28"/>
          <w:szCs w:val="28"/>
        </w:rPr>
        <w:t>元，财政预算数</w:t>
      </w:r>
      <w:r>
        <w:rPr>
          <w:rFonts w:ascii="宋体" w:hAnsi="宋体" w:cs="宋体"/>
          <w:spacing w:val="1"/>
          <w:kern w:val="1"/>
          <w:sz w:val="28"/>
          <w:szCs w:val="28"/>
        </w:rPr>
        <w:t>入5664004.68</w:t>
      </w:r>
      <w:r>
        <w:rPr>
          <w:rFonts w:hint="eastAsia" w:ascii="宋体" w:hAnsi="宋体" w:cs="宋体"/>
          <w:spacing w:val="1"/>
          <w:kern w:val="1"/>
          <w:sz w:val="28"/>
          <w:szCs w:val="28"/>
        </w:rPr>
        <w:t>元，全年财拨款支出比预算数增加</w:t>
      </w:r>
      <w:r>
        <w:rPr>
          <w:rFonts w:hint="eastAsia" w:ascii="宋体" w:hAnsi="宋体" w:cs="宋体"/>
          <w:spacing w:val="1"/>
          <w:kern w:val="1"/>
          <w:sz w:val="28"/>
          <w:szCs w:val="28"/>
          <w:lang w:val="en-US" w:eastAsia="zh-CN"/>
        </w:rPr>
        <w:t>401000.64</w:t>
      </w:r>
      <w:r>
        <w:rPr>
          <w:rFonts w:hint="eastAsia" w:ascii="宋体" w:hAnsi="宋体" w:cs="宋体"/>
          <w:spacing w:val="1"/>
          <w:kern w:val="1"/>
          <w:sz w:val="28"/>
          <w:szCs w:val="28"/>
        </w:rPr>
        <w:t>元，增长</w:t>
      </w:r>
      <w:r>
        <w:rPr>
          <w:rFonts w:hint="eastAsia" w:ascii="宋体" w:hAnsi="宋体" w:cs="宋体"/>
          <w:spacing w:val="1"/>
          <w:kern w:val="1"/>
          <w:sz w:val="28"/>
          <w:szCs w:val="28"/>
          <w:lang w:eastAsia="zh-CN"/>
        </w:rPr>
        <w:t>幅</w:t>
      </w:r>
      <w:r>
        <w:rPr>
          <w:rFonts w:hint="eastAsia" w:ascii="宋体" w:hAnsi="宋体" w:cs="宋体"/>
          <w:spacing w:val="1"/>
          <w:kern w:val="1"/>
          <w:sz w:val="28"/>
          <w:szCs w:val="28"/>
        </w:rPr>
        <w:t>度为</w:t>
      </w:r>
      <w:r>
        <w:rPr>
          <w:rFonts w:hint="eastAsia" w:ascii="宋体" w:hAnsi="宋体" w:cs="宋体"/>
          <w:spacing w:val="1"/>
          <w:kern w:val="1"/>
          <w:sz w:val="28"/>
          <w:szCs w:val="28"/>
          <w:lang w:val="en-US" w:eastAsia="zh-CN"/>
        </w:rPr>
        <w:t>7</w:t>
      </w:r>
      <w:r>
        <w:rPr>
          <w:rFonts w:hint="eastAsia" w:ascii="宋体" w:hAnsi="宋体" w:cs="宋体"/>
          <w:spacing w:val="1"/>
          <w:kern w:val="1"/>
          <w:sz w:val="28"/>
          <w:szCs w:val="28"/>
        </w:rPr>
        <w:t xml:space="preserve">% 。 </w:t>
      </w:r>
    </w:p>
    <w:p>
      <w:pPr>
        <w:spacing w:line="440" w:lineRule="exact"/>
        <w:ind w:firstLine="564" w:firstLineChars="200"/>
        <w:rPr>
          <w:rFonts w:ascii="宋体" w:hAnsi="宋体" w:cs="宋体"/>
          <w:spacing w:val="1"/>
          <w:kern w:val="1"/>
          <w:sz w:val="28"/>
          <w:szCs w:val="28"/>
        </w:rPr>
      </w:pPr>
    </w:p>
    <w:p>
      <w:pPr>
        <w:spacing w:line="440" w:lineRule="exact"/>
        <w:ind w:firstLine="651" w:firstLineChars="200"/>
        <w:rPr>
          <w:rFonts w:ascii="宋体" w:hAnsi="宋体" w:cs="宋体"/>
          <w:b/>
          <w:spacing w:val="2"/>
          <w:kern w:val="1"/>
          <w:sz w:val="32"/>
          <w:szCs w:val="32"/>
        </w:rPr>
      </w:pPr>
      <w:r>
        <w:rPr>
          <w:rFonts w:hint="eastAsia" w:ascii="宋体" w:hAnsi="宋体" w:cs="宋体"/>
          <w:b/>
          <w:spacing w:val="2"/>
          <w:kern w:val="1"/>
          <w:sz w:val="32"/>
          <w:szCs w:val="32"/>
          <w:lang w:eastAsia="zh-CN"/>
        </w:rPr>
        <w:t>二、</w:t>
      </w:r>
      <w:r>
        <w:rPr>
          <w:rFonts w:ascii="宋体" w:hAnsi="宋体" w:cs="宋体"/>
          <w:b/>
          <w:spacing w:val="2"/>
          <w:kern w:val="1"/>
          <w:sz w:val="32"/>
          <w:szCs w:val="32"/>
        </w:rPr>
        <w:t>关于“三公”经费、培训费、会议费支出情况</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 xml:space="preserve">(1)“三公”经费支出情况: </w:t>
      </w:r>
    </w:p>
    <w:p>
      <w:pPr>
        <w:spacing w:line="440" w:lineRule="exact"/>
        <w:ind w:firstLine="560" w:firstLineChars="200"/>
        <w:rPr>
          <w:rFonts w:ascii="宋体" w:hAnsi="宋体" w:cs="宋体"/>
          <w:color w:val="FF6600"/>
          <w:kern w:val="1"/>
          <w:sz w:val="28"/>
          <w:szCs w:val="28"/>
        </w:rPr>
      </w:pPr>
      <w:r>
        <w:rPr>
          <w:rFonts w:ascii="宋体" w:hAnsi="宋体" w:cs="宋体"/>
          <w:color w:val="000000"/>
          <w:kern w:val="1"/>
          <w:sz w:val="28"/>
          <w:szCs w:val="28"/>
        </w:rPr>
        <w:t>202</w:t>
      </w:r>
      <w:r>
        <w:rPr>
          <w:rFonts w:hint="eastAsia" w:ascii="宋体" w:hAnsi="宋体" w:cs="宋体"/>
          <w:color w:val="000000"/>
          <w:kern w:val="1"/>
          <w:sz w:val="28"/>
          <w:szCs w:val="28"/>
          <w:lang w:val="en-US" w:eastAsia="zh-CN"/>
        </w:rPr>
        <w:t>1</w:t>
      </w:r>
      <w:r>
        <w:rPr>
          <w:rFonts w:ascii="宋体" w:hAnsi="宋体" w:cs="宋体"/>
          <w:color w:val="000000"/>
          <w:kern w:val="1"/>
          <w:sz w:val="28"/>
          <w:szCs w:val="28"/>
        </w:rPr>
        <w:t>年“三公”经费</w:t>
      </w:r>
      <w:r>
        <w:rPr>
          <w:rFonts w:hint="eastAsia" w:ascii="宋体" w:hAnsi="宋体" w:cs="宋体"/>
          <w:color w:val="000000"/>
          <w:kern w:val="1"/>
          <w:sz w:val="28"/>
          <w:szCs w:val="28"/>
          <w:lang w:val="en-US" w:eastAsia="zh-CN"/>
        </w:rPr>
        <w:t>预算数90000元</w:t>
      </w:r>
      <w:r>
        <w:rPr>
          <w:rFonts w:ascii="宋体" w:hAnsi="宋体" w:cs="宋体"/>
          <w:color w:val="000000"/>
          <w:kern w:val="1"/>
          <w:sz w:val="28"/>
          <w:szCs w:val="28"/>
        </w:rPr>
        <w:t>决算总支出25495.38元，其中：</w:t>
      </w:r>
    </w:p>
    <w:p>
      <w:pPr>
        <w:spacing w:line="440" w:lineRule="exact"/>
        <w:ind w:firstLine="560" w:firstLineChars="200"/>
        <w:rPr>
          <w:rFonts w:hint="eastAsia" w:ascii="宋体" w:hAnsi="宋体" w:cs="宋体"/>
          <w:kern w:val="1"/>
          <w:sz w:val="28"/>
          <w:szCs w:val="28"/>
          <w:lang w:eastAsia="zh-CN"/>
        </w:rPr>
      </w:pPr>
      <w:r>
        <w:rPr>
          <w:rFonts w:ascii="宋体" w:hAnsi="宋体" w:cs="宋体"/>
          <w:kern w:val="1"/>
          <w:sz w:val="28"/>
          <w:szCs w:val="28"/>
        </w:rPr>
        <w:t>公务车运行维护费25495.38元，年初预算数</w:t>
      </w:r>
      <w:r>
        <w:rPr>
          <w:rFonts w:hint="eastAsia" w:ascii="宋体" w:hAnsi="宋体" w:cs="宋体"/>
          <w:kern w:val="1"/>
          <w:sz w:val="28"/>
          <w:szCs w:val="28"/>
          <w:lang w:val="en-US" w:eastAsia="zh-CN"/>
        </w:rPr>
        <w:t>30000</w:t>
      </w:r>
      <w:r>
        <w:rPr>
          <w:rFonts w:ascii="宋体" w:hAnsi="宋体" w:cs="宋体"/>
          <w:kern w:val="1"/>
          <w:sz w:val="28"/>
          <w:szCs w:val="28"/>
        </w:rPr>
        <w:t>元，决算数比预算数减少</w:t>
      </w:r>
      <w:r>
        <w:rPr>
          <w:rFonts w:hint="eastAsia" w:ascii="宋体" w:hAnsi="宋体" w:cs="宋体"/>
          <w:kern w:val="1"/>
          <w:sz w:val="28"/>
          <w:szCs w:val="28"/>
          <w:lang w:val="en-US" w:eastAsia="zh-CN"/>
        </w:rPr>
        <w:t>4504.62</w:t>
      </w:r>
      <w:r>
        <w:rPr>
          <w:rFonts w:ascii="宋体" w:hAnsi="宋体" w:cs="宋体"/>
          <w:kern w:val="1"/>
          <w:sz w:val="28"/>
          <w:szCs w:val="28"/>
        </w:rPr>
        <w:t>元，减少幅度为</w:t>
      </w:r>
      <w:r>
        <w:rPr>
          <w:rFonts w:hint="eastAsia" w:ascii="宋体" w:hAnsi="宋体" w:cs="宋体"/>
          <w:kern w:val="1"/>
          <w:sz w:val="28"/>
          <w:szCs w:val="28"/>
          <w:lang w:val="en-US" w:eastAsia="zh-CN"/>
        </w:rPr>
        <w:t>15</w:t>
      </w:r>
      <w:r>
        <w:rPr>
          <w:rFonts w:ascii="宋体" w:hAnsi="宋体" w:cs="宋体"/>
          <w:kern w:val="1"/>
          <w:sz w:val="28"/>
          <w:szCs w:val="28"/>
        </w:rPr>
        <w:t>%</w:t>
      </w:r>
      <w:r>
        <w:rPr>
          <w:rFonts w:hint="eastAsia" w:ascii="宋体" w:hAnsi="宋体" w:cs="宋体"/>
          <w:kern w:val="1"/>
          <w:sz w:val="28"/>
          <w:szCs w:val="28"/>
          <w:lang w:eastAsia="zh-CN"/>
        </w:rPr>
        <w:t>；</w:t>
      </w:r>
    </w:p>
    <w:p>
      <w:pPr>
        <w:spacing w:line="440" w:lineRule="exact"/>
        <w:ind w:firstLine="560" w:firstLineChars="200"/>
        <w:rPr>
          <w:rFonts w:ascii="宋体" w:hAnsi="宋体" w:cs="宋体"/>
          <w:kern w:val="1"/>
          <w:sz w:val="28"/>
          <w:szCs w:val="28"/>
        </w:rPr>
      </w:pPr>
      <w:r>
        <w:rPr>
          <w:rFonts w:hint="eastAsia" w:asciiTheme="minorEastAsia" w:hAnsiTheme="minorEastAsia" w:cstheme="minorEastAsia"/>
          <w:sz w:val="28"/>
          <w:szCs w:val="28"/>
          <w:lang w:val="en-US" w:eastAsia="zh-CN"/>
        </w:rPr>
        <w:t>公务用车购置费0元，年初预算0元，</w:t>
      </w:r>
      <w:r>
        <w:rPr>
          <w:rFonts w:hint="eastAsia" w:ascii="宋体" w:hAnsi="宋体" w:cs="宋体"/>
          <w:kern w:val="1"/>
          <w:sz w:val="28"/>
          <w:szCs w:val="28"/>
        </w:rPr>
        <w:t>公务用车购置数0、保有量</w:t>
      </w:r>
      <w:r>
        <w:rPr>
          <w:rFonts w:hint="eastAsia" w:ascii="宋体" w:hAnsi="宋体" w:cs="宋体"/>
          <w:kern w:val="1"/>
          <w:sz w:val="28"/>
          <w:szCs w:val="28"/>
          <w:lang w:val="en-US" w:eastAsia="zh-CN"/>
        </w:rPr>
        <w:t>1</w:t>
      </w:r>
      <w:r>
        <w:rPr>
          <w:rFonts w:ascii="宋体" w:hAnsi="宋体" w:cs="宋体"/>
          <w:kern w:val="1"/>
          <w:sz w:val="28"/>
          <w:szCs w:val="28"/>
        </w:rPr>
        <w:t>；</w:t>
      </w:r>
    </w:p>
    <w:p>
      <w:pPr>
        <w:spacing w:line="440" w:lineRule="exact"/>
        <w:ind w:firstLine="560" w:firstLineChars="200"/>
        <w:rPr>
          <w:rFonts w:ascii="宋体" w:hAnsi="宋体" w:cs="宋体"/>
          <w:kern w:val="1"/>
          <w:sz w:val="28"/>
          <w:szCs w:val="28"/>
        </w:rPr>
      </w:pPr>
      <w:r>
        <w:rPr>
          <w:rFonts w:ascii="宋体" w:hAnsi="宋体" w:cs="宋体"/>
          <w:kern w:val="1"/>
          <w:sz w:val="28"/>
          <w:szCs w:val="28"/>
        </w:rPr>
        <w:t>公务接待费0元，年初预算数</w:t>
      </w:r>
      <w:r>
        <w:rPr>
          <w:rFonts w:hint="eastAsia" w:ascii="宋体" w:hAnsi="宋体" w:cs="宋体"/>
          <w:kern w:val="1"/>
          <w:sz w:val="28"/>
          <w:szCs w:val="28"/>
          <w:lang w:val="en-US" w:eastAsia="zh-CN"/>
        </w:rPr>
        <w:t>60000</w:t>
      </w:r>
      <w:r>
        <w:rPr>
          <w:rFonts w:ascii="宋体" w:hAnsi="宋体" w:cs="宋体"/>
          <w:kern w:val="1"/>
          <w:sz w:val="28"/>
          <w:szCs w:val="28"/>
        </w:rPr>
        <w:t>元，决算数比预算数增加</w:t>
      </w:r>
      <w:r>
        <w:rPr>
          <w:rFonts w:hint="eastAsia" w:ascii="宋体" w:hAnsi="宋体" w:cs="宋体"/>
          <w:kern w:val="1"/>
          <w:sz w:val="28"/>
          <w:szCs w:val="28"/>
          <w:lang w:val="en-US" w:eastAsia="zh-CN"/>
        </w:rPr>
        <w:t>-60000</w:t>
      </w:r>
      <w:r>
        <w:rPr>
          <w:rFonts w:ascii="宋体" w:hAnsi="宋体" w:cs="宋体"/>
          <w:kern w:val="1"/>
          <w:sz w:val="28"/>
          <w:szCs w:val="28"/>
        </w:rPr>
        <w:t>元，增长幅度为</w:t>
      </w:r>
      <w:r>
        <w:rPr>
          <w:rFonts w:hint="eastAsia" w:ascii="宋体" w:hAnsi="宋体" w:cs="宋体"/>
          <w:kern w:val="1"/>
          <w:sz w:val="28"/>
          <w:szCs w:val="28"/>
          <w:lang w:val="en-US" w:eastAsia="zh-CN"/>
        </w:rPr>
        <w:t>-10</w:t>
      </w:r>
      <w:r>
        <w:rPr>
          <w:rFonts w:ascii="宋体" w:hAnsi="宋体" w:cs="宋体"/>
          <w:kern w:val="1"/>
          <w:sz w:val="28"/>
          <w:szCs w:val="28"/>
        </w:rPr>
        <w:t>0%</w:t>
      </w:r>
      <w:r>
        <w:rPr>
          <w:rFonts w:hint="eastAsia" w:ascii="宋体" w:hAnsi="宋体" w:cs="宋体"/>
          <w:kern w:val="1"/>
          <w:sz w:val="28"/>
          <w:szCs w:val="28"/>
          <w:lang w:eastAsia="zh-CN"/>
        </w:rPr>
        <w:t>，</w:t>
      </w:r>
      <w:r>
        <w:rPr>
          <w:rFonts w:hint="eastAsia" w:ascii="宋体" w:hAnsi="宋体" w:cs="宋体"/>
          <w:kern w:val="1"/>
          <w:sz w:val="28"/>
          <w:szCs w:val="28"/>
        </w:rPr>
        <w:t>公务接待批次0、人数0</w:t>
      </w:r>
      <w:r>
        <w:rPr>
          <w:rFonts w:ascii="宋体" w:hAnsi="宋体" w:cs="宋体"/>
          <w:kern w:val="1"/>
          <w:sz w:val="28"/>
          <w:szCs w:val="28"/>
        </w:rPr>
        <w:t>；</w:t>
      </w:r>
    </w:p>
    <w:p>
      <w:pPr>
        <w:spacing w:line="440" w:lineRule="exact"/>
        <w:ind w:firstLine="560" w:firstLineChars="200"/>
        <w:rPr>
          <w:rFonts w:ascii="宋体" w:hAnsi="宋体" w:cs="宋体"/>
          <w:kern w:val="1"/>
          <w:sz w:val="28"/>
          <w:szCs w:val="28"/>
        </w:rPr>
      </w:pPr>
      <w:r>
        <w:rPr>
          <w:rFonts w:ascii="宋体" w:hAnsi="宋体" w:cs="宋体"/>
          <w:kern w:val="1"/>
          <w:sz w:val="28"/>
          <w:szCs w:val="28"/>
        </w:rPr>
        <w:t>因公出国（境）费0元，预算数0元，决算数比预算数增加0元，增长幅度为0%</w:t>
      </w:r>
      <w:r>
        <w:rPr>
          <w:rFonts w:hint="eastAsia" w:ascii="宋体" w:hAnsi="宋体" w:cs="宋体"/>
          <w:kern w:val="1"/>
          <w:sz w:val="28"/>
          <w:szCs w:val="28"/>
          <w:lang w:eastAsia="zh-CN"/>
        </w:rPr>
        <w:t>，本单位因公出国（境）团组数0、人数0</w:t>
      </w:r>
      <w:r>
        <w:rPr>
          <w:rFonts w:ascii="宋体" w:hAnsi="宋体" w:cs="宋体"/>
          <w:kern w:val="1"/>
          <w:sz w:val="28"/>
          <w:szCs w:val="28"/>
        </w:rPr>
        <w:t>；</w:t>
      </w:r>
    </w:p>
    <w:p>
      <w:pPr>
        <w:spacing w:line="440" w:lineRule="exact"/>
        <w:ind w:firstLine="560" w:firstLineChars="200"/>
        <w:rPr>
          <w:rFonts w:ascii="宋体" w:hAnsi="宋体" w:cs="宋体"/>
          <w:color w:val="FF6600"/>
          <w:kern w:val="1"/>
          <w:sz w:val="28"/>
          <w:szCs w:val="28"/>
        </w:rPr>
      </w:pPr>
      <w:r>
        <w:rPr>
          <w:rFonts w:ascii="宋体" w:hAnsi="宋体" w:cs="宋体"/>
          <w:color w:val="000000"/>
          <w:kern w:val="1"/>
          <w:sz w:val="28"/>
          <w:szCs w:val="28"/>
        </w:rPr>
        <w:t>202</w:t>
      </w:r>
      <w:r>
        <w:rPr>
          <w:rFonts w:hint="eastAsia" w:ascii="宋体" w:hAnsi="宋体" w:cs="宋体"/>
          <w:color w:val="000000"/>
          <w:kern w:val="1"/>
          <w:sz w:val="28"/>
          <w:szCs w:val="28"/>
          <w:lang w:val="en-US" w:eastAsia="zh-CN"/>
        </w:rPr>
        <w:t>0</w:t>
      </w:r>
      <w:r>
        <w:rPr>
          <w:rFonts w:ascii="宋体" w:hAnsi="宋体" w:cs="宋体"/>
          <w:color w:val="000000"/>
          <w:kern w:val="1"/>
          <w:sz w:val="28"/>
          <w:szCs w:val="28"/>
        </w:rPr>
        <w:t>年“三公”经费</w:t>
      </w:r>
      <w:r>
        <w:rPr>
          <w:rFonts w:hint="eastAsia" w:ascii="宋体" w:hAnsi="宋体" w:cs="宋体"/>
          <w:color w:val="000000"/>
          <w:kern w:val="1"/>
          <w:sz w:val="28"/>
          <w:szCs w:val="28"/>
          <w:lang w:val="en-US" w:eastAsia="zh-CN"/>
        </w:rPr>
        <w:t>预算数22000元，</w:t>
      </w:r>
      <w:r>
        <w:rPr>
          <w:rFonts w:ascii="宋体" w:hAnsi="宋体" w:cs="宋体"/>
          <w:color w:val="000000"/>
          <w:kern w:val="1"/>
          <w:sz w:val="28"/>
          <w:szCs w:val="28"/>
        </w:rPr>
        <w:t>决算总支出</w:t>
      </w:r>
      <w:r>
        <w:rPr>
          <w:rFonts w:hint="eastAsia" w:ascii="宋体" w:hAnsi="宋体" w:cs="宋体"/>
          <w:color w:val="000000"/>
          <w:kern w:val="1"/>
          <w:sz w:val="28"/>
          <w:szCs w:val="28"/>
          <w:lang w:val="en-US" w:eastAsia="zh-CN"/>
        </w:rPr>
        <w:t>0</w:t>
      </w:r>
      <w:r>
        <w:rPr>
          <w:rFonts w:ascii="宋体" w:hAnsi="宋体" w:cs="宋体"/>
          <w:color w:val="000000"/>
          <w:kern w:val="1"/>
          <w:sz w:val="28"/>
          <w:szCs w:val="28"/>
        </w:rPr>
        <w:t>元，其中：</w:t>
      </w:r>
    </w:p>
    <w:p>
      <w:pPr>
        <w:spacing w:line="440" w:lineRule="exact"/>
        <w:ind w:firstLine="560" w:firstLineChars="200"/>
        <w:rPr>
          <w:rFonts w:hint="eastAsia" w:ascii="宋体" w:hAnsi="宋体" w:cs="宋体"/>
          <w:kern w:val="1"/>
          <w:sz w:val="28"/>
          <w:szCs w:val="28"/>
          <w:lang w:eastAsia="zh-CN"/>
        </w:rPr>
      </w:pPr>
      <w:r>
        <w:rPr>
          <w:rFonts w:ascii="宋体" w:hAnsi="宋体" w:cs="宋体"/>
          <w:kern w:val="1"/>
          <w:sz w:val="28"/>
          <w:szCs w:val="28"/>
        </w:rPr>
        <w:t>公务车运行维护费</w:t>
      </w:r>
      <w:r>
        <w:rPr>
          <w:rFonts w:hint="eastAsia" w:ascii="宋体" w:hAnsi="宋体" w:cs="宋体"/>
          <w:kern w:val="1"/>
          <w:sz w:val="28"/>
          <w:szCs w:val="28"/>
          <w:lang w:val="en-US" w:eastAsia="zh-CN"/>
        </w:rPr>
        <w:t>0</w:t>
      </w:r>
      <w:r>
        <w:rPr>
          <w:rFonts w:ascii="宋体" w:hAnsi="宋体" w:cs="宋体"/>
          <w:kern w:val="1"/>
          <w:sz w:val="28"/>
          <w:szCs w:val="28"/>
        </w:rPr>
        <w:t>元，年初预算数</w:t>
      </w:r>
      <w:r>
        <w:rPr>
          <w:rFonts w:hint="eastAsia" w:ascii="宋体" w:hAnsi="宋体" w:cs="宋体"/>
          <w:kern w:val="1"/>
          <w:sz w:val="28"/>
          <w:szCs w:val="28"/>
          <w:lang w:val="en-US" w:eastAsia="zh-CN"/>
        </w:rPr>
        <w:t>0</w:t>
      </w:r>
      <w:r>
        <w:rPr>
          <w:rFonts w:ascii="宋体" w:hAnsi="宋体" w:cs="宋体"/>
          <w:kern w:val="1"/>
          <w:sz w:val="28"/>
          <w:szCs w:val="28"/>
        </w:rPr>
        <w:t>元</w:t>
      </w:r>
      <w:r>
        <w:rPr>
          <w:rFonts w:hint="eastAsia" w:ascii="宋体" w:hAnsi="宋体" w:cs="宋体"/>
          <w:kern w:val="1"/>
          <w:sz w:val="28"/>
          <w:szCs w:val="28"/>
          <w:lang w:eastAsia="zh-CN"/>
        </w:rPr>
        <w:t>；</w:t>
      </w:r>
    </w:p>
    <w:p>
      <w:pPr>
        <w:spacing w:line="440" w:lineRule="exact"/>
        <w:ind w:firstLine="560" w:firstLineChars="200"/>
        <w:rPr>
          <w:rFonts w:ascii="宋体" w:hAnsi="宋体" w:cs="宋体"/>
          <w:kern w:val="1"/>
          <w:sz w:val="28"/>
          <w:szCs w:val="28"/>
        </w:rPr>
      </w:pPr>
      <w:r>
        <w:rPr>
          <w:rFonts w:ascii="宋体" w:hAnsi="宋体" w:cs="宋体"/>
          <w:kern w:val="1"/>
          <w:sz w:val="28"/>
          <w:szCs w:val="28"/>
        </w:rPr>
        <w:t>公务接待费0元，年初预算数</w:t>
      </w:r>
      <w:r>
        <w:rPr>
          <w:rFonts w:hint="eastAsia" w:ascii="宋体" w:hAnsi="宋体" w:cs="宋体"/>
          <w:kern w:val="1"/>
          <w:sz w:val="28"/>
          <w:szCs w:val="28"/>
          <w:lang w:val="en-US" w:eastAsia="zh-CN"/>
        </w:rPr>
        <w:t>22000</w:t>
      </w:r>
      <w:r>
        <w:rPr>
          <w:rFonts w:ascii="宋体" w:hAnsi="宋体" w:cs="宋体"/>
          <w:kern w:val="1"/>
          <w:sz w:val="28"/>
          <w:szCs w:val="28"/>
        </w:rPr>
        <w:t>元，决算数比预算数增加0元，增长幅度为0%</w:t>
      </w:r>
      <w:r>
        <w:rPr>
          <w:rFonts w:hint="eastAsia" w:ascii="宋体" w:hAnsi="宋体" w:cs="宋体"/>
          <w:kern w:val="1"/>
          <w:sz w:val="28"/>
          <w:szCs w:val="28"/>
          <w:lang w:eastAsia="zh-CN"/>
        </w:rPr>
        <w:t>，</w:t>
      </w:r>
      <w:r>
        <w:rPr>
          <w:rFonts w:hint="eastAsia" w:ascii="宋体" w:hAnsi="宋体" w:cs="宋体"/>
          <w:kern w:val="1"/>
          <w:sz w:val="28"/>
          <w:szCs w:val="28"/>
        </w:rPr>
        <w:t>公务接待批次0、人数0</w:t>
      </w:r>
    </w:p>
    <w:p>
      <w:pPr>
        <w:spacing w:line="440" w:lineRule="exact"/>
        <w:ind w:firstLine="560"/>
        <w:rPr>
          <w:rFonts w:ascii="宋体" w:hAnsi="宋体" w:cs="宋体"/>
          <w:kern w:val="1"/>
          <w:sz w:val="28"/>
          <w:szCs w:val="28"/>
        </w:rPr>
      </w:pPr>
      <w:r>
        <w:rPr>
          <w:rFonts w:ascii="宋体" w:hAnsi="宋体" w:cs="宋体"/>
          <w:kern w:val="1"/>
          <w:sz w:val="28"/>
          <w:szCs w:val="28"/>
        </w:rPr>
        <w:t>因公出国（境）费0元，预算数0元，决算数比预算数增加0元，增长幅度为0%</w:t>
      </w:r>
      <w:r>
        <w:rPr>
          <w:rFonts w:hint="eastAsia" w:ascii="宋体" w:hAnsi="宋体" w:cs="宋体"/>
          <w:kern w:val="1"/>
          <w:sz w:val="28"/>
          <w:szCs w:val="28"/>
          <w:lang w:eastAsia="zh-CN"/>
        </w:rPr>
        <w:t>本单位因公出国（境）团组数</w:t>
      </w:r>
      <w:r>
        <w:rPr>
          <w:rFonts w:hint="eastAsia" w:ascii="宋体" w:hAnsi="宋体" w:cs="宋体"/>
          <w:kern w:val="1"/>
          <w:sz w:val="28"/>
          <w:szCs w:val="28"/>
          <w:lang w:val="en-US" w:eastAsia="zh-CN"/>
        </w:rPr>
        <w:t>3</w:t>
      </w:r>
      <w:r>
        <w:rPr>
          <w:rFonts w:hint="eastAsia" w:ascii="宋体" w:hAnsi="宋体" w:cs="宋体"/>
          <w:kern w:val="1"/>
          <w:sz w:val="28"/>
          <w:szCs w:val="28"/>
          <w:lang w:eastAsia="zh-CN"/>
        </w:rPr>
        <w:t>、人数</w:t>
      </w:r>
      <w:r>
        <w:rPr>
          <w:rFonts w:hint="eastAsia" w:ascii="宋体" w:hAnsi="宋体" w:cs="宋体"/>
          <w:kern w:val="1"/>
          <w:sz w:val="28"/>
          <w:szCs w:val="28"/>
          <w:lang w:val="en-US" w:eastAsia="zh-CN"/>
        </w:rPr>
        <w:t>26</w:t>
      </w:r>
      <w:r>
        <w:rPr>
          <w:rFonts w:ascii="宋体" w:hAnsi="宋体" w:cs="宋体"/>
          <w:kern w:val="1"/>
          <w:sz w:val="28"/>
          <w:szCs w:val="28"/>
        </w:rPr>
        <w:t>；</w:t>
      </w:r>
    </w:p>
    <w:p>
      <w:pPr>
        <w:spacing w:line="440" w:lineRule="exact"/>
        <w:ind w:firstLine="564" w:firstLineChars="200"/>
        <w:rPr>
          <w:rFonts w:ascii="宋体" w:hAnsi="宋体" w:cs="宋体"/>
          <w:spacing w:val="1"/>
          <w:kern w:val="1"/>
          <w:sz w:val="28"/>
          <w:szCs w:val="28"/>
        </w:rPr>
      </w:pPr>
      <w:r>
        <w:rPr>
          <w:rFonts w:ascii="宋体" w:hAnsi="宋体" w:cs="宋体"/>
          <w:spacing w:val="1"/>
          <w:kern w:val="1"/>
          <w:sz w:val="28"/>
          <w:szCs w:val="28"/>
        </w:rPr>
        <w:t xml:space="preserve">(2)会议费支出情况: </w:t>
      </w:r>
    </w:p>
    <w:p>
      <w:pPr>
        <w:spacing w:line="440" w:lineRule="exact"/>
        <w:ind w:firstLine="568"/>
        <w:rPr>
          <w:rFonts w:ascii="宋体" w:hAnsi="宋体" w:cs="宋体"/>
          <w:kern w:val="1"/>
          <w:sz w:val="28"/>
          <w:szCs w:val="28"/>
        </w:rPr>
      </w:pPr>
      <w:r>
        <w:rPr>
          <w:rFonts w:ascii="宋体" w:hAnsi="宋体" w:cs="宋体"/>
          <w:spacing w:val="1"/>
          <w:kern w:val="1"/>
          <w:sz w:val="28"/>
          <w:szCs w:val="28"/>
        </w:rPr>
        <w:t>2020年决算会议费为0元；</w:t>
      </w:r>
      <w:r>
        <w:rPr>
          <w:rFonts w:ascii="宋体" w:hAnsi="宋体" w:cs="宋体"/>
          <w:kern w:val="1"/>
          <w:sz w:val="28"/>
          <w:szCs w:val="28"/>
        </w:rPr>
        <w:t>年初预算数0元，决算数比预算数减少0元，减少幅度为0%；</w:t>
      </w:r>
    </w:p>
    <w:p>
      <w:pPr>
        <w:spacing w:line="440" w:lineRule="exact"/>
        <w:ind w:firstLine="568"/>
        <w:rPr>
          <w:rFonts w:ascii="宋体" w:hAnsi="宋体" w:cs="宋体"/>
          <w:kern w:val="1"/>
          <w:sz w:val="28"/>
          <w:szCs w:val="28"/>
        </w:rPr>
      </w:pPr>
      <w:r>
        <w:rPr>
          <w:rFonts w:ascii="宋体" w:hAnsi="宋体" w:cs="宋体"/>
          <w:spacing w:val="1"/>
          <w:kern w:val="1"/>
          <w:sz w:val="28"/>
          <w:szCs w:val="28"/>
        </w:rPr>
        <w:t>2021年决算会议费为0元；</w:t>
      </w:r>
      <w:r>
        <w:rPr>
          <w:rFonts w:ascii="宋体" w:hAnsi="宋体" w:cs="宋体"/>
          <w:kern w:val="1"/>
          <w:sz w:val="28"/>
          <w:szCs w:val="28"/>
        </w:rPr>
        <w:t>年初预算数0元，决算数比预算数减少0元，减少幅度为0%；</w:t>
      </w:r>
    </w:p>
    <w:p>
      <w:pPr>
        <w:spacing w:line="440" w:lineRule="exact"/>
        <w:rPr>
          <w:rFonts w:ascii="宋体" w:hAnsi="宋体" w:cs="宋体"/>
          <w:spacing w:val="1"/>
          <w:kern w:val="1"/>
          <w:sz w:val="28"/>
          <w:szCs w:val="28"/>
        </w:rPr>
      </w:pPr>
      <w:r>
        <w:rPr>
          <w:rFonts w:ascii="宋体" w:hAnsi="宋体" w:cs="宋体"/>
          <w:spacing w:val="1"/>
          <w:kern w:val="1"/>
          <w:sz w:val="28"/>
          <w:szCs w:val="28"/>
        </w:rPr>
        <w:t xml:space="preserve"> </w:t>
      </w:r>
      <w:r>
        <w:rPr>
          <w:rFonts w:hint="eastAsia" w:ascii="宋体" w:hAnsi="宋体" w:cs="宋体"/>
          <w:spacing w:val="1"/>
          <w:kern w:val="1"/>
          <w:sz w:val="28"/>
          <w:szCs w:val="28"/>
          <w:lang w:val="en-US" w:eastAsia="zh-CN"/>
        </w:rPr>
        <w:t xml:space="preserve">  </w:t>
      </w:r>
      <w:r>
        <w:rPr>
          <w:rFonts w:ascii="宋体" w:hAnsi="宋体" w:cs="宋体"/>
          <w:spacing w:val="1"/>
          <w:kern w:val="1"/>
          <w:sz w:val="28"/>
          <w:szCs w:val="28"/>
        </w:rPr>
        <w:t>(3)培训费支出情况：</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2020年决算培训费0元，年初预算数0元，决算数比预算数减少0元，减少幅度为0%；</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 xml:space="preserve">2021年决算培训费0元，年初预算数0元，决算数比预算数减少0元，减少幅度为0%； </w:t>
      </w:r>
    </w:p>
    <w:p>
      <w:pPr>
        <w:widowControl/>
        <w:shd w:val="clear" w:color="000000" w:fill="FFFFFF"/>
        <w:ind w:firstLine="562" w:firstLineChars="200"/>
        <w:jc w:val="left"/>
        <w:rPr>
          <w:rFonts w:ascii="宋体" w:hAnsi="宋体" w:cs="宋体"/>
          <w:b/>
          <w:color w:val="FF6600"/>
          <w:kern w:val="1"/>
          <w:sz w:val="28"/>
          <w:szCs w:val="28"/>
        </w:rPr>
      </w:pPr>
      <w:r>
        <w:rPr>
          <w:rFonts w:hint="eastAsia" w:ascii="宋体" w:hAnsi="宋体" w:cs="宋体"/>
          <w:b/>
          <w:color w:val="000000"/>
          <w:kern w:val="1"/>
          <w:sz w:val="28"/>
          <w:szCs w:val="28"/>
          <w:lang w:eastAsia="zh-CN"/>
        </w:rPr>
        <w:t>三</w:t>
      </w:r>
      <w:r>
        <w:rPr>
          <w:rFonts w:ascii="宋体" w:hAnsi="宋体" w:cs="宋体"/>
          <w:b/>
          <w:color w:val="000000"/>
          <w:kern w:val="1"/>
          <w:sz w:val="28"/>
          <w:szCs w:val="28"/>
        </w:rPr>
        <w:t>、关于机关运行经费支出说明</w:t>
      </w:r>
    </w:p>
    <w:p>
      <w:pPr>
        <w:widowControl/>
        <w:ind w:firstLine="568"/>
        <w:rPr>
          <w:rFonts w:ascii="宋体" w:hAnsi="宋体" w:cs="宋体"/>
          <w:spacing w:val="1"/>
          <w:kern w:val="1"/>
          <w:sz w:val="28"/>
          <w:szCs w:val="28"/>
        </w:rPr>
      </w:pPr>
      <w:r>
        <w:rPr>
          <w:rFonts w:ascii="宋体" w:hAnsi="宋体" w:cs="宋体"/>
          <w:spacing w:val="1"/>
          <w:kern w:val="1"/>
          <w:sz w:val="28"/>
          <w:szCs w:val="28"/>
        </w:rPr>
        <w:t>2021年机关运行经费支出1754403.97元, 2020年机关运行经费支出1622303.95元,同比上年增加132100.02元，增加幅度8.14%，原因是</w:t>
      </w:r>
      <w:r>
        <w:rPr>
          <w:rFonts w:hint="eastAsia" w:ascii="宋体" w:hAnsi="宋体" w:cs="宋体"/>
          <w:spacing w:val="1"/>
          <w:kern w:val="1"/>
          <w:sz w:val="28"/>
          <w:szCs w:val="28"/>
          <w:lang w:val="en-US" w:eastAsia="zh-CN"/>
        </w:rPr>
        <w:t>2021</w:t>
      </w:r>
      <w:r>
        <w:rPr>
          <w:rFonts w:ascii="宋体" w:hAnsi="宋体" w:cs="宋体"/>
          <w:spacing w:val="1"/>
          <w:kern w:val="1"/>
          <w:sz w:val="28"/>
          <w:szCs w:val="28"/>
        </w:rPr>
        <w:t>年业务量增加。</w:t>
      </w:r>
    </w:p>
    <w:p>
      <w:pPr>
        <w:widowControl/>
        <w:ind w:firstLine="568"/>
        <w:rPr>
          <w:rFonts w:ascii="宋体" w:hAnsi="宋体" w:cs="宋体"/>
          <w:spacing w:val="1"/>
          <w:kern w:val="1"/>
          <w:sz w:val="28"/>
          <w:szCs w:val="28"/>
        </w:rPr>
      </w:pPr>
      <w:r>
        <w:rPr>
          <w:rFonts w:hint="eastAsia" w:ascii="宋体" w:hAnsi="宋体" w:cs="宋体"/>
          <w:spacing w:val="1"/>
          <w:kern w:val="1"/>
          <w:sz w:val="28"/>
          <w:szCs w:val="28"/>
        </w:rPr>
        <w:t>2021年机关运行经费支出</w:t>
      </w:r>
      <w:r>
        <w:rPr>
          <w:rFonts w:ascii="宋体" w:hAnsi="宋体" w:cs="宋体"/>
          <w:spacing w:val="1"/>
          <w:kern w:val="1"/>
          <w:sz w:val="28"/>
          <w:szCs w:val="28"/>
        </w:rPr>
        <w:t>1754403.97</w:t>
      </w:r>
      <w:r>
        <w:rPr>
          <w:rFonts w:hint="eastAsia" w:ascii="宋体" w:hAnsi="宋体" w:cs="宋体"/>
          <w:spacing w:val="1"/>
          <w:kern w:val="1"/>
          <w:sz w:val="28"/>
          <w:szCs w:val="28"/>
        </w:rPr>
        <w:t>元，财政预算数</w:t>
      </w:r>
      <w:r>
        <w:rPr>
          <w:rFonts w:ascii="宋体" w:hAnsi="宋体" w:cs="宋体"/>
          <w:spacing w:val="1"/>
          <w:kern w:val="1"/>
          <w:sz w:val="28"/>
          <w:szCs w:val="28"/>
        </w:rPr>
        <w:t>1006917</w:t>
      </w:r>
      <w:r>
        <w:rPr>
          <w:rFonts w:hint="eastAsia" w:ascii="宋体" w:hAnsi="宋体" w:cs="宋体"/>
          <w:spacing w:val="1"/>
          <w:kern w:val="1"/>
          <w:sz w:val="28"/>
          <w:szCs w:val="28"/>
        </w:rPr>
        <w:t>元，增加幅度为</w:t>
      </w:r>
      <w:r>
        <w:rPr>
          <w:rFonts w:hint="eastAsia" w:ascii="宋体" w:hAnsi="宋体" w:cs="宋体"/>
          <w:spacing w:val="1"/>
          <w:kern w:val="1"/>
          <w:sz w:val="28"/>
          <w:szCs w:val="28"/>
          <w:lang w:val="en-US" w:eastAsia="zh-CN"/>
        </w:rPr>
        <w:t>74</w:t>
      </w:r>
      <w:r>
        <w:rPr>
          <w:rFonts w:hint="eastAsia" w:ascii="宋体" w:hAnsi="宋体" w:cs="宋体"/>
          <w:spacing w:val="1"/>
          <w:kern w:val="1"/>
          <w:sz w:val="28"/>
          <w:szCs w:val="28"/>
        </w:rPr>
        <w:t>%</w:t>
      </w:r>
      <w:r>
        <w:rPr>
          <w:rFonts w:hint="eastAsia" w:ascii="宋体" w:hAnsi="宋体" w:cs="宋体"/>
          <w:spacing w:val="1"/>
          <w:kern w:val="1"/>
          <w:sz w:val="28"/>
          <w:szCs w:val="28"/>
          <w:lang w:eastAsia="zh-CN"/>
        </w:rPr>
        <w:t>，</w:t>
      </w:r>
      <w:r>
        <w:rPr>
          <w:rFonts w:hint="eastAsia" w:ascii="宋体" w:hAnsi="宋体" w:cs="宋体"/>
          <w:spacing w:val="1"/>
          <w:kern w:val="1"/>
          <w:sz w:val="28"/>
          <w:szCs w:val="28"/>
        </w:rPr>
        <w:t xml:space="preserve"> 原因</w:t>
      </w:r>
      <w:r>
        <w:rPr>
          <w:rFonts w:hint="eastAsia" w:ascii="宋体" w:hAnsi="宋体" w:cs="宋体"/>
          <w:spacing w:val="1"/>
          <w:kern w:val="1"/>
          <w:sz w:val="28"/>
          <w:szCs w:val="28"/>
          <w:lang w:eastAsia="zh-CN"/>
        </w:rPr>
        <w:t>是</w:t>
      </w:r>
      <w:r>
        <w:rPr>
          <w:rFonts w:ascii="宋体" w:hAnsi="宋体" w:cs="宋体"/>
          <w:spacing w:val="1"/>
          <w:kern w:val="1"/>
          <w:sz w:val="28"/>
          <w:szCs w:val="28"/>
        </w:rPr>
        <w:t>业务量增加</w:t>
      </w:r>
      <w:r>
        <w:rPr>
          <w:rFonts w:hint="eastAsia" w:ascii="宋体" w:hAnsi="宋体" w:cs="宋体"/>
          <w:spacing w:val="1"/>
          <w:kern w:val="1"/>
          <w:sz w:val="28"/>
          <w:szCs w:val="28"/>
          <w:lang w:eastAsia="zh-CN"/>
        </w:rPr>
        <w:t>。</w:t>
      </w:r>
    </w:p>
    <w:p>
      <w:pPr>
        <w:widowControl/>
        <w:ind w:firstLine="562" w:firstLineChars="200"/>
        <w:rPr>
          <w:rFonts w:ascii="宋体" w:hAnsi="宋体" w:cs="宋体"/>
          <w:b/>
          <w:color w:val="FF6600"/>
          <w:kern w:val="1"/>
          <w:sz w:val="28"/>
          <w:szCs w:val="28"/>
        </w:rPr>
      </w:pPr>
      <w:r>
        <w:rPr>
          <w:rFonts w:hint="eastAsia" w:ascii="宋体" w:hAnsi="宋体" w:cs="宋体"/>
          <w:b/>
          <w:color w:val="000000"/>
          <w:kern w:val="1"/>
          <w:sz w:val="28"/>
          <w:szCs w:val="28"/>
          <w:lang w:eastAsia="zh-CN"/>
        </w:rPr>
        <w:t>四</w:t>
      </w:r>
      <w:r>
        <w:rPr>
          <w:rFonts w:ascii="宋体" w:hAnsi="宋体" w:cs="宋体"/>
          <w:b/>
          <w:color w:val="000000"/>
          <w:kern w:val="1"/>
          <w:sz w:val="28"/>
          <w:szCs w:val="28"/>
        </w:rPr>
        <w:t>、关于政府采购支出说明</w:t>
      </w:r>
    </w:p>
    <w:p>
      <w:pPr>
        <w:pStyle w:val="20"/>
        <w:ind w:firstLine="560"/>
        <w:rPr>
          <w:rFonts w:hint="eastAsia" w:ascii="宋体" w:hAnsi="宋体" w:eastAsia="宋体"/>
          <w:sz w:val="28"/>
          <w:szCs w:val="28"/>
          <w:lang w:eastAsia="zh-CN"/>
        </w:rPr>
      </w:pPr>
      <w:r>
        <w:rPr>
          <w:rFonts w:hint="eastAsia" w:ascii="宋体" w:hAnsi="宋体"/>
          <w:sz w:val="28"/>
          <w:szCs w:val="28"/>
          <w:lang w:val="en-US" w:eastAsia="zh-CN"/>
        </w:rPr>
        <w:t>1、</w:t>
      </w:r>
      <w:r>
        <w:rPr>
          <w:rFonts w:ascii="宋体" w:hAnsi="宋体"/>
          <w:sz w:val="28"/>
          <w:szCs w:val="28"/>
        </w:rPr>
        <w:t>2021年政府采购总支出99700元，其中政府采购货物支出19700元，政府采购工程支出0元，政府采购服务支出80000元。</w:t>
      </w:r>
      <w:r>
        <w:rPr>
          <w:rFonts w:hint="eastAsia" w:ascii="宋体" w:hAnsi="宋体"/>
          <w:sz w:val="28"/>
          <w:szCs w:val="28"/>
        </w:rPr>
        <w:t>2020年政府采购总支出556600元，其中政府采购货物支出137600元，政府采购工程支出0元，政府采购服务支出419000元。同比上年</w:t>
      </w:r>
      <w:r>
        <w:rPr>
          <w:rFonts w:hint="eastAsia" w:ascii="宋体" w:hAnsi="宋体"/>
          <w:sz w:val="28"/>
          <w:szCs w:val="28"/>
          <w:lang w:eastAsia="zh-CN"/>
        </w:rPr>
        <w:t>减少</w:t>
      </w:r>
      <w:r>
        <w:rPr>
          <w:rFonts w:hint="eastAsia" w:ascii="宋体" w:hAnsi="宋体"/>
          <w:sz w:val="28"/>
          <w:szCs w:val="28"/>
        </w:rPr>
        <w:t>幅度为</w:t>
      </w:r>
      <w:r>
        <w:rPr>
          <w:rFonts w:hint="eastAsia" w:ascii="宋体" w:hAnsi="宋体"/>
          <w:sz w:val="28"/>
          <w:szCs w:val="28"/>
          <w:lang w:val="en-US" w:eastAsia="zh-CN"/>
        </w:rPr>
        <w:t>82</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 xml:space="preserve"> 021年政府采购年初预算数</w:t>
      </w:r>
      <w:r>
        <w:rPr>
          <w:rFonts w:hint="eastAsia" w:ascii="宋体" w:hAnsi="宋体"/>
          <w:sz w:val="28"/>
          <w:szCs w:val="28"/>
          <w:lang w:val="en-US" w:eastAsia="zh-CN"/>
        </w:rPr>
        <w:t>90000</w:t>
      </w:r>
      <w:r>
        <w:rPr>
          <w:rFonts w:hint="eastAsia" w:ascii="宋体" w:hAnsi="宋体"/>
          <w:sz w:val="28"/>
          <w:szCs w:val="28"/>
        </w:rPr>
        <w:t>元，当年支出比财政预算数增加</w:t>
      </w:r>
      <w:r>
        <w:rPr>
          <w:rFonts w:hint="eastAsia" w:ascii="宋体" w:hAnsi="宋体"/>
          <w:sz w:val="28"/>
          <w:szCs w:val="28"/>
          <w:lang w:val="en-US" w:eastAsia="zh-CN"/>
        </w:rPr>
        <w:t>9700</w:t>
      </w:r>
      <w:r>
        <w:rPr>
          <w:rFonts w:hint="eastAsia" w:ascii="宋体" w:hAnsi="宋体"/>
          <w:sz w:val="28"/>
          <w:szCs w:val="28"/>
        </w:rPr>
        <w:t>元，增加幅度为</w:t>
      </w:r>
      <w:r>
        <w:rPr>
          <w:rFonts w:hint="eastAsia" w:ascii="宋体" w:hAnsi="宋体"/>
          <w:sz w:val="28"/>
          <w:szCs w:val="28"/>
          <w:lang w:val="en-US" w:eastAsia="zh-CN"/>
        </w:rPr>
        <w:t>11</w:t>
      </w:r>
      <w:r>
        <w:rPr>
          <w:rFonts w:hint="eastAsia" w:ascii="宋体" w:hAnsi="宋体"/>
          <w:sz w:val="28"/>
          <w:szCs w:val="28"/>
        </w:rPr>
        <w:t>%</w:t>
      </w:r>
      <w:r>
        <w:rPr>
          <w:rFonts w:hint="eastAsia" w:ascii="宋体" w:hAnsi="宋体"/>
          <w:sz w:val="28"/>
          <w:szCs w:val="28"/>
          <w:lang w:eastAsia="zh-CN"/>
        </w:rPr>
        <w:t>。授予中小企业合同金额</w:t>
      </w:r>
      <w:r>
        <w:rPr>
          <w:rFonts w:hint="eastAsia" w:ascii="宋体" w:hAnsi="宋体"/>
          <w:sz w:val="28"/>
          <w:szCs w:val="28"/>
          <w:lang w:val="en-US" w:eastAsia="zh-CN"/>
        </w:rPr>
        <w:t>99700</w:t>
      </w:r>
      <w:r>
        <w:rPr>
          <w:rFonts w:hint="eastAsia" w:ascii="宋体" w:hAnsi="宋体"/>
          <w:sz w:val="28"/>
          <w:szCs w:val="28"/>
          <w:lang w:eastAsia="zh-CN"/>
        </w:rPr>
        <w:t>元，占政府采购支出总额的</w:t>
      </w:r>
      <w:r>
        <w:rPr>
          <w:rFonts w:hint="eastAsia" w:ascii="宋体" w:hAnsi="宋体"/>
          <w:sz w:val="28"/>
          <w:szCs w:val="28"/>
          <w:lang w:val="en-US" w:eastAsia="zh-CN"/>
        </w:rPr>
        <w:t>10</w:t>
      </w:r>
      <w:r>
        <w:rPr>
          <w:rFonts w:hint="eastAsia" w:ascii="宋体" w:hAnsi="宋体"/>
          <w:sz w:val="28"/>
          <w:szCs w:val="28"/>
          <w:lang w:eastAsia="zh-CN"/>
        </w:rPr>
        <w:t>0%，其中：授予小微企业合同金额</w:t>
      </w:r>
      <w:r>
        <w:rPr>
          <w:rFonts w:hint="eastAsia" w:ascii="宋体" w:hAnsi="宋体"/>
          <w:sz w:val="28"/>
          <w:szCs w:val="28"/>
          <w:lang w:val="en-US" w:eastAsia="zh-CN"/>
        </w:rPr>
        <w:t>99700</w:t>
      </w:r>
      <w:r>
        <w:rPr>
          <w:rFonts w:hint="eastAsia" w:ascii="宋体" w:hAnsi="宋体"/>
          <w:sz w:val="28"/>
          <w:szCs w:val="28"/>
          <w:lang w:eastAsia="zh-CN"/>
        </w:rPr>
        <w:t>元，占政府采购支出总额的</w:t>
      </w:r>
      <w:r>
        <w:rPr>
          <w:rFonts w:hint="eastAsia" w:ascii="宋体" w:hAnsi="宋体"/>
          <w:sz w:val="28"/>
          <w:szCs w:val="28"/>
          <w:lang w:val="en-US" w:eastAsia="zh-CN"/>
        </w:rPr>
        <w:t>10</w:t>
      </w:r>
      <w:r>
        <w:rPr>
          <w:rFonts w:hint="eastAsia" w:ascii="宋体" w:hAnsi="宋体"/>
          <w:sz w:val="28"/>
          <w:szCs w:val="28"/>
          <w:lang w:eastAsia="zh-CN"/>
        </w:rPr>
        <w:t>0%。</w:t>
      </w:r>
    </w:p>
    <w:p>
      <w:pPr>
        <w:widowControl/>
        <w:shd w:val="clear" w:color="000000" w:fill="FFFFFF"/>
        <w:ind w:firstLine="562" w:firstLineChars="200"/>
        <w:jc w:val="left"/>
        <w:rPr>
          <w:rFonts w:ascii="宋体" w:hAnsi="宋体" w:cs="宋体"/>
          <w:b/>
          <w:color w:val="FF6600"/>
          <w:kern w:val="1"/>
          <w:sz w:val="28"/>
          <w:szCs w:val="28"/>
        </w:rPr>
      </w:pPr>
      <w:r>
        <w:rPr>
          <w:rFonts w:hint="eastAsia" w:ascii="宋体" w:hAnsi="宋体" w:cs="宋体"/>
          <w:b/>
          <w:color w:val="000000"/>
          <w:kern w:val="1"/>
          <w:sz w:val="28"/>
          <w:szCs w:val="28"/>
          <w:lang w:eastAsia="zh-CN"/>
        </w:rPr>
        <w:t>五</w:t>
      </w:r>
      <w:r>
        <w:rPr>
          <w:rFonts w:ascii="宋体" w:hAnsi="宋体" w:cs="宋体"/>
          <w:b/>
          <w:color w:val="000000"/>
          <w:kern w:val="1"/>
          <w:sz w:val="28"/>
          <w:szCs w:val="28"/>
        </w:rPr>
        <w:t>、关于国有资产占用情况说明</w:t>
      </w:r>
      <w:bookmarkStart w:id="6" w:name="_GoBack"/>
      <w:bookmarkEnd w:id="6"/>
    </w:p>
    <w:p>
      <w:pPr>
        <w:pStyle w:val="20"/>
        <w:rPr>
          <w:rFonts w:ascii="宋体" w:hAnsi="宋体" w:cs="Times New Roman"/>
          <w:sz w:val="28"/>
          <w:szCs w:val="28"/>
        </w:rPr>
      </w:pPr>
      <w:r>
        <w:rPr>
          <w:rFonts w:ascii="宋体" w:hAnsi="宋体" w:cs="Times New Roman"/>
          <w:sz w:val="28"/>
          <w:szCs w:val="28"/>
        </w:rPr>
        <w:t>截至2021年12月31日，本单位共有车辆1辆，其中领导干部用车1辆，一般公务用车0辆，一般执法执勤用车0辆，特种专业技术用车0辆，其它用车0辆。</w:t>
      </w:r>
    </w:p>
    <w:p>
      <w:pPr>
        <w:pStyle w:val="20"/>
        <w:rPr>
          <w:rFonts w:ascii="宋体" w:hAnsi="宋体" w:cs="Times New Roman"/>
          <w:sz w:val="28"/>
          <w:szCs w:val="28"/>
        </w:rPr>
      </w:pPr>
      <w:r>
        <w:rPr>
          <w:rFonts w:ascii="宋体" w:hAnsi="宋体" w:cs="Times New Roman"/>
          <w:sz w:val="28"/>
          <w:szCs w:val="28"/>
        </w:rPr>
        <w:t>2021年12月31日，本单位共有车辆1辆，其中领导干部用车1辆，一般公务用车0辆，一般执法执勤用车0辆，特种专业技术用车0辆，其它用车0辆。2021年与2020年比没有变化。</w:t>
      </w:r>
    </w:p>
    <w:p>
      <w:pPr>
        <w:numPr>
          <w:ilvl w:val="0"/>
          <w:numId w:val="1"/>
        </w:numPr>
        <w:spacing w:line="440" w:lineRule="exact"/>
        <w:ind w:firstLine="566" w:firstLineChars="200"/>
        <w:rPr>
          <w:rFonts w:hint="eastAsia" w:ascii="宋体" w:hAnsi="宋体" w:cs="宋体"/>
          <w:b/>
          <w:spacing w:val="1"/>
          <w:kern w:val="1"/>
          <w:sz w:val="28"/>
          <w:szCs w:val="28"/>
          <w:lang w:eastAsia="zh-CN"/>
        </w:rPr>
      </w:pPr>
      <w:r>
        <w:rPr>
          <w:rFonts w:hint="eastAsia" w:ascii="宋体" w:hAnsi="宋体" w:cs="宋体"/>
          <w:b/>
          <w:spacing w:val="1"/>
          <w:kern w:val="1"/>
          <w:sz w:val="28"/>
          <w:szCs w:val="28"/>
          <w:lang w:eastAsia="zh-CN"/>
        </w:rPr>
        <w:t>重点绩效评价结果等预算绩效情况说明</w:t>
      </w:r>
    </w:p>
    <w:p>
      <w:pPr>
        <w:pStyle w:val="20"/>
        <w:rPr>
          <w:rFonts w:hint="eastAsia" w:ascii="宋体" w:hAnsi="宋体" w:cs="Times New Roman"/>
          <w:sz w:val="28"/>
          <w:szCs w:val="28"/>
          <w:lang w:eastAsia="zh-CN"/>
        </w:rPr>
      </w:pPr>
      <w:r>
        <w:rPr>
          <w:rFonts w:hint="eastAsia" w:ascii="宋体" w:hAnsi="宋体" w:cs="Times New Roman"/>
          <w:sz w:val="28"/>
          <w:szCs w:val="28"/>
          <w:lang w:val="en-US" w:eastAsia="zh-CN"/>
        </w:rPr>
        <w:t>本年度未开展预算绩效评价工作。</w:t>
      </w:r>
    </w:p>
    <w:p>
      <w:pPr>
        <w:spacing w:line="440" w:lineRule="exact"/>
        <w:ind w:firstLine="566" w:firstLineChars="200"/>
        <w:rPr>
          <w:rFonts w:ascii="宋体" w:hAnsi="宋体" w:cs="宋体"/>
          <w:b/>
          <w:spacing w:val="1"/>
          <w:kern w:val="1"/>
          <w:sz w:val="28"/>
          <w:szCs w:val="28"/>
        </w:rPr>
      </w:pPr>
      <w:r>
        <w:rPr>
          <w:rFonts w:hint="eastAsia" w:ascii="宋体" w:hAnsi="宋体" w:cs="宋体"/>
          <w:b/>
          <w:spacing w:val="1"/>
          <w:kern w:val="1"/>
          <w:sz w:val="28"/>
          <w:szCs w:val="28"/>
          <w:lang w:eastAsia="zh-CN"/>
        </w:rPr>
        <w:t>七</w:t>
      </w:r>
      <w:r>
        <w:rPr>
          <w:rFonts w:hint="eastAsia" w:ascii="宋体" w:hAnsi="宋体" w:cs="宋体"/>
          <w:b/>
          <w:spacing w:val="1"/>
          <w:kern w:val="1"/>
          <w:sz w:val="28"/>
          <w:szCs w:val="28"/>
        </w:rPr>
        <w:t>、决算收支增减变化情况</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1</w:t>
      </w:r>
      <w:r>
        <w:rPr>
          <w:rFonts w:hint="eastAsia" w:ascii="宋体" w:hAnsi="宋体" w:cs="宋体"/>
          <w:spacing w:val="1"/>
          <w:kern w:val="1"/>
          <w:sz w:val="28"/>
          <w:szCs w:val="28"/>
        </w:rPr>
        <w:t>、收入增减变化情况</w:t>
      </w:r>
    </w:p>
    <w:p>
      <w:pPr>
        <w:widowControl/>
        <w:ind w:firstLine="568"/>
        <w:rPr>
          <w:rFonts w:ascii="宋体" w:hAnsi="宋体" w:cs="宋体"/>
          <w:spacing w:val="1"/>
          <w:kern w:val="1"/>
          <w:sz w:val="28"/>
          <w:szCs w:val="28"/>
        </w:rPr>
      </w:pPr>
      <w:r>
        <w:rPr>
          <w:rFonts w:ascii="宋体" w:hAnsi="宋体" w:cs="宋体"/>
          <w:spacing w:val="1"/>
          <w:kern w:val="1"/>
          <w:sz w:val="28"/>
          <w:szCs w:val="28"/>
        </w:rPr>
        <w:t>2020年全年总收入5372516.25元,2021年全年总收入6065005.32元，同比上年总收入增加了692489.07元，增加率12.89%，原因是2021年度本单位委托业务费比上年增加。</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2</w:t>
      </w:r>
      <w:r>
        <w:rPr>
          <w:rFonts w:hint="eastAsia" w:ascii="宋体" w:hAnsi="宋体" w:cs="宋体"/>
          <w:spacing w:val="1"/>
          <w:kern w:val="1"/>
          <w:sz w:val="28"/>
          <w:szCs w:val="28"/>
        </w:rPr>
        <w:t>、支出增减变化情况</w:t>
      </w:r>
    </w:p>
    <w:p>
      <w:pPr>
        <w:widowControl/>
        <w:ind w:firstLine="568"/>
        <w:rPr>
          <w:rFonts w:ascii="宋体" w:hAnsi="宋体" w:cs="宋体"/>
          <w:spacing w:val="1"/>
          <w:kern w:val="1"/>
          <w:sz w:val="28"/>
          <w:szCs w:val="28"/>
        </w:rPr>
      </w:pPr>
      <w:r>
        <w:rPr>
          <w:rFonts w:ascii="宋体" w:hAnsi="宋体" w:cs="宋体"/>
          <w:spacing w:val="1"/>
          <w:kern w:val="1"/>
          <w:sz w:val="28"/>
          <w:szCs w:val="28"/>
        </w:rPr>
        <w:t>2020年全年总支出5372516.25元,2021年全年总支出6065005.32元，同比上年总支出增加了692489.07元，增加率12.89%，原因是2021年度本单位委托业务费比上年增加。</w:t>
      </w:r>
    </w:p>
    <w:p>
      <w:pPr>
        <w:widowControl/>
        <w:numPr>
          <w:ilvl w:val="0"/>
          <w:numId w:val="2"/>
        </w:numPr>
        <w:ind w:left="62" w:leftChars="0" w:firstLine="568" w:firstLineChars="0"/>
        <w:rPr>
          <w:rFonts w:hint="eastAsia" w:ascii="宋体" w:hAnsi="宋体" w:cs="宋体"/>
          <w:spacing w:val="1"/>
          <w:kern w:val="1"/>
          <w:sz w:val="28"/>
          <w:szCs w:val="28"/>
          <w:lang w:val="en-US" w:eastAsia="zh-CN"/>
        </w:rPr>
      </w:pPr>
      <w:r>
        <w:rPr>
          <w:rFonts w:hint="eastAsia" w:ascii="宋体" w:hAnsi="宋体" w:cs="宋体"/>
          <w:spacing w:val="1"/>
          <w:kern w:val="1"/>
          <w:sz w:val="28"/>
          <w:szCs w:val="28"/>
          <w:lang w:val="en-US" w:eastAsia="zh-CN"/>
        </w:rPr>
        <w:t>财政拨款支出与年初预算对比增减情况</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2021年财政预算数3420421元，</w:t>
      </w:r>
      <w:r>
        <w:rPr>
          <w:rFonts w:hint="eastAsia" w:ascii="宋体" w:hAnsi="宋体" w:cs="宋体"/>
          <w:spacing w:val="1"/>
          <w:kern w:val="1"/>
          <w:sz w:val="28"/>
          <w:szCs w:val="28"/>
          <w:lang w:val="en-US" w:eastAsia="zh-CN"/>
        </w:rPr>
        <w:t>财政拨款数5664004.68元，拨款</w:t>
      </w:r>
      <w:r>
        <w:rPr>
          <w:rFonts w:ascii="宋体" w:hAnsi="宋体" w:cs="宋体"/>
          <w:spacing w:val="1"/>
          <w:kern w:val="1"/>
          <w:sz w:val="28"/>
          <w:szCs w:val="28"/>
        </w:rPr>
        <w:t>比预算多2243583.68元,幅度为65.59%,原因为业务增加。</w:t>
      </w:r>
    </w:p>
    <w:p>
      <w:pPr>
        <w:widowControl/>
        <w:rPr>
          <w:rFonts w:hint="eastAsia" w:ascii="仿宋" w:hAnsi="仿宋" w:eastAsia="仿宋" w:cs="仿宋"/>
          <w:b/>
          <w:color w:val="000000"/>
          <w:spacing w:val="2"/>
          <w:sz w:val="30"/>
          <w:szCs w:val="30"/>
        </w:rPr>
      </w:pPr>
    </w:p>
    <w:p>
      <w:pPr>
        <w:widowControl/>
        <w:ind w:firstLine="610" w:firstLineChars="200"/>
        <w:rPr>
          <w:rFonts w:hint="eastAsia" w:ascii="仿宋" w:hAnsi="仿宋" w:eastAsia="仿宋" w:cs="仿宋"/>
          <w:b/>
          <w:color w:val="000000"/>
          <w:spacing w:val="2"/>
          <w:sz w:val="30"/>
          <w:szCs w:val="30"/>
        </w:rPr>
      </w:pPr>
      <w:r>
        <w:rPr>
          <w:rFonts w:hint="eastAsia" w:ascii="仿宋" w:hAnsi="仿宋" w:eastAsia="仿宋" w:cs="仿宋"/>
          <w:b/>
          <w:color w:val="000000"/>
          <w:spacing w:val="2"/>
          <w:sz w:val="30"/>
          <w:szCs w:val="30"/>
        </w:rPr>
        <w:t>第四部分：名词解释</w:t>
      </w:r>
    </w:p>
    <w:p>
      <w:pPr>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 xml:space="preserve">  （一）财政拨款（补助）：指省级财政当年拨付的资金。</w:t>
      </w:r>
    </w:p>
    <w:p>
      <w:pPr>
        <w:rPr>
          <w:rFonts w:hint="eastAsia" w:ascii="仿宋" w:hAnsi="仿宋" w:eastAsia="仿宋" w:cs="仿宋"/>
          <w:color w:val="000000"/>
          <w:spacing w:val="2"/>
          <w:sz w:val="30"/>
          <w:szCs w:val="30"/>
          <w:lang w:eastAsia="zh-CN"/>
        </w:rPr>
      </w:pPr>
      <w:r>
        <w:rPr>
          <w:rFonts w:hint="eastAsia" w:ascii="仿宋" w:hAnsi="仿宋" w:eastAsia="仿宋" w:cs="仿宋"/>
          <w:color w:val="000000"/>
          <w:spacing w:val="2"/>
          <w:sz w:val="30"/>
          <w:szCs w:val="30"/>
        </w:rPr>
        <w:t xml:space="preserve">  （二）事业收入：指事业单位开展专业业务活动及其辅助活动取得的收入。 </w:t>
      </w:r>
    </w:p>
    <w:p>
      <w:pPr>
        <w:rPr>
          <w:rFonts w:hint="eastAsia" w:ascii="仿宋" w:hAnsi="仿宋" w:eastAsia="仿宋" w:cs="仿宋"/>
          <w:color w:val="000000"/>
          <w:spacing w:val="2"/>
          <w:sz w:val="30"/>
          <w:szCs w:val="30"/>
          <w:lang w:eastAsia="zh-CN"/>
        </w:rPr>
      </w:pPr>
      <w:r>
        <w:rPr>
          <w:rFonts w:hint="eastAsia" w:ascii="仿宋" w:hAnsi="仿宋" w:eastAsia="仿宋" w:cs="仿宋"/>
          <w:color w:val="000000"/>
          <w:spacing w:val="2"/>
          <w:sz w:val="30"/>
          <w:szCs w:val="30"/>
        </w:rPr>
        <w:t xml:space="preserve">　（三）其他收入：指预算单位在“财政拨款补助收入”、“事业收入”、“经营收入”以外取得的收入。 </w:t>
      </w:r>
    </w:p>
    <w:p>
      <w:pPr>
        <w:rPr>
          <w:rFonts w:hint="eastAsia" w:ascii="仿宋" w:hAnsi="仿宋" w:eastAsia="仿宋" w:cs="仿宋"/>
          <w:color w:val="000000"/>
          <w:spacing w:val="2"/>
          <w:sz w:val="30"/>
          <w:szCs w:val="30"/>
          <w:lang w:eastAsia="zh-CN"/>
        </w:rPr>
      </w:pPr>
      <w:r>
        <w:rPr>
          <w:rFonts w:hint="eastAsia" w:ascii="仿宋" w:hAnsi="仿宋" w:eastAsia="仿宋" w:cs="仿宋"/>
          <w:color w:val="000000"/>
          <w:spacing w:val="2"/>
          <w:sz w:val="30"/>
          <w:szCs w:val="30"/>
        </w:rPr>
        <w:t xml:space="preserve">　（四）上年结转：指以前年度尚未完成、结转到本年仍按原规定用途继续使用的资金。 </w:t>
      </w:r>
    </w:p>
    <w:p>
      <w:pPr>
        <w:rPr>
          <w:rFonts w:hint="eastAsia" w:ascii="仿宋" w:hAnsi="仿宋" w:eastAsia="仿宋" w:cs="仿宋"/>
          <w:color w:val="000000"/>
          <w:spacing w:val="2"/>
          <w:sz w:val="30"/>
          <w:szCs w:val="30"/>
          <w:lang w:eastAsia="zh-CN"/>
        </w:rPr>
      </w:pPr>
      <w:r>
        <w:rPr>
          <w:rFonts w:hint="eastAsia" w:ascii="仿宋" w:hAnsi="仿宋" w:eastAsia="仿宋" w:cs="仿宋"/>
          <w:color w:val="000000"/>
          <w:spacing w:val="2"/>
          <w:sz w:val="30"/>
          <w:szCs w:val="30"/>
        </w:rPr>
        <w:t xml:space="preserve">　（五）基本支出：指为保障机构正常运转、完成日常工作任务而发生的人员支出和公用支出。 </w:t>
      </w:r>
    </w:p>
    <w:p>
      <w:pPr>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　（六）项目支出：指为完成特定的行政工作任务或事业发展目标，在基本支出之外发生的各项支出。</w:t>
      </w:r>
    </w:p>
    <w:p>
      <w:pPr>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 xml:space="preserve">  （七）“三公”经费：指用财政拨款安排的因公出国（境）费、公务接待费和公务用车购置及运行费</w:t>
      </w:r>
      <w:r>
        <w:rPr>
          <w:rFonts w:hint="eastAsia" w:ascii="仿宋" w:hAnsi="仿宋" w:eastAsia="仿宋" w:cs="仿宋"/>
          <w:color w:val="000000"/>
          <w:spacing w:val="2"/>
          <w:sz w:val="30"/>
          <w:szCs w:val="30"/>
          <w:lang w:eastAsia="zh-CN"/>
        </w:rPr>
        <w:t>。</w:t>
      </w:r>
      <w:r>
        <w:rPr>
          <w:rFonts w:hint="eastAsia" w:ascii="仿宋" w:hAnsi="仿宋" w:eastAsia="仿宋" w:cs="仿宋"/>
          <w:color w:val="000000"/>
          <w:spacing w:val="2"/>
          <w:sz w:val="30"/>
          <w:szCs w:val="30"/>
        </w:rPr>
        <w:t>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rPr>
          <w:rFonts w:hint="eastAsia" w:ascii="仿宋" w:hAnsi="仿宋" w:eastAsia="仿宋" w:cs="仿宋"/>
          <w:color w:val="000000"/>
          <w:spacing w:val="2"/>
          <w:sz w:val="30"/>
          <w:szCs w:val="30"/>
        </w:rPr>
      </w:pPr>
      <w:r>
        <w:rPr>
          <w:rFonts w:hint="eastAsia" w:ascii="仿宋" w:hAnsi="仿宋" w:eastAsia="仿宋" w:cs="仿宋"/>
          <w:color w:val="000000"/>
          <w:spacing w:val="2"/>
          <w:sz w:val="30"/>
          <w:szCs w:val="30"/>
        </w:rPr>
        <w:t xml:space="preserve">  （八）行政运行（项）：指机关和实行公务员法管理事业单位用于保障机构正常运转的基本支出。</w:t>
      </w:r>
    </w:p>
    <w:p>
      <w:pPr>
        <w:widowControl/>
        <w:rPr>
          <w:rFonts w:hint="eastAsia" w:ascii="仿宋" w:hAnsi="仿宋" w:eastAsia="仿宋" w:cs="仿宋"/>
          <w:b/>
          <w:bCs/>
          <w:color w:val="000000"/>
          <w:spacing w:val="2"/>
          <w:sz w:val="30"/>
          <w:szCs w:val="30"/>
        </w:rPr>
      </w:pPr>
    </w:p>
    <w:sectPr>
      <w:pgSz w:w="16838" w:h="11906" w:orient="landscape"/>
      <w:pgMar w:top="1803" w:right="1440" w:bottom="1803" w:left="1440" w:header="851" w:footer="992" w:gutter="0"/>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18">
    <w:p/>
  </w:endnote>
  <w:endnote w:type="continuationSeparator" w:id="19">
    <w:p/>
  </w:endnote>
  <w:endnote w:id="0">
    <w:p>
      <w:pPr>
        <w:jc w:val="left"/>
        <w:rPr>
          <w:rFonts w:eastAsia="Times New Roman"/>
          <w:sz w:val="20"/>
          <w:szCs w:val="20"/>
        </w:rPr>
      </w:pPr>
    </w:p>
    <w:p>
      <w:pPr>
        <w:jc w:val="left"/>
        <w:rPr>
          <w:rFonts w:eastAsia="Times New Roman"/>
          <w:sz w:val="20"/>
          <w:szCs w:val="20"/>
        </w:rPr>
      </w:pPr>
    </w:p>
  </w:endnote>
  <w:endnote w:id="1">
    <w:p>
      <w:pPr>
        <w:jc w:val="left"/>
        <w:rPr>
          <w:rFonts w:eastAsia="Times New Roman"/>
          <w:sz w:val="20"/>
          <w:szCs w:val="20"/>
        </w:rPr>
      </w:pPr>
    </w:p>
  </w:endnote>
  <w:endnote w:id="2">
    <w:p>
      <w:pPr>
        <w:jc w:val="left"/>
        <w:rPr>
          <w:rFonts w:eastAsia="Times New Roman"/>
          <w:sz w:val="20"/>
          <w:szCs w:val="20"/>
        </w:rPr>
      </w:pPr>
    </w:p>
  </w:endnote>
  <w:endnote w:id="3">
    <w:p>
      <w:pPr>
        <w:jc w:val="left"/>
        <w:rPr>
          <w:rFonts w:eastAsia="Times New Roman"/>
          <w:sz w:val="20"/>
          <w:szCs w:val="20"/>
        </w:rPr>
      </w:pPr>
    </w:p>
  </w:endnote>
  <w:endnote w:id="4">
    <w:p>
      <w:pPr>
        <w:jc w:val="left"/>
        <w:rPr>
          <w:rFonts w:eastAsia="Times New Roman"/>
          <w:sz w:val="20"/>
          <w:szCs w:val="20"/>
        </w:rPr>
      </w:pPr>
    </w:p>
  </w:endnote>
  <w:endnote w:id="5">
    <w:p>
      <w:pPr>
        <w:jc w:val="left"/>
        <w:rPr>
          <w:rFonts w:eastAsia="Times New Roman"/>
          <w:sz w:val="20"/>
          <w:szCs w:val="20"/>
        </w:rPr>
      </w:pPr>
    </w:p>
  </w:endnote>
  <w:endnote w:id="6">
    <w:p>
      <w:pPr>
        <w:jc w:val="left"/>
        <w:rPr>
          <w:rFonts w:eastAsia="Times New Roman"/>
          <w:sz w:val="20"/>
          <w:szCs w:val="20"/>
        </w:rPr>
      </w:pPr>
    </w:p>
  </w:endnote>
  <w:endnote w:id="7">
    <w:p>
      <w:pPr>
        <w:jc w:val="left"/>
        <w:rPr>
          <w:rFonts w:eastAsia="Times New Roman"/>
          <w:sz w:val="20"/>
          <w:szCs w:val="20"/>
        </w:rPr>
      </w:pPr>
    </w:p>
  </w:endnote>
  <w:endnote w:id="8">
    <w:p>
      <w:pPr>
        <w:jc w:val="left"/>
        <w:rPr>
          <w:rFonts w:eastAsia="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22260"/>
    <w:multiLevelType w:val="singleLevel"/>
    <w:tmpl w:val="90522260"/>
    <w:lvl w:ilvl="0" w:tentative="0">
      <w:start w:val="6"/>
      <w:numFmt w:val="chineseCounting"/>
      <w:suff w:val="nothing"/>
      <w:lvlText w:val="%1、"/>
      <w:lvlJc w:val="left"/>
      <w:rPr>
        <w:rFonts w:hint="eastAsia"/>
      </w:rPr>
    </w:lvl>
  </w:abstractNum>
  <w:abstractNum w:abstractNumId="1">
    <w:nsid w:val="9D09114F"/>
    <w:multiLevelType w:val="singleLevel"/>
    <w:tmpl w:val="9D09114F"/>
    <w:lvl w:ilvl="0" w:tentative="0">
      <w:start w:val="3"/>
      <w:numFmt w:val="decimal"/>
      <w:suff w:val="nothing"/>
      <w:lvlText w:val="%1、"/>
      <w:lvlJc w:val="left"/>
      <w:pPr>
        <w:ind w:left="6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18"/>
    <w:endnote w:id="19"/>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00172A27"/>
    <w:rsid w:val="00005B9B"/>
    <w:rsid w:val="0000651E"/>
    <w:rsid w:val="00025462"/>
    <w:rsid w:val="00026BBE"/>
    <w:rsid w:val="00044A56"/>
    <w:rsid w:val="00050D5D"/>
    <w:rsid w:val="00065103"/>
    <w:rsid w:val="00075A05"/>
    <w:rsid w:val="000769F3"/>
    <w:rsid w:val="00077711"/>
    <w:rsid w:val="000A5715"/>
    <w:rsid w:val="000A6D8C"/>
    <w:rsid w:val="000B31FA"/>
    <w:rsid w:val="000B6266"/>
    <w:rsid w:val="000E0003"/>
    <w:rsid w:val="000E4746"/>
    <w:rsid w:val="00107B48"/>
    <w:rsid w:val="00113BE3"/>
    <w:rsid w:val="001221E2"/>
    <w:rsid w:val="001315A2"/>
    <w:rsid w:val="0013589B"/>
    <w:rsid w:val="00142039"/>
    <w:rsid w:val="001426AA"/>
    <w:rsid w:val="001442CF"/>
    <w:rsid w:val="00144C7F"/>
    <w:rsid w:val="0015317D"/>
    <w:rsid w:val="00165FB8"/>
    <w:rsid w:val="001960C9"/>
    <w:rsid w:val="001B2FE2"/>
    <w:rsid w:val="001B4638"/>
    <w:rsid w:val="001B61CA"/>
    <w:rsid w:val="001C51EB"/>
    <w:rsid w:val="001C7B83"/>
    <w:rsid w:val="00204CCE"/>
    <w:rsid w:val="00206408"/>
    <w:rsid w:val="002137F5"/>
    <w:rsid w:val="00214516"/>
    <w:rsid w:val="002147B8"/>
    <w:rsid w:val="00241C24"/>
    <w:rsid w:val="002508E7"/>
    <w:rsid w:val="00281F8B"/>
    <w:rsid w:val="002B604D"/>
    <w:rsid w:val="002B6FB1"/>
    <w:rsid w:val="002E0EF8"/>
    <w:rsid w:val="002E3EE1"/>
    <w:rsid w:val="002F4ACB"/>
    <w:rsid w:val="002F5A91"/>
    <w:rsid w:val="003173FE"/>
    <w:rsid w:val="003503AD"/>
    <w:rsid w:val="00375C9B"/>
    <w:rsid w:val="00386814"/>
    <w:rsid w:val="003B5C5E"/>
    <w:rsid w:val="003C23D6"/>
    <w:rsid w:val="003D0210"/>
    <w:rsid w:val="003E2222"/>
    <w:rsid w:val="003F000E"/>
    <w:rsid w:val="003F45CD"/>
    <w:rsid w:val="004017CE"/>
    <w:rsid w:val="0041631E"/>
    <w:rsid w:val="004174ED"/>
    <w:rsid w:val="00441363"/>
    <w:rsid w:val="00447102"/>
    <w:rsid w:val="00472405"/>
    <w:rsid w:val="004926E0"/>
    <w:rsid w:val="004A0AB5"/>
    <w:rsid w:val="004E14E0"/>
    <w:rsid w:val="004F13E9"/>
    <w:rsid w:val="005259C6"/>
    <w:rsid w:val="00541336"/>
    <w:rsid w:val="00565E48"/>
    <w:rsid w:val="00585130"/>
    <w:rsid w:val="00586330"/>
    <w:rsid w:val="005B78DE"/>
    <w:rsid w:val="005C52E6"/>
    <w:rsid w:val="005C7533"/>
    <w:rsid w:val="005F46CF"/>
    <w:rsid w:val="00614076"/>
    <w:rsid w:val="00654937"/>
    <w:rsid w:val="00674FF3"/>
    <w:rsid w:val="0069389A"/>
    <w:rsid w:val="006B0877"/>
    <w:rsid w:val="006B1E93"/>
    <w:rsid w:val="006C13FD"/>
    <w:rsid w:val="006D452A"/>
    <w:rsid w:val="006D7114"/>
    <w:rsid w:val="006E3A21"/>
    <w:rsid w:val="006E75FF"/>
    <w:rsid w:val="006F1B46"/>
    <w:rsid w:val="0074118E"/>
    <w:rsid w:val="00741E9D"/>
    <w:rsid w:val="007745A4"/>
    <w:rsid w:val="00786F5E"/>
    <w:rsid w:val="007A1855"/>
    <w:rsid w:val="007B05C3"/>
    <w:rsid w:val="007B2845"/>
    <w:rsid w:val="007B57D6"/>
    <w:rsid w:val="007C278C"/>
    <w:rsid w:val="007C52DA"/>
    <w:rsid w:val="00822503"/>
    <w:rsid w:val="008255CC"/>
    <w:rsid w:val="00835CE1"/>
    <w:rsid w:val="0084742A"/>
    <w:rsid w:val="008537FA"/>
    <w:rsid w:val="00853EAD"/>
    <w:rsid w:val="008631B2"/>
    <w:rsid w:val="0086787E"/>
    <w:rsid w:val="00880EB9"/>
    <w:rsid w:val="008A4361"/>
    <w:rsid w:val="008D4DA0"/>
    <w:rsid w:val="008D6631"/>
    <w:rsid w:val="008E1C06"/>
    <w:rsid w:val="008E73C6"/>
    <w:rsid w:val="0090357B"/>
    <w:rsid w:val="00915D29"/>
    <w:rsid w:val="0092325A"/>
    <w:rsid w:val="00956BE1"/>
    <w:rsid w:val="00995270"/>
    <w:rsid w:val="009D23B9"/>
    <w:rsid w:val="009D2CC4"/>
    <w:rsid w:val="00A00C2C"/>
    <w:rsid w:val="00A15845"/>
    <w:rsid w:val="00A15F76"/>
    <w:rsid w:val="00A426B5"/>
    <w:rsid w:val="00A42936"/>
    <w:rsid w:val="00A641F6"/>
    <w:rsid w:val="00A75A54"/>
    <w:rsid w:val="00A9406F"/>
    <w:rsid w:val="00A97F37"/>
    <w:rsid w:val="00AB01E0"/>
    <w:rsid w:val="00AC2686"/>
    <w:rsid w:val="00AC51EA"/>
    <w:rsid w:val="00AD14D3"/>
    <w:rsid w:val="00AE6734"/>
    <w:rsid w:val="00B01437"/>
    <w:rsid w:val="00B0309F"/>
    <w:rsid w:val="00B13FF7"/>
    <w:rsid w:val="00B27BCF"/>
    <w:rsid w:val="00B308A7"/>
    <w:rsid w:val="00B604AF"/>
    <w:rsid w:val="00B7362B"/>
    <w:rsid w:val="00B93707"/>
    <w:rsid w:val="00BB096D"/>
    <w:rsid w:val="00BB4E29"/>
    <w:rsid w:val="00BB65C2"/>
    <w:rsid w:val="00BD47FC"/>
    <w:rsid w:val="00BD4911"/>
    <w:rsid w:val="00BE53F7"/>
    <w:rsid w:val="00BF2492"/>
    <w:rsid w:val="00BF26C7"/>
    <w:rsid w:val="00BF29CD"/>
    <w:rsid w:val="00BF4946"/>
    <w:rsid w:val="00BF7962"/>
    <w:rsid w:val="00C03E9C"/>
    <w:rsid w:val="00C26B7B"/>
    <w:rsid w:val="00C32EF0"/>
    <w:rsid w:val="00C70C2B"/>
    <w:rsid w:val="00C72D4D"/>
    <w:rsid w:val="00CC34DF"/>
    <w:rsid w:val="00D0730E"/>
    <w:rsid w:val="00D216E2"/>
    <w:rsid w:val="00D26245"/>
    <w:rsid w:val="00D314E9"/>
    <w:rsid w:val="00D455CB"/>
    <w:rsid w:val="00D62588"/>
    <w:rsid w:val="00D76A03"/>
    <w:rsid w:val="00D8128E"/>
    <w:rsid w:val="00D92A28"/>
    <w:rsid w:val="00DB6E53"/>
    <w:rsid w:val="00DC5E55"/>
    <w:rsid w:val="00DE3D88"/>
    <w:rsid w:val="00DE6E6B"/>
    <w:rsid w:val="00DE71CF"/>
    <w:rsid w:val="00DF258A"/>
    <w:rsid w:val="00DF3089"/>
    <w:rsid w:val="00E07087"/>
    <w:rsid w:val="00E07E9D"/>
    <w:rsid w:val="00E27F4C"/>
    <w:rsid w:val="00E7261F"/>
    <w:rsid w:val="00E7386D"/>
    <w:rsid w:val="00E91AA3"/>
    <w:rsid w:val="00E921C6"/>
    <w:rsid w:val="00E941B1"/>
    <w:rsid w:val="00E970F1"/>
    <w:rsid w:val="00EA56FC"/>
    <w:rsid w:val="00EB2CAE"/>
    <w:rsid w:val="00EB3881"/>
    <w:rsid w:val="00F248D3"/>
    <w:rsid w:val="00F33142"/>
    <w:rsid w:val="00F36202"/>
    <w:rsid w:val="00F42FAD"/>
    <w:rsid w:val="00F51CB9"/>
    <w:rsid w:val="00F6558A"/>
    <w:rsid w:val="00F8025E"/>
    <w:rsid w:val="00FC2D77"/>
    <w:rsid w:val="00FD1363"/>
    <w:rsid w:val="00FE21FC"/>
    <w:rsid w:val="021D04ED"/>
    <w:rsid w:val="03095381"/>
    <w:rsid w:val="031B62A7"/>
    <w:rsid w:val="03F04AB2"/>
    <w:rsid w:val="054219E1"/>
    <w:rsid w:val="057D6BE7"/>
    <w:rsid w:val="05C7374F"/>
    <w:rsid w:val="061A0BBF"/>
    <w:rsid w:val="0664587B"/>
    <w:rsid w:val="06A05249"/>
    <w:rsid w:val="078A7CBC"/>
    <w:rsid w:val="07D93913"/>
    <w:rsid w:val="09C7204C"/>
    <w:rsid w:val="0A6C0264"/>
    <w:rsid w:val="0BC645D7"/>
    <w:rsid w:val="0D094325"/>
    <w:rsid w:val="0D202A5F"/>
    <w:rsid w:val="0DF154B1"/>
    <w:rsid w:val="0E836A5F"/>
    <w:rsid w:val="0E920238"/>
    <w:rsid w:val="0EAB3B34"/>
    <w:rsid w:val="10526C9C"/>
    <w:rsid w:val="116A3044"/>
    <w:rsid w:val="12D77BC0"/>
    <w:rsid w:val="13386F35"/>
    <w:rsid w:val="14005EAC"/>
    <w:rsid w:val="159558BE"/>
    <w:rsid w:val="159A7059"/>
    <w:rsid w:val="15E769F0"/>
    <w:rsid w:val="16A07C1E"/>
    <w:rsid w:val="174C1201"/>
    <w:rsid w:val="18E473A2"/>
    <w:rsid w:val="18E80D16"/>
    <w:rsid w:val="18EE3C5D"/>
    <w:rsid w:val="193F113A"/>
    <w:rsid w:val="1A0A290D"/>
    <w:rsid w:val="1C7B4336"/>
    <w:rsid w:val="1CE469EC"/>
    <w:rsid w:val="1D9C35FE"/>
    <w:rsid w:val="1DD04CCF"/>
    <w:rsid w:val="1E380731"/>
    <w:rsid w:val="1EC70B19"/>
    <w:rsid w:val="1F5F3A9B"/>
    <w:rsid w:val="204E3743"/>
    <w:rsid w:val="20AF432A"/>
    <w:rsid w:val="20F778BE"/>
    <w:rsid w:val="21185BF1"/>
    <w:rsid w:val="21466D86"/>
    <w:rsid w:val="2180470B"/>
    <w:rsid w:val="21A22EA0"/>
    <w:rsid w:val="2235037E"/>
    <w:rsid w:val="228A65CA"/>
    <w:rsid w:val="255E033E"/>
    <w:rsid w:val="2568496D"/>
    <w:rsid w:val="264A07A0"/>
    <w:rsid w:val="2674059C"/>
    <w:rsid w:val="270822E3"/>
    <w:rsid w:val="27A65DDB"/>
    <w:rsid w:val="289C3E82"/>
    <w:rsid w:val="2918199A"/>
    <w:rsid w:val="29CF0B77"/>
    <w:rsid w:val="2A45012F"/>
    <w:rsid w:val="2B1A5A20"/>
    <w:rsid w:val="2C203A0A"/>
    <w:rsid w:val="2CDF2FBC"/>
    <w:rsid w:val="2D4927FA"/>
    <w:rsid w:val="2E131083"/>
    <w:rsid w:val="2E267032"/>
    <w:rsid w:val="300B2B0C"/>
    <w:rsid w:val="305D6879"/>
    <w:rsid w:val="30B359F5"/>
    <w:rsid w:val="30D369C2"/>
    <w:rsid w:val="31BE75AC"/>
    <w:rsid w:val="321C0014"/>
    <w:rsid w:val="327411B4"/>
    <w:rsid w:val="32BD01BE"/>
    <w:rsid w:val="35965883"/>
    <w:rsid w:val="36075BBF"/>
    <w:rsid w:val="371937D9"/>
    <w:rsid w:val="379876F3"/>
    <w:rsid w:val="37E72663"/>
    <w:rsid w:val="38174164"/>
    <w:rsid w:val="38203263"/>
    <w:rsid w:val="387356E5"/>
    <w:rsid w:val="388206D6"/>
    <w:rsid w:val="38C97C97"/>
    <w:rsid w:val="3A362450"/>
    <w:rsid w:val="3C2D5DD2"/>
    <w:rsid w:val="3C6459A8"/>
    <w:rsid w:val="3D9730FC"/>
    <w:rsid w:val="3DAE0E3A"/>
    <w:rsid w:val="3F2E3EB1"/>
    <w:rsid w:val="407D4B2B"/>
    <w:rsid w:val="4214678A"/>
    <w:rsid w:val="42DF1E95"/>
    <w:rsid w:val="4310367F"/>
    <w:rsid w:val="433A132E"/>
    <w:rsid w:val="43CC70A2"/>
    <w:rsid w:val="44BD69EB"/>
    <w:rsid w:val="45727B02"/>
    <w:rsid w:val="45F46308"/>
    <w:rsid w:val="46D55864"/>
    <w:rsid w:val="48C127E5"/>
    <w:rsid w:val="48EE07A0"/>
    <w:rsid w:val="48F6071D"/>
    <w:rsid w:val="4A844520"/>
    <w:rsid w:val="4BEF1882"/>
    <w:rsid w:val="4C20166C"/>
    <w:rsid w:val="4C9B209D"/>
    <w:rsid w:val="4CD537AD"/>
    <w:rsid w:val="4CE53072"/>
    <w:rsid w:val="4E344F4F"/>
    <w:rsid w:val="4FAF05C2"/>
    <w:rsid w:val="507D4151"/>
    <w:rsid w:val="50950D95"/>
    <w:rsid w:val="50D04FCE"/>
    <w:rsid w:val="512D4AC1"/>
    <w:rsid w:val="516A05F6"/>
    <w:rsid w:val="51796716"/>
    <w:rsid w:val="51AB2A2E"/>
    <w:rsid w:val="51E754FF"/>
    <w:rsid w:val="52B92C3C"/>
    <w:rsid w:val="533C08D5"/>
    <w:rsid w:val="534A1F75"/>
    <w:rsid w:val="53607C6E"/>
    <w:rsid w:val="56CC18B6"/>
    <w:rsid w:val="57410DBD"/>
    <w:rsid w:val="580249E9"/>
    <w:rsid w:val="58CE5196"/>
    <w:rsid w:val="59017E06"/>
    <w:rsid w:val="5948073C"/>
    <w:rsid w:val="5A9B5280"/>
    <w:rsid w:val="5C115B42"/>
    <w:rsid w:val="5C78324A"/>
    <w:rsid w:val="5C995A66"/>
    <w:rsid w:val="5CFA0384"/>
    <w:rsid w:val="5E8F529C"/>
    <w:rsid w:val="5E9E1FF1"/>
    <w:rsid w:val="5FAB434B"/>
    <w:rsid w:val="6031161B"/>
    <w:rsid w:val="608E15F9"/>
    <w:rsid w:val="62487DE4"/>
    <w:rsid w:val="639B339F"/>
    <w:rsid w:val="63A40F6A"/>
    <w:rsid w:val="63C90AB0"/>
    <w:rsid w:val="63F740A7"/>
    <w:rsid w:val="645F21C1"/>
    <w:rsid w:val="64AD1597"/>
    <w:rsid w:val="64E64016"/>
    <w:rsid w:val="64F34A37"/>
    <w:rsid w:val="651377B8"/>
    <w:rsid w:val="651E6BDA"/>
    <w:rsid w:val="65D71B6D"/>
    <w:rsid w:val="66F928BE"/>
    <w:rsid w:val="671B75FF"/>
    <w:rsid w:val="67C504CF"/>
    <w:rsid w:val="68326B48"/>
    <w:rsid w:val="692B2102"/>
    <w:rsid w:val="69B41F4A"/>
    <w:rsid w:val="6A25030A"/>
    <w:rsid w:val="6A4F389E"/>
    <w:rsid w:val="6A8F6DAD"/>
    <w:rsid w:val="6AFA5574"/>
    <w:rsid w:val="6B77685F"/>
    <w:rsid w:val="6D61596E"/>
    <w:rsid w:val="6E032E11"/>
    <w:rsid w:val="6E3C08A1"/>
    <w:rsid w:val="6E981130"/>
    <w:rsid w:val="6FA96F06"/>
    <w:rsid w:val="70193A33"/>
    <w:rsid w:val="704B2281"/>
    <w:rsid w:val="70A32328"/>
    <w:rsid w:val="710B791F"/>
    <w:rsid w:val="714E2180"/>
    <w:rsid w:val="727A3697"/>
    <w:rsid w:val="73E03C7B"/>
    <w:rsid w:val="74520508"/>
    <w:rsid w:val="746766E2"/>
    <w:rsid w:val="74EC5872"/>
    <w:rsid w:val="753760AF"/>
    <w:rsid w:val="76343BBA"/>
    <w:rsid w:val="78186405"/>
    <w:rsid w:val="786A2F99"/>
    <w:rsid w:val="78F40B9B"/>
    <w:rsid w:val="795B71E1"/>
    <w:rsid w:val="79B56BA0"/>
    <w:rsid w:val="7A543372"/>
    <w:rsid w:val="7A8C39A6"/>
    <w:rsid w:val="7AB37AD5"/>
    <w:rsid w:val="7B8437E3"/>
    <w:rsid w:val="7B8F2C72"/>
    <w:rsid w:val="7BF94809"/>
    <w:rsid w:val="7ED07DD9"/>
    <w:rsid w:val="7EE12169"/>
    <w:rsid w:val="7FF332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4"/>
    <w:qFormat/>
    <w:uiPriority w:val="99"/>
    <w:pPr>
      <w:spacing w:beforeAutospacing="1" w:afterAutospacing="1"/>
      <w:jc w:val="left"/>
      <w:outlineLvl w:val="4"/>
    </w:pPr>
    <w:rPr>
      <w:rFonts w:ascii="宋体" w:hAnsi="宋体"/>
      <w:b/>
      <w:kern w:val="0"/>
      <w:sz w:val="20"/>
      <w:szCs w:val="20"/>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spacing w:line="500" w:lineRule="exact"/>
      <w:ind w:firstLine="640" w:firstLineChars="200"/>
    </w:pPr>
    <w:rPr>
      <w:rFonts w:ascii="宋体"/>
      <w:sz w:val="32"/>
    </w:rPr>
  </w:style>
  <w:style w:type="paragraph" w:styleId="4">
    <w:name w:val="Plain Text"/>
    <w:basedOn w:val="1"/>
    <w:link w:val="16"/>
    <w:qFormat/>
    <w:uiPriority w:val="99"/>
    <w:rPr>
      <w:rFonts w:ascii="宋体" w:hAnsi="Courier New" w:cs="Courier New"/>
      <w:szCs w:val="21"/>
    </w:rPr>
  </w:style>
  <w:style w:type="paragraph" w:styleId="5">
    <w:name w:val="endnote text"/>
    <w:basedOn w:val="1"/>
    <w:link w:val="25"/>
    <w:qFormat/>
    <w:uiPriority w:val="99"/>
    <w:pPr>
      <w:snapToGrid w:val="0"/>
      <w:jc w:val="left"/>
    </w:pPr>
    <w:rPr>
      <w:rFonts w:eastAsia="仿宋_GB2312"/>
      <w:sz w:val="32"/>
      <w:szCs w:val="22"/>
    </w:rPr>
  </w:style>
  <w:style w:type="paragraph" w:styleId="6">
    <w:name w:val="Balloon Text"/>
    <w:basedOn w:val="1"/>
    <w:link w:val="17"/>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kern w:val="0"/>
      <w:sz w:val="24"/>
    </w:rPr>
  </w:style>
  <w:style w:type="character" w:styleId="12">
    <w:name w:val="Strong"/>
    <w:basedOn w:val="11"/>
    <w:qFormat/>
    <w:uiPriority w:val="99"/>
    <w:rPr>
      <w:rFonts w:cs="Times New Roman"/>
      <w:b/>
    </w:rPr>
  </w:style>
  <w:style w:type="character" w:styleId="13">
    <w:name w:val="endnote reference"/>
    <w:basedOn w:val="11"/>
    <w:qFormat/>
    <w:uiPriority w:val="99"/>
    <w:rPr>
      <w:rFonts w:cs="Times New Roman"/>
      <w:vertAlign w:val="superscript"/>
    </w:rPr>
  </w:style>
  <w:style w:type="character" w:customStyle="1" w:styleId="14">
    <w:name w:val="Heading 5 Char"/>
    <w:basedOn w:val="11"/>
    <w:link w:val="2"/>
    <w:semiHidden/>
    <w:qFormat/>
    <w:locked/>
    <w:uiPriority w:val="99"/>
    <w:rPr>
      <w:rFonts w:ascii="Calibri" w:hAnsi="Calibri" w:cs="Times New Roman"/>
      <w:b/>
      <w:bCs/>
      <w:sz w:val="28"/>
      <w:szCs w:val="28"/>
    </w:rPr>
  </w:style>
  <w:style w:type="character" w:customStyle="1" w:styleId="15">
    <w:name w:val="Body Text Indent Char"/>
    <w:basedOn w:val="11"/>
    <w:link w:val="3"/>
    <w:semiHidden/>
    <w:qFormat/>
    <w:locked/>
    <w:uiPriority w:val="99"/>
    <w:rPr>
      <w:rFonts w:ascii="Calibri" w:hAnsi="Calibri" w:cs="Times New Roman"/>
      <w:sz w:val="24"/>
      <w:szCs w:val="24"/>
    </w:rPr>
  </w:style>
  <w:style w:type="character" w:customStyle="1" w:styleId="16">
    <w:name w:val="Plain Text Char"/>
    <w:basedOn w:val="11"/>
    <w:link w:val="4"/>
    <w:semiHidden/>
    <w:qFormat/>
    <w:locked/>
    <w:uiPriority w:val="99"/>
    <w:rPr>
      <w:rFonts w:ascii="宋体" w:hAnsi="Courier New" w:cs="Courier New"/>
      <w:sz w:val="21"/>
      <w:szCs w:val="21"/>
    </w:rPr>
  </w:style>
  <w:style w:type="character" w:customStyle="1" w:styleId="17">
    <w:name w:val="Balloon Text Char"/>
    <w:basedOn w:val="11"/>
    <w:link w:val="6"/>
    <w:qFormat/>
    <w:locked/>
    <w:uiPriority w:val="99"/>
    <w:rPr>
      <w:rFonts w:ascii="Calibri" w:hAnsi="Calibri" w:eastAsia="宋体" w:cs="Times New Roman"/>
      <w:kern w:val="2"/>
      <w:sz w:val="18"/>
      <w:szCs w:val="18"/>
    </w:rPr>
  </w:style>
  <w:style w:type="character" w:customStyle="1" w:styleId="18">
    <w:name w:val="Footer Char"/>
    <w:basedOn w:val="11"/>
    <w:link w:val="7"/>
    <w:qFormat/>
    <w:locked/>
    <w:uiPriority w:val="99"/>
    <w:rPr>
      <w:rFonts w:ascii="Calibri" w:hAnsi="Calibri" w:eastAsia="宋体" w:cs="Times New Roman"/>
      <w:kern w:val="2"/>
      <w:sz w:val="18"/>
      <w:szCs w:val="18"/>
    </w:rPr>
  </w:style>
  <w:style w:type="character" w:customStyle="1" w:styleId="19">
    <w:name w:val="Header Char"/>
    <w:basedOn w:val="11"/>
    <w:link w:val="8"/>
    <w:qFormat/>
    <w:locked/>
    <w:uiPriority w:val="99"/>
    <w:rPr>
      <w:rFonts w:ascii="Calibri" w:hAnsi="Calibri" w:eastAsia="宋体" w:cs="Times New Roman"/>
      <w:kern w:val="2"/>
      <w:sz w:val="18"/>
      <w:szCs w:val="18"/>
    </w:rPr>
  </w:style>
  <w:style w:type="paragraph" w:customStyle="1" w:styleId="20">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21">
    <w:name w:val="ca-2"/>
    <w:basedOn w:val="11"/>
    <w:qFormat/>
    <w:uiPriority w:val="99"/>
    <w:rPr>
      <w:rFonts w:cs="Times New Roman"/>
    </w:rPr>
  </w:style>
  <w:style w:type="paragraph" w:customStyle="1" w:styleId="22">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styleId="23">
    <w:name w:val="List Paragraph"/>
    <w:basedOn w:val="1"/>
    <w:qFormat/>
    <w:uiPriority w:val="99"/>
    <w:pPr>
      <w:ind w:firstLine="420" w:firstLineChars="200"/>
    </w:pPr>
    <w:rPr>
      <w:rFonts w:eastAsia="仿宋_GB2312"/>
      <w:sz w:val="32"/>
      <w:szCs w:val="22"/>
    </w:rPr>
  </w:style>
  <w:style w:type="paragraph" w:customStyle="1" w:styleId="24">
    <w:name w:val="Default"/>
    <w:qFormat/>
    <w:uiPriority w:val="99"/>
    <w:pPr>
      <w:widowControl w:val="0"/>
      <w:autoSpaceDE w:val="0"/>
      <w:autoSpaceDN w:val="0"/>
      <w:adjustRightInd w:val="0"/>
    </w:pPr>
    <w:rPr>
      <w:rFonts w:ascii="华文中宋" w:hAnsi="华文中宋" w:eastAsia="华文中宋" w:cs="Times New Roman"/>
      <w:color w:val="000000"/>
      <w:kern w:val="0"/>
      <w:sz w:val="24"/>
      <w:szCs w:val="22"/>
      <w:lang w:val="en-US" w:eastAsia="zh-CN" w:bidi="ar-SA"/>
    </w:rPr>
  </w:style>
  <w:style w:type="character" w:customStyle="1" w:styleId="25">
    <w:name w:val="Endnote Text Char"/>
    <w:basedOn w:val="11"/>
    <w:link w:val="5"/>
    <w:semiHidden/>
    <w:qFormat/>
    <w:locked/>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china</Company>
  <Pages>32</Pages>
  <Words>11390</Words>
  <Characters>14005</Characters>
  <Lines>0</Lines>
  <Paragraphs>0</Paragraphs>
  <TotalTime>1</TotalTime>
  <ScaleCrop>false</ScaleCrop>
  <LinksUpToDate>false</LinksUpToDate>
  <CharactersWithSpaces>14226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dcterms:modified xsi:type="dcterms:W3CDTF">2023-08-23T07:42:57Z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1EFC97AC9EB946368CF2F71A26678D5F</vt:lpwstr>
  </property>
</Properties>
</file>