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政法委</w:t>
      </w:r>
      <w:r>
        <w:rPr>
          <w:rFonts w:ascii="微软雅黑" w:hAnsi="微软雅黑" w:eastAsia="微软雅黑" w:cs="微软雅黑"/>
          <w:color w:val="BC1010"/>
          <w:sz w:val="40"/>
          <w:szCs w:val="40"/>
          <w:shd w:val="clear" w:color="auto" w:fill="FFFFFF"/>
        </w:rPr>
        <w:t>2020</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黄石港区政法委</w:t>
      </w:r>
      <w:r>
        <w:rPr>
          <w:rStyle w:val="10"/>
          <w:rFonts w:ascii="微软雅黑" w:hAnsi="微软雅黑" w:eastAsia="微软雅黑" w:cs="微软雅黑"/>
          <w:color w:val="333333"/>
          <w:shd w:val="clear" w:color="auto" w:fill="FFFFFF"/>
        </w:rPr>
        <w:t>2020</w:t>
      </w:r>
      <w:r>
        <w:rPr>
          <w:rStyle w:val="10"/>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2020</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7"/>
        <w:widowControl/>
        <w:spacing w:before="76" w:beforeAutospacing="0" w:after="76" w:afterAutospacing="0" w:line="450" w:lineRule="atLeast"/>
        <w:ind w:firstLine="480" w:firstLineChars="20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2020</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240" w:firstLineChars="10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0"/>
          <w:rFonts w:ascii="微软雅黑" w:hAnsi="微软雅黑" w:eastAsia="微软雅黑" w:cs="微软雅黑"/>
          <w:color w:val="333333"/>
          <w:shd w:val="clear" w:color="auto" w:fill="FFFFFF"/>
        </w:rPr>
        <w:t>2020</w:t>
      </w:r>
      <w:r>
        <w:rPr>
          <w:rStyle w:val="10"/>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w:t>
      </w:r>
      <w:r>
        <w:rPr>
          <w:rStyle w:val="10"/>
          <w:rFonts w:ascii="微软雅黑" w:hAnsi="微软雅黑" w:eastAsia="微软雅黑" w:cs="微软雅黑"/>
          <w:color w:val="333333"/>
          <w:shd w:val="clear" w:color="auto" w:fill="FFFFFF"/>
        </w:rPr>
        <w:t xml:space="preserve"> </w:t>
      </w:r>
      <w:r>
        <w:rPr>
          <w:rStyle w:val="10"/>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　（</w:t>
      </w:r>
      <w:r>
        <w:rPr>
          <w:rFonts w:hint="eastAsia" w:ascii="宋体" w:hAnsi="宋体" w:cs="宋体"/>
          <w:sz w:val="28"/>
          <w:szCs w:val="28"/>
        </w:rPr>
        <w:t>一）主要职责</w:t>
      </w:r>
    </w:p>
    <w:p>
      <w:pPr>
        <w:wordWrap w:val="0"/>
        <w:spacing w:line="600" w:lineRule="atLeast"/>
        <w:ind w:firstLine="420" w:firstLineChars="150"/>
        <w:rPr>
          <w:rFonts w:ascii="宋体" w:cs="宋体"/>
          <w:color w:val="333333"/>
          <w:kern w:val="0"/>
          <w:sz w:val="28"/>
          <w:szCs w:val="28"/>
        </w:rPr>
      </w:pPr>
      <w:r>
        <w:rPr>
          <w:rFonts w:ascii="宋体" w:hAnsi="宋体" w:cs="宋体"/>
          <w:kern w:val="0"/>
          <w:sz w:val="28"/>
          <w:szCs w:val="28"/>
          <w:lang w:val="zh-CN"/>
        </w:rPr>
        <w:t xml:space="preserve"> </w:t>
      </w:r>
      <w:r>
        <w:rPr>
          <w:rFonts w:hint="eastAsia" w:ascii="宋体" w:hAnsi="宋体" w:cs="宋体"/>
          <w:color w:val="333333"/>
          <w:kern w:val="0"/>
          <w:sz w:val="28"/>
          <w:szCs w:val="28"/>
        </w:rPr>
        <w:t>根据国家法律、党的路线方针政策和区委的决策部署，统一全区政法部门的思想和行动，协助区委对政法工作做出全局性部署，并督促贯彻落实；研究制定贯彻区委关于政法工作的方针、政策、指示和维护社会政治稳定的措施，及时向区委提出意见和建议；组织、协调、指导维护社会稳定工作，推动社会治安综合治理各项措施的落实；检查监督政法部门执法情况，研究协调有争议的重大、疑难案件，指导推动大案要案查处工作；不断推进司法体制和工作机制改革，完善司法制度；完成区委交办的其他事项。</w:t>
      </w:r>
    </w:p>
    <w:p>
      <w:pPr>
        <w:numPr>
          <w:ilvl w:val="0"/>
          <w:numId w:val="1"/>
        </w:numPr>
        <w:spacing w:line="620" w:lineRule="exact"/>
        <w:ind w:firstLine="420" w:firstLineChars="150"/>
        <w:rPr>
          <w:rFonts w:ascii="宋体" w:cs="宋体"/>
          <w:kern w:val="0"/>
          <w:sz w:val="28"/>
          <w:szCs w:val="28"/>
        </w:rPr>
      </w:pPr>
      <w:r>
        <w:rPr>
          <w:rFonts w:hint="eastAsia" w:ascii="宋体" w:hAnsi="宋体" w:cs="宋体"/>
          <w:sz w:val="28"/>
          <w:szCs w:val="28"/>
        </w:rPr>
        <w:t>机构设置</w:t>
      </w:r>
    </w:p>
    <w:p>
      <w:pPr>
        <w:spacing w:line="620" w:lineRule="exact"/>
        <w:ind w:firstLine="560" w:firstLineChars="200"/>
        <w:rPr>
          <w:rFonts w:ascii="宋体" w:cs="宋体"/>
          <w:kern w:val="0"/>
          <w:sz w:val="28"/>
          <w:szCs w:val="28"/>
        </w:rPr>
      </w:pPr>
      <w:r>
        <w:rPr>
          <w:rFonts w:hint="eastAsia" w:ascii="宋体" w:hAnsi="宋体" w:cs="宋体"/>
          <w:color w:val="333333"/>
          <w:sz w:val="28"/>
          <w:szCs w:val="28"/>
        </w:rPr>
        <w:t>综治办、维稳办、</w:t>
      </w:r>
      <w:r>
        <w:rPr>
          <w:rFonts w:ascii="宋体" w:hAnsi="宋体" w:cs="宋体"/>
          <w:color w:val="333333"/>
          <w:sz w:val="28"/>
          <w:szCs w:val="28"/>
        </w:rPr>
        <w:t>610</w:t>
      </w:r>
      <w:r>
        <w:rPr>
          <w:rFonts w:hint="eastAsia" w:ascii="宋体" w:hAnsi="宋体" w:cs="宋体"/>
          <w:color w:val="333333"/>
          <w:sz w:val="28"/>
          <w:szCs w:val="28"/>
        </w:rPr>
        <w:t>办公室、法治办</w:t>
      </w:r>
    </w:p>
    <w:p>
      <w:pPr>
        <w:spacing w:line="620" w:lineRule="exact"/>
        <w:ind w:firstLine="280" w:firstLineChars="100"/>
        <w:rPr>
          <w:rFonts w:ascii="宋体" w:cs="宋体"/>
          <w:kern w:val="0"/>
          <w:sz w:val="28"/>
          <w:szCs w:val="28"/>
        </w:rPr>
      </w:pPr>
    </w:p>
    <w:p>
      <w:pPr>
        <w:autoSpaceDE w:val="0"/>
        <w:spacing w:line="520" w:lineRule="exact"/>
        <w:ind w:firstLine="640" w:firstLineChars="200"/>
        <w:rPr>
          <w:rFonts w:ascii="仿宋" w:hAnsi="仿宋" w:eastAsia="仿宋" w:cs="仿宋"/>
          <w:sz w:val="32"/>
          <w:szCs w:val="32"/>
        </w:rPr>
      </w:pPr>
    </w:p>
    <w:p>
      <w:pPr>
        <w:widowControl/>
        <w:shd w:val="clear" w:color="auto" w:fill="FFFFFF"/>
        <w:jc w:val="left"/>
        <w:rPr>
          <w:rFonts w:ascii="宋体" w:cs="宋体"/>
          <w:color w:val="333333"/>
          <w:kern w:val="0"/>
          <w:sz w:val="30"/>
          <w:szCs w:val="30"/>
        </w:rPr>
      </w:pP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第二部分</w:t>
      </w:r>
      <w:r>
        <w:rPr>
          <w:rStyle w:val="10"/>
          <w:rFonts w:ascii="微软雅黑" w:hAnsi="微软雅黑" w:eastAsia="微软雅黑" w:cs="微软雅黑"/>
          <w:color w:val="333333"/>
          <w:shd w:val="clear" w:color="auto" w:fill="FFFFFF"/>
        </w:rPr>
        <w:t xml:space="preserve"> 2020</w:t>
      </w:r>
      <w:r>
        <w:rPr>
          <w:rStyle w:val="10"/>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rPr>
          <w:color w:val="333333"/>
        </w:rPr>
      </w:pPr>
      <w:r>
        <w:rPr>
          <w:color w:val="333333"/>
        </w:rPr>
        <w:drawing>
          <wp:inline distT="0" distB="0" distL="114300" distR="114300">
            <wp:extent cx="6505575" cy="5219700"/>
            <wp:effectExtent l="0" t="0" r="190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505575" cy="5219700"/>
                    </a:xfrm>
                    <a:prstGeom prst="rect">
                      <a:avLst/>
                    </a:prstGeom>
                    <a:noFill/>
                    <a:ln>
                      <a:noFill/>
                    </a:ln>
                  </pic:spPr>
                </pic:pic>
              </a:graphicData>
            </a:graphic>
          </wp:inline>
        </w:drawing>
      </w:r>
    </w:p>
    <w:p>
      <w:pPr>
        <w:pStyle w:val="7"/>
        <w:widowControl/>
        <w:spacing w:before="76" w:beforeAutospacing="0" w:after="76" w:afterAutospacing="0" w:line="450" w:lineRule="atLeast"/>
        <w:jc w:val="center"/>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8801100" cy="3019425"/>
            <wp:effectExtent l="0" t="0" r="762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8801100" cy="3019425"/>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8782050" cy="3371850"/>
            <wp:effectExtent l="0" t="0" r="1143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8782050" cy="337185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7515225" cy="5229225"/>
            <wp:effectExtent l="0" t="0" r="1333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7515225" cy="5229225"/>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8905875" cy="38100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8905875" cy="381000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8858250" cy="5162550"/>
            <wp:effectExtent l="0" t="0" r="1143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8858250" cy="516255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r>
        <w:rPr>
          <w:color w:val="333333"/>
        </w:rPr>
        <w:drawing>
          <wp:inline distT="0" distB="0" distL="114300" distR="114300">
            <wp:extent cx="8810625" cy="1924050"/>
            <wp:effectExtent l="0" t="0" r="13335"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8810625" cy="192405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tbl>
      <w:tblPr>
        <w:tblStyle w:val="8"/>
        <w:tblpPr w:leftFromText="180" w:rightFromText="180" w:vertAnchor="text" w:horzAnchor="page" w:tblpX="958" w:tblpY="288"/>
        <w:tblOverlap w:val="never"/>
        <w:tblW w:w="142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436"/>
      </w:tblGrid>
      <w:tr>
        <w:tblPrEx>
          <w:shd w:val="clear" w:color="auto" w:fill="auto"/>
          <w:tblCellMar>
            <w:top w:w="0" w:type="dxa"/>
            <w:left w:w="0" w:type="dxa"/>
            <w:bottom w:w="0" w:type="dxa"/>
            <w:right w:w="0" w:type="dxa"/>
          </w:tblCellMar>
        </w:tblPrEx>
        <w:trPr>
          <w:trHeight w:val="215" w:hRule="atLeast"/>
        </w:trPr>
        <w:tc>
          <w:tcPr>
            <w:tcW w:w="142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6"/>
                <w:szCs w:val="36"/>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trPr>
        <w:tc>
          <w:tcPr>
            <w:tcW w:w="142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w:t>
            </w:r>
            <w:r>
              <w:rPr>
                <w:rFonts w:hint="eastAsia" w:ascii="宋体" w:hAnsi="宋体" w:cs="宋体"/>
                <w:i w:val="0"/>
                <w:color w:val="000000"/>
                <w:kern w:val="0"/>
                <w:sz w:val="22"/>
                <w:szCs w:val="22"/>
                <w:u w:val="none"/>
                <w:lang w:val="en-US" w:eastAsia="zh-CN" w:bidi="ar"/>
              </w:rPr>
              <w:t>政法委</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4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4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42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ind w:firstLine="480" w:firstLineChars="200"/>
        <w:rPr>
          <w:color w:val="333333"/>
        </w:rPr>
      </w:pPr>
      <w:r>
        <w:rPr>
          <w:rStyle w:val="10"/>
          <w:rFonts w:hint="eastAsia" w:ascii="微软雅黑" w:hAnsi="微软雅黑" w:eastAsia="微软雅黑" w:cs="微软雅黑"/>
          <w:color w:val="333333"/>
          <w:shd w:val="clear" w:color="auto" w:fill="FFFFFF"/>
          <w:lang w:val="en-US" w:eastAsia="zh-CN"/>
        </w:rPr>
        <w:t>第三部分：</w:t>
      </w:r>
      <w:r>
        <w:rPr>
          <w:rStyle w:val="10"/>
          <w:rFonts w:ascii="微软雅黑" w:hAnsi="微软雅黑" w:eastAsia="微软雅黑" w:cs="微软雅黑"/>
          <w:color w:val="333333"/>
          <w:shd w:val="clear" w:color="auto" w:fill="FFFFFF"/>
        </w:rPr>
        <w:t>20</w:t>
      </w:r>
      <w:r>
        <w:rPr>
          <w:rStyle w:val="10"/>
          <w:rFonts w:hint="eastAsia" w:ascii="微软雅黑" w:hAnsi="微软雅黑" w:eastAsia="微软雅黑" w:cs="微软雅黑"/>
          <w:color w:val="333333"/>
          <w:shd w:val="clear" w:color="auto" w:fill="FFFFFF"/>
          <w:lang w:val="en-US" w:eastAsia="zh-CN"/>
        </w:rPr>
        <w:t>20</w:t>
      </w:r>
      <w:r>
        <w:rPr>
          <w:rStyle w:val="10"/>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sz w:val="28"/>
          <w:szCs w:val="28"/>
          <w:shd w:val="clear" w:color="auto" w:fill="FFFFFF"/>
        </w:rPr>
        <w:t>（一）预算执行情况分析</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kern w:val="0"/>
          <w:sz w:val="28"/>
          <w:szCs w:val="28"/>
        </w:rPr>
        <w:t xml:space="preserve">     </w:t>
      </w:r>
      <w:r>
        <w:rPr>
          <w:rFonts w:ascii="宋体" w:hAnsi="宋体" w:cs="宋体"/>
          <w:color w:val="333333"/>
          <w:sz w:val="28"/>
          <w:szCs w:val="28"/>
        </w:rPr>
        <w:t>1</w:t>
      </w:r>
      <w:r>
        <w:rPr>
          <w:rFonts w:hint="eastAsia" w:ascii="宋体" w:hAnsi="宋体" w:cs="宋体"/>
          <w:color w:val="333333"/>
          <w:sz w:val="28"/>
          <w:szCs w:val="28"/>
        </w:rPr>
        <w:t>、收入分析：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本年总收入</w:t>
      </w:r>
      <w:r>
        <w:rPr>
          <w:rFonts w:ascii="宋体" w:hAnsi="宋体" w:cs="仿宋_GB2312"/>
          <w:color w:val="000000"/>
          <w:sz w:val="28"/>
          <w:szCs w:val="28"/>
        </w:rPr>
        <w:t>1369.21</w:t>
      </w:r>
      <w:r>
        <w:rPr>
          <w:rFonts w:hint="eastAsia" w:ascii="宋体" w:hAnsi="宋体" w:cs="仿宋_GB2312"/>
          <w:color w:val="000000"/>
          <w:sz w:val="28"/>
          <w:szCs w:val="28"/>
        </w:rPr>
        <w:t>万元比去年增加</w:t>
      </w:r>
      <w:r>
        <w:rPr>
          <w:rFonts w:ascii="宋体" w:hAnsi="宋体" w:cs="仿宋_GB2312"/>
          <w:color w:val="000000"/>
          <w:sz w:val="28"/>
          <w:szCs w:val="28"/>
        </w:rPr>
        <w:t>26.80%</w:t>
      </w:r>
      <w:r>
        <w:rPr>
          <w:rFonts w:hint="eastAsia" w:ascii="宋体" w:hAnsi="宋体" w:cs="仿宋_GB2312"/>
          <w:color w:val="000000"/>
          <w:sz w:val="28"/>
          <w:szCs w:val="28"/>
        </w:rPr>
        <w:t>，其主要原因为本年交巡警相关业务增加所致</w:t>
      </w:r>
      <w:r>
        <w:rPr>
          <w:rFonts w:hint="eastAsia" w:ascii="宋体" w:hAnsi="宋体" w:cs="宋体"/>
          <w:color w:val="333333"/>
          <w:sz w:val="28"/>
          <w:szCs w:val="28"/>
        </w:rPr>
        <w:t>，其中财政拨款收入</w:t>
      </w:r>
      <w:r>
        <w:rPr>
          <w:rFonts w:ascii="宋体" w:hAnsi="宋体" w:cs="宋体"/>
          <w:color w:val="333333"/>
          <w:sz w:val="28"/>
          <w:szCs w:val="28"/>
        </w:rPr>
        <w:t>1301.95</w:t>
      </w:r>
      <w:r>
        <w:rPr>
          <w:rFonts w:hint="eastAsia" w:ascii="宋体" w:hAnsi="宋体" w:cs="宋体"/>
          <w:color w:val="333333"/>
          <w:sz w:val="28"/>
          <w:szCs w:val="28"/>
        </w:rPr>
        <w:t>万元，占比</w:t>
      </w:r>
      <w:r>
        <w:rPr>
          <w:rFonts w:ascii="宋体" w:hAnsi="宋体" w:cs="宋体"/>
          <w:color w:val="333333"/>
          <w:sz w:val="28"/>
          <w:szCs w:val="28"/>
        </w:rPr>
        <w:t>95.09%</w:t>
      </w:r>
      <w:r>
        <w:rPr>
          <w:rFonts w:hint="eastAsia" w:ascii="宋体" w:hAnsi="宋体" w:cs="宋体"/>
          <w:color w:val="333333"/>
          <w:sz w:val="28"/>
          <w:szCs w:val="28"/>
        </w:rPr>
        <w:t>，其他收入</w:t>
      </w:r>
      <w:r>
        <w:rPr>
          <w:rFonts w:ascii="宋体" w:hAnsi="宋体" w:cs="宋体"/>
          <w:color w:val="333333"/>
          <w:sz w:val="28"/>
          <w:szCs w:val="28"/>
        </w:rPr>
        <w:t>67.26</w:t>
      </w:r>
      <w:r>
        <w:rPr>
          <w:rFonts w:hint="eastAsia" w:ascii="宋体" w:hAnsi="宋体" w:cs="宋体"/>
          <w:color w:val="333333"/>
          <w:sz w:val="28"/>
          <w:szCs w:val="28"/>
        </w:rPr>
        <w:t>万元，占比</w:t>
      </w:r>
      <w:r>
        <w:rPr>
          <w:rFonts w:ascii="宋体" w:hAnsi="宋体" w:cs="宋体"/>
          <w:color w:val="333333"/>
          <w:sz w:val="28"/>
          <w:szCs w:val="28"/>
        </w:rPr>
        <w:t>4.91%</w:t>
      </w:r>
      <w:r>
        <w:rPr>
          <w:rFonts w:hint="eastAsia" w:ascii="宋体" w:hAnsi="宋体" w:cs="宋体"/>
          <w:color w:val="333333"/>
          <w:sz w:val="28"/>
          <w:szCs w:val="28"/>
        </w:rPr>
        <w:t>。</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2</w:t>
      </w:r>
      <w:r>
        <w:rPr>
          <w:rFonts w:hint="eastAsia" w:ascii="宋体" w:hAnsi="宋体" w:cs="宋体"/>
          <w:color w:val="333333"/>
          <w:sz w:val="28"/>
          <w:szCs w:val="28"/>
        </w:rPr>
        <w:t>、支出分析：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本年总支出为</w:t>
      </w:r>
      <w:r>
        <w:rPr>
          <w:rFonts w:ascii="宋体" w:hAnsi="宋体" w:cs="宋体"/>
          <w:color w:val="333333"/>
          <w:sz w:val="28"/>
          <w:szCs w:val="28"/>
        </w:rPr>
        <w:t>1369.21</w:t>
      </w:r>
      <w:r>
        <w:rPr>
          <w:rFonts w:hint="eastAsia" w:ascii="宋体" w:hAnsi="宋体" w:cs="宋体"/>
          <w:color w:val="333333"/>
          <w:sz w:val="28"/>
          <w:szCs w:val="28"/>
        </w:rPr>
        <w:t>万元。</w:t>
      </w:r>
      <w:r>
        <w:rPr>
          <w:rFonts w:hint="eastAsia" w:ascii="宋体" w:hAnsi="宋体" w:cs="仿宋_GB2312"/>
          <w:color w:val="000000"/>
          <w:sz w:val="28"/>
          <w:szCs w:val="28"/>
        </w:rPr>
        <w:t>比去年增加</w:t>
      </w:r>
      <w:r>
        <w:rPr>
          <w:rFonts w:ascii="宋体" w:hAnsi="宋体" w:cs="仿宋_GB2312"/>
          <w:color w:val="000000"/>
          <w:sz w:val="28"/>
          <w:szCs w:val="28"/>
        </w:rPr>
        <w:t>26.80%</w:t>
      </w:r>
      <w:r>
        <w:rPr>
          <w:rFonts w:hint="eastAsia" w:ascii="宋体" w:hAnsi="宋体" w:cs="仿宋_GB2312"/>
          <w:color w:val="000000"/>
          <w:sz w:val="28"/>
          <w:szCs w:val="28"/>
        </w:rPr>
        <w:t>，其主要原因为本年交巡警相关业务支出增加所致</w:t>
      </w:r>
      <w:r>
        <w:rPr>
          <w:rFonts w:hint="eastAsia" w:ascii="宋体" w:hAnsi="宋体" w:cs="宋体"/>
          <w:color w:val="333333"/>
          <w:sz w:val="28"/>
          <w:szCs w:val="28"/>
        </w:rPr>
        <w:t>，其中一般公共预算财政拨款支出</w:t>
      </w:r>
      <w:r>
        <w:rPr>
          <w:rFonts w:ascii="宋体" w:hAnsi="宋体" w:cs="宋体"/>
          <w:color w:val="333333"/>
          <w:sz w:val="28"/>
          <w:szCs w:val="28"/>
        </w:rPr>
        <w:t>1301.95</w:t>
      </w:r>
      <w:r>
        <w:rPr>
          <w:rFonts w:hint="eastAsia" w:ascii="宋体" w:hAnsi="宋体" w:cs="宋体"/>
          <w:color w:val="333333"/>
          <w:sz w:val="28"/>
          <w:szCs w:val="28"/>
        </w:rPr>
        <w:t>万元，具体构成如下：</w:t>
      </w:r>
    </w:p>
    <w:p>
      <w:pPr>
        <w:shd w:val="clear" w:color="auto" w:fill="FFFFFF"/>
        <w:spacing w:line="360" w:lineRule="auto"/>
        <w:ind w:firstLine="56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147.46</w:t>
      </w:r>
      <w:r>
        <w:rPr>
          <w:rFonts w:hint="eastAsia" w:ascii="宋体" w:hAnsi="宋体" w:cs="宋体"/>
          <w:color w:val="333333"/>
          <w:sz w:val="28"/>
          <w:szCs w:val="28"/>
        </w:rPr>
        <w:t>万元。占比</w:t>
      </w:r>
      <w:r>
        <w:rPr>
          <w:rFonts w:ascii="宋体" w:hAnsi="宋体" w:cs="宋体"/>
          <w:color w:val="333333"/>
          <w:sz w:val="28"/>
          <w:szCs w:val="28"/>
        </w:rPr>
        <w:t>11.33%</w:t>
      </w:r>
    </w:p>
    <w:p>
      <w:pPr>
        <w:shd w:val="clear" w:color="auto" w:fill="FFFFFF"/>
        <w:spacing w:line="360" w:lineRule="auto"/>
        <w:ind w:firstLine="56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1076.25</w:t>
      </w:r>
      <w:r>
        <w:rPr>
          <w:rFonts w:hint="eastAsia" w:ascii="宋体" w:hAnsi="宋体" w:cs="宋体"/>
          <w:color w:val="333333"/>
          <w:sz w:val="28"/>
          <w:szCs w:val="28"/>
        </w:rPr>
        <w:t>万元。占比</w:t>
      </w:r>
      <w:r>
        <w:rPr>
          <w:rFonts w:ascii="宋体" w:hAnsi="宋体" w:cs="宋体"/>
          <w:color w:val="333333"/>
          <w:sz w:val="28"/>
          <w:szCs w:val="28"/>
        </w:rPr>
        <w:t>82.66%</w:t>
      </w:r>
    </w:p>
    <w:p>
      <w:pPr>
        <w:shd w:val="clear" w:color="auto" w:fill="FFFFFF"/>
        <w:spacing w:line="360" w:lineRule="auto"/>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3</w:t>
      </w:r>
      <w:r>
        <w:rPr>
          <w:rFonts w:hint="eastAsia" w:ascii="宋体" w:hAnsi="宋体" w:cs="宋体"/>
          <w:color w:val="333333"/>
          <w:sz w:val="28"/>
          <w:szCs w:val="28"/>
        </w:rPr>
        <w:t>）资本性支出</w:t>
      </w:r>
      <w:r>
        <w:rPr>
          <w:rFonts w:ascii="宋体" w:hAnsi="宋体" w:cs="宋体"/>
          <w:color w:val="333333"/>
          <w:sz w:val="28"/>
          <w:szCs w:val="28"/>
        </w:rPr>
        <w:t>78.24</w:t>
      </w:r>
      <w:r>
        <w:rPr>
          <w:rFonts w:hint="eastAsia" w:ascii="宋体" w:hAnsi="宋体" w:cs="宋体"/>
          <w:color w:val="333333"/>
          <w:sz w:val="28"/>
          <w:szCs w:val="28"/>
        </w:rPr>
        <w:t>万元。占比</w:t>
      </w:r>
      <w:r>
        <w:rPr>
          <w:rFonts w:ascii="宋体" w:hAnsi="宋体" w:cs="宋体"/>
          <w:color w:val="333333"/>
          <w:sz w:val="28"/>
          <w:szCs w:val="28"/>
        </w:rPr>
        <w:t>6.01%</w:t>
      </w:r>
    </w:p>
    <w:p>
      <w:pPr>
        <w:shd w:val="clear" w:color="auto" w:fill="FFFFFF"/>
        <w:snapToGrid w:val="0"/>
        <w:spacing w:line="560" w:lineRule="atLeast"/>
        <w:ind w:firstLine="640" w:firstLineChars="200"/>
        <w:rPr>
          <w:rFonts w:ascii="仿宋_GB2312" w:hAnsi="宋体" w:eastAsia="仿宋_GB2312" w:cs="宋体"/>
          <w:color w:val="333333"/>
          <w:sz w:val="32"/>
          <w:szCs w:val="32"/>
        </w:rPr>
      </w:pPr>
    </w:p>
    <w:p>
      <w:pPr>
        <w:widowControl/>
        <w:shd w:val="clear" w:color="auto" w:fill="FFFFFF"/>
        <w:snapToGrid w:val="0"/>
        <w:spacing w:line="560" w:lineRule="atLeast"/>
        <w:jc w:val="left"/>
        <w:rPr>
          <w:rFonts w:ascii="宋体" w:cs="宋体"/>
          <w:color w:val="333333"/>
          <w:kern w:val="0"/>
          <w:sz w:val="28"/>
          <w:szCs w:val="28"/>
        </w:rPr>
      </w:pPr>
    </w:p>
    <w:p>
      <w:pPr>
        <w:pStyle w:val="7"/>
        <w:widowControl/>
        <w:spacing w:before="76" w:beforeAutospacing="0" w:after="76" w:afterAutospacing="0" w:line="450" w:lineRule="atLeast"/>
        <w:ind w:firstLine="420"/>
        <w:rPr>
          <w:rFonts w:ascii="宋体" w:cs="宋体"/>
          <w:b/>
          <w:bCs/>
          <w:sz w:val="28"/>
          <w:szCs w:val="28"/>
          <w:shd w:val="clear" w:color="auto" w:fill="FFFFFF"/>
        </w:rPr>
      </w:pPr>
      <w:r>
        <w:rPr>
          <w:rFonts w:hint="eastAsia" w:ascii="宋体" w:hAnsi="宋体" w:cs="宋体"/>
          <w:b/>
          <w:bCs/>
          <w:sz w:val="28"/>
          <w:szCs w:val="28"/>
          <w:shd w:val="clear" w:color="auto" w:fill="FFFFFF"/>
        </w:rPr>
        <w:t>（二）关于“三公”经费支出说明</w:t>
      </w:r>
    </w:p>
    <w:p>
      <w:pPr>
        <w:ind w:firstLine="709"/>
        <w:rPr>
          <w:rFonts w:ascii="宋体"/>
          <w:color w:val="FF0000"/>
          <w:sz w:val="28"/>
          <w:szCs w:val="28"/>
        </w:rPr>
      </w:pPr>
      <w:r>
        <w:rPr>
          <w:rFonts w:hint="eastAsia" w:ascii="宋体" w:hAnsi="宋体" w:cs="仿宋_GB2312"/>
          <w:color w:val="000000"/>
          <w:sz w:val="28"/>
          <w:szCs w:val="28"/>
        </w:rPr>
        <w:t>本部门</w:t>
      </w:r>
      <w:r>
        <w:rPr>
          <w:rFonts w:hint="eastAsia" w:ascii="宋体" w:hAnsi="宋体" w:cs="宋体"/>
          <w:color w:val="333333"/>
          <w:sz w:val="28"/>
          <w:szCs w:val="28"/>
        </w:rPr>
        <w:t>本年度三公经费支出</w:t>
      </w:r>
      <w:r>
        <w:rPr>
          <w:rFonts w:ascii="宋体" w:hAnsi="宋体" w:cs="宋体"/>
          <w:color w:val="333333"/>
          <w:sz w:val="28"/>
          <w:szCs w:val="28"/>
        </w:rPr>
        <w:t>580</w:t>
      </w:r>
      <w:r>
        <w:rPr>
          <w:rFonts w:hint="eastAsia" w:ascii="宋体" w:hAnsi="宋体" w:cs="宋体"/>
          <w:color w:val="333333"/>
          <w:sz w:val="28"/>
          <w:szCs w:val="28"/>
        </w:rPr>
        <w:t>元，全部为公务接待支出，全年公务接待支出</w:t>
      </w:r>
      <w:r>
        <w:rPr>
          <w:rFonts w:ascii="宋体" w:hAnsi="宋体" w:cs="宋体"/>
          <w:color w:val="333333"/>
          <w:sz w:val="28"/>
          <w:szCs w:val="28"/>
        </w:rPr>
        <w:t>1</w:t>
      </w:r>
      <w:r>
        <w:rPr>
          <w:rFonts w:hint="eastAsia" w:ascii="宋体" w:hAnsi="宋体" w:cs="宋体"/>
          <w:color w:val="333333"/>
          <w:sz w:val="28"/>
          <w:szCs w:val="28"/>
        </w:rPr>
        <w:t>批</w:t>
      </w:r>
      <w:r>
        <w:rPr>
          <w:rFonts w:ascii="宋体" w:hAnsi="宋体" w:cs="宋体"/>
          <w:color w:val="333333"/>
          <w:sz w:val="28"/>
          <w:szCs w:val="28"/>
        </w:rPr>
        <w:t>7</w:t>
      </w:r>
      <w:r>
        <w:rPr>
          <w:rFonts w:hint="eastAsia" w:ascii="宋体" w:hAnsi="宋体" w:cs="宋体"/>
          <w:color w:val="333333"/>
          <w:sz w:val="28"/>
          <w:szCs w:val="28"/>
        </w:rPr>
        <w:t>人共</w:t>
      </w:r>
      <w:r>
        <w:rPr>
          <w:rFonts w:ascii="宋体" w:hAnsi="宋体" w:cs="宋体"/>
          <w:color w:val="333333"/>
          <w:sz w:val="28"/>
          <w:szCs w:val="28"/>
        </w:rPr>
        <w:t>580</w:t>
      </w:r>
      <w:r>
        <w:rPr>
          <w:rFonts w:hint="eastAsia" w:ascii="宋体" w:hAnsi="宋体" w:cs="宋体"/>
          <w:color w:val="333333"/>
          <w:sz w:val="28"/>
          <w:szCs w:val="28"/>
        </w:rPr>
        <w:t>元。</w:t>
      </w:r>
    </w:p>
    <w:p>
      <w:pPr>
        <w:pStyle w:val="7"/>
        <w:widowControl/>
        <w:spacing w:before="76" w:beforeAutospacing="0" w:after="76" w:afterAutospacing="0" w:line="450" w:lineRule="atLeast"/>
        <w:ind w:firstLine="419" w:firstLineChars="149"/>
        <w:rPr>
          <w:rFonts w:ascii="宋体" w:cs="宋体"/>
          <w:b/>
          <w:bCs/>
          <w:sz w:val="28"/>
          <w:szCs w:val="28"/>
          <w:shd w:val="clear" w:color="auto" w:fill="FFFFFF"/>
        </w:rPr>
      </w:pPr>
      <w:r>
        <w:rPr>
          <w:rFonts w:hint="eastAsia" w:ascii="宋体" w:hAnsi="宋体" w:cs="宋体"/>
          <w:b/>
          <w:bCs/>
          <w:sz w:val="28"/>
          <w:szCs w:val="28"/>
          <w:shd w:val="clear" w:color="auto" w:fill="FFFFFF"/>
        </w:rPr>
        <w:t>（三）关于机关运行经费支出说明</w:t>
      </w:r>
    </w:p>
    <w:p>
      <w:pPr>
        <w:shd w:val="clear" w:color="auto" w:fill="FFFFFF"/>
        <w:spacing w:line="360" w:lineRule="auto"/>
        <w:ind w:firstLine="560" w:firstLineChars="200"/>
        <w:rPr>
          <w:rFonts w:ascii="宋体" w:cs="仿宋"/>
          <w:bCs/>
          <w:color w:val="000000"/>
          <w:sz w:val="28"/>
          <w:szCs w:val="28"/>
        </w:rPr>
      </w:pPr>
      <w:r>
        <w:rPr>
          <w:rFonts w:hint="eastAsia" w:ascii="宋体" w:hAnsi="宋体" w:cs="仿宋"/>
          <w:bCs/>
          <w:color w:val="000000"/>
          <w:sz w:val="28"/>
          <w:szCs w:val="28"/>
        </w:rPr>
        <w:t>本部门机关运行经费本年支出</w:t>
      </w:r>
      <w:r>
        <w:rPr>
          <w:rFonts w:ascii="宋体" w:hAnsi="宋体" w:cs="仿宋"/>
          <w:bCs/>
          <w:color w:val="000000"/>
          <w:sz w:val="28"/>
          <w:szCs w:val="28"/>
        </w:rPr>
        <w:t>1154.49</w:t>
      </w:r>
      <w:r>
        <w:rPr>
          <w:rFonts w:hint="eastAsia" w:ascii="宋体" w:hAnsi="宋体" w:cs="仿宋"/>
          <w:bCs/>
          <w:color w:val="000000"/>
          <w:sz w:val="28"/>
          <w:szCs w:val="28"/>
        </w:rPr>
        <w:t>万元，去年支出为</w:t>
      </w:r>
      <w:r>
        <w:rPr>
          <w:rFonts w:ascii="宋体" w:hAnsi="宋体" w:cs="仿宋"/>
          <w:bCs/>
          <w:color w:val="000000"/>
          <w:sz w:val="28"/>
          <w:szCs w:val="28"/>
        </w:rPr>
        <w:t>887.09</w:t>
      </w:r>
      <w:r>
        <w:rPr>
          <w:rFonts w:hint="eastAsia" w:ascii="宋体" w:hAnsi="宋体" w:cs="仿宋"/>
          <w:bCs/>
          <w:color w:val="000000"/>
          <w:sz w:val="28"/>
          <w:szCs w:val="28"/>
        </w:rPr>
        <w:t>万元，对比增加</w:t>
      </w:r>
      <w:r>
        <w:rPr>
          <w:rFonts w:ascii="宋体" w:hAnsi="宋体" w:cs="仿宋"/>
          <w:bCs/>
          <w:color w:val="000000"/>
          <w:sz w:val="28"/>
          <w:szCs w:val="28"/>
        </w:rPr>
        <w:t>267.40</w:t>
      </w:r>
      <w:r>
        <w:rPr>
          <w:rFonts w:hint="eastAsia" w:ascii="宋体" w:hAnsi="宋体" w:cs="仿宋"/>
          <w:bCs/>
          <w:color w:val="000000"/>
          <w:sz w:val="28"/>
          <w:szCs w:val="28"/>
        </w:rPr>
        <w:t>万元，增幅</w:t>
      </w:r>
      <w:r>
        <w:rPr>
          <w:rFonts w:ascii="宋体" w:hAnsi="宋体" w:cs="仿宋"/>
          <w:bCs/>
          <w:color w:val="000000"/>
          <w:sz w:val="28"/>
          <w:szCs w:val="28"/>
        </w:rPr>
        <w:t>30.14%</w:t>
      </w:r>
      <w:r>
        <w:rPr>
          <w:rFonts w:hint="eastAsia" w:ascii="宋体" w:hAnsi="宋体" w:cs="仿宋"/>
          <w:bCs/>
          <w:color w:val="000000"/>
          <w:sz w:val="28"/>
          <w:szCs w:val="28"/>
        </w:rPr>
        <w:t>，主要原因为</w:t>
      </w:r>
      <w:r>
        <w:rPr>
          <w:rFonts w:hint="eastAsia" w:ascii="宋体" w:hAnsi="宋体" w:cs="仿宋_GB2312"/>
          <w:color w:val="000000"/>
          <w:sz w:val="28"/>
          <w:szCs w:val="28"/>
        </w:rPr>
        <w:t>本年交巡警相关业务收支增加</w:t>
      </w:r>
      <w:r>
        <w:rPr>
          <w:rFonts w:hint="eastAsia" w:ascii="宋体" w:hAnsi="宋体" w:cs="仿宋"/>
          <w:bCs/>
          <w:color w:val="000000"/>
          <w:sz w:val="28"/>
          <w:szCs w:val="28"/>
        </w:rPr>
        <w:t>所致。</w:t>
      </w:r>
    </w:p>
    <w:p>
      <w:pPr>
        <w:pStyle w:val="7"/>
        <w:widowControl/>
        <w:spacing w:before="76" w:beforeAutospacing="0" w:after="76" w:afterAutospacing="0" w:line="450" w:lineRule="atLeast"/>
        <w:ind w:firstLine="281" w:firstLineChars="100"/>
        <w:rPr>
          <w:rFonts w:ascii="宋体" w:cs="宋体"/>
          <w:b/>
          <w:bCs/>
          <w:sz w:val="28"/>
          <w:szCs w:val="28"/>
          <w:shd w:val="clear" w:color="auto" w:fill="FFFFFF"/>
        </w:rPr>
      </w:pPr>
      <w:r>
        <w:rPr>
          <w:rFonts w:hint="eastAsia" w:ascii="宋体" w:hAnsi="宋体" w:cs="宋体"/>
          <w:b/>
          <w:bCs/>
          <w:sz w:val="28"/>
          <w:szCs w:val="28"/>
          <w:shd w:val="clear" w:color="auto" w:fill="FFFFFF"/>
        </w:rPr>
        <w:t>（四）关于政府采购支出说明</w:t>
      </w:r>
    </w:p>
    <w:p>
      <w:pPr>
        <w:ind w:firstLine="700" w:firstLineChars="250"/>
        <w:rPr>
          <w:rFonts w:ascii="宋体" w:cs="仿宋"/>
          <w:sz w:val="28"/>
          <w:szCs w:val="28"/>
        </w:rPr>
      </w:pPr>
      <w:r>
        <w:rPr>
          <w:rFonts w:hint="eastAsia" w:ascii="宋体" w:hAnsi="宋体" w:cs="仿宋"/>
          <w:bCs/>
          <w:sz w:val="28"/>
          <w:szCs w:val="28"/>
        </w:rPr>
        <w:t>本部门本年度政府采购总支出</w:t>
      </w:r>
      <w:r>
        <w:rPr>
          <w:rFonts w:ascii="宋体" w:hAnsi="宋体" w:cs="仿宋"/>
          <w:bCs/>
          <w:sz w:val="28"/>
          <w:szCs w:val="28"/>
        </w:rPr>
        <w:t>86.50</w:t>
      </w:r>
      <w:r>
        <w:rPr>
          <w:rFonts w:hint="eastAsia" w:ascii="宋体" w:hAnsi="宋体" w:cs="仿宋"/>
          <w:bCs/>
          <w:sz w:val="28"/>
          <w:szCs w:val="28"/>
        </w:rPr>
        <w:t>万元，其中采购货物支出</w:t>
      </w:r>
      <w:r>
        <w:rPr>
          <w:rFonts w:ascii="宋体" w:hAnsi="宋体" w:cs="仿宋"/>
          <w:bCs/>
          <w:sz w:val="28"/>
          <w:szCs w:val="28"/>
        </w:rPr>
        <w:t>3.72</w:t>
      </w:r>
      <w:r>
        <w:rPr>
          <w:rFonts w:hint="eastAsia" w:ascii="宋体" w:hAnsi="宋体" w:cs="仿宋"/>
          <w:bCs/>
          <w:sz w:val="28"/>
          <w:szCs w:val="28"/>
        </w:rPr>
        <w:t>万元、采购工程支出</w:t>
      </w:r>
      <w:r>
        <w:rPr>
          <w:rFonts w:ascii="宋体" w:hAnsi="宋体" w:cs="仿宋"/>
          <w:bCs/>
          <w:sz w:val="28"/>
          <w:szCs w:val="28"/>
        </w:rPr>
        <w:t>75.21</w:t>
      </w:r>
      <w:r>
        <w:rPr>
          <w:rFonts w:hint="eastAsia" w:ascii="宋体" w:hAnsi="宋体" w:cs="仿宋"/>
          <w:bCs/>
          <w:sz w:val="28"/>
          <w:szCs w:val="28"/>
        </w:rPr>
        <w:t>万元、采购服务支出</w:t>
      </w:r>
      <w:r>
        <w:rPr>
          <w:rFonts w:ascii="宋体" w:hAnsi="宋体" w:cs="仿宋"/>
          <w:bCs/>
          <w:sz w:val="28"/>
          <w:szCs w:val="28"/>
        </w:rPr>
        <w:t>7.57</w:t>
      </w:r>
      <w:r>
        <w:rPr>
          <w:rFonts w:hint="eastAsia" w:ascii="宋体" w:hAnsi="宋体" w:cs="仿宋"/>
          <w:bCs/>
          <w:sz w:val="28"/>
          <w:szCs w:val="28"/>
        </w:rPr>
        <w:t>万元。</w:t>
      </w:r>
    </w:p>
    <w:p>
      <w:pPr>
        <w:pStyle w:val="7"/>
        <w:widowControl/>
        <w:spacing w:before="76" w:beforeAutospacing="0" w:after="76" w:afterAutospacing="0" w:line="450" w:lineRule="atLeast"/>
        <w:ind w:firstLine="141" w:firstLineChars="50"/>
        <w:rPr>
          <w:rFonts w:ascii="宋体" w:cs="宋体"/>
          <w:b/>
          <w:bCs/>
          <w:sz w:val="28"/>
          <w:szCs w:val="28"/>
          <w:shd w:val="clear" w:color="auto" w:fill="FFFFFF"/>
        </w:rPr>
      </w:pPr>
      <w:r>
        <w:rPr>
          <w:rFonts w:hint="eastAsia" w:ascii="宋体" w:hAnsi="宋体" w:cs="宋体"/>
          <w:b/>
          <w:bCs/>
          <w:sz w:val="28"/>
          <w:szCs w:val="28"/>
          <w:shd w:val="clear" w:color="auto" w:fill="FFFFFF"/>
        </w:rPr>
        <w:t>（五）关于国有资产占用情况说明</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截至</w:t>
      </w:r>
      <w:r>
        <w:rPr>
          <w:rFonts w:ascii="宋体" w:hAnsi="宋体" w:cs="宋体"/>
          <w:color w:val="333333"/>
          <w:kern w:val="0"/>
          <w:sz w:val="28"/>
          <w:szCs w:val="28"/>
        </w:rPr>
        <w:t>2020</w:t>
      </w:r>
      <w:r>
        <w:rPr>
          <w:rFonts w:hint="eastAsia" w:ascii="宋体" w:hAnsi="宋体" w:cs="宋体"/>
          <w:color w:val="333333"/>
          <w:kern w:val="0"/>
          <w:sz w:val="28"/>
          <w:szCs w:val="28"/>
        </w:rPr>
        <w:t>年</w:t>
      </w:r>
      <w:r>
        <w:rPr>
          <w:rFonts w:ascii="宋体" w:hAnsi="宋体" w:cs="宋体"/>
          <w:color w:val="333333"/>
          <w:kern w:val="0"/>
          <w:sz w:val="28"/>
          <w:szCs w:val="28"/>
        </w:rPr>
        <w:t>12</w:t>
      </w:r>
      <w:r>
        <w:rPr>
          <w:rFonts w:hint="eastAsia" w:ascii="宋体" w:hAnsi="宋体" w:cs="宋体"/>
          <w:color w:val="333333"/>
          <w:kern w:val="0"/>
          <w:sz w:val="28"/>
          <w:szCs w:val="28"/>
        </w:rPr>
        <w:t>月</w:t>
      </w:r>
      <w:r>
        <w:rPr>
          <w:rFonts w:ascii="宋体" w:hAnsi="宋体" w:cs="宋体"/>
          <w:color w:val="333333"/>
          <w:kern w:val="0"/>
          <w:sz w:val="28"/>
          <w:szCs w:val="28"/>
        </w:rPr>
        <w:t>31</w:t>
      </w:r>
      <w:r>
        <w:rPr>
          <w:rFonts w:hint="eastAsia" w:ascii="宋体" w:hAnsi="宋体" w:cs="宋体"/>
          <w:color w:val="333333"/>
          <w:kern w:val="0"/>
          <w:sz w:val="28"/>
          <w:szCs w:val="28"/>
        </w:rPr>
        <w:t>日，本部门无公务用车。</w:t>
      </w:r>
    </w:p>
    <w:p>
      <w:pPr>
        <w:pStyle w:val="7"/>
        <w:widowControl/>
        <w:spacing w:before="76" w:beforeAutospacing="0" w:after="76" w:afterAutospacing="0" w:line="450" w:lineRule="atLeast"/>
        <w:ind w:firstLine="141" w:firstLineChars="50"/>
        <w:rPr>
          <w:rFonts w:ascii="宋体" w:cs="宋体"/>
          <w:b/>
          <w:bCs/>
          <w:sz w:val="28"/>
          <w:szCs w:val="28"/>
          <w:shd w:val="clear" w:color="auto" w:fill="FFFFFF"/>
        </w:rPr>
      </w:pPr>
      <w:r>
        <w:rPr>
          <w:rFonts w:hint="eastAsia" w:ascii="宋体" w:hAnsi="宋体" w:cs="宋体"/>
          <w:b/>
          <w:bCs/>
          <w:sz w:val="28"/>
          <w:szCs w:val="28"/>
          <w:shd w:val="clear" w:color="auto" w:fill="FFFFFF"/>
        </w:rPr>
        <w:t>（六）重点绩效评价结果等预算绩效情况说明</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lang w:val="en-US" w:eastAsia="zh-CN"/>
        </w:rPr>
        <w:t>2020</w:t>
      </w:r>
      <w:r>
        <w:rPr>
          <w:rFonts w:hint="eastAsia" w:ascii="宋体" w:hAnsi="宋体" w:cs="宋体"/>
          <w:color w:val="333333"/>
          <w:kern w:val="0"/>
          <w:sz w:val="28"/>
          <w:szCs w:val="28"/>
        </w:rPr>
        <w:t>年， 根据预算绩效管理要求，我单位组织20</w:t>
      </w:r>
      <w:r>
        <w:rPr>
          <w:rFonts w:hint="eastAsia" w:ascii="宋体" w:hAnsi="宋体" w:cs="宋体"/>
          <w:color w:val="333333"/>
          <w:kern w:val="0"/>
          <w:sz w:val="28"/>
          <w:szCs w:val="28"/>
          <w:lang w:val="en-US" w:eastAsia="zh-CN"/>
        </w:rPr>
        <w:t>20</w:t>
      </w:r>
      <w:r>
        <w:rPr>
          <w:rFonts w:hint="eastAsia" w:ascii="宋体" w:hAnsi="宋体" w:cs="宋体"/>
          <w:color w:val="333333"/>
          <w:kern w:val="0"/>
          <w:sz w:val="28"/>
          <w:szCs w:val="28"/>
        </w:rPr>
        <w:t>年度一般公共预算项目支出全面开展绩效自评，共涉及项目</w:t>
      </w:r>
      <w:r>
        <w:rPr>
          <w:rFonts w:hint="eastAsia" w:ascii="宋体" w:hAnsi="宋体" w:cs="宋体"/>
          <w:color w:val="333333"/>
          <w:kern w:val="0"/>
          <w:sz w:val="28"/>
          <w:szCs w:val="28"/>
          <w:lang w:val="en-US" w:eastAsia="zh-CN"/>
        </w:rPr>
        <w:t>2</w:t>
      </w:r>
      <w:r>
        <w:rPr>
          <w:rFonts w:hint="eastAsia" w:ascii="宋体" w:hAnsi="宋体" w:cs="宋体"/>
          <w:color w:val="333333"/>
          <w:kern w:val="0"/>
          <w:sz w:val="28"/>
          <w:szCs w:val="28"/>
        </w:rPr>
        <w:t>个，资金</w:t>
      </w:r>
      <w:r>
        <w:rPr>
          <w:rFonts w:hint="eastAsia" w:ascii="宋体" w:hAnsi="宋体" w:cs="宋体"/>
          <w:color w:val="333333"/>
          <w:kern w:val="0"/>
          <w:sz w:val="28"/>
          <w:szCs w:val="28"/>
          <w:lang w:val="en-US" w:eastAsia="zh-CN"/>
        </w:rPr>
        <w:t>94.7</w:t>
      </w:r>
      <w:r>
        <w:rPr>
          <w:rFonts w:hint="eastAsia" w:ascii="宋体" w:hAnsi="宋体" w:cs="宋体"/>
          <w:color w:val="333333"/>
          <w:kern w:val="0"/>
          <w:sz w:val="28"/>
          <w:szCs w:val="28"/>
        </w:rPr>
        <w:t>万元。 20</w:t>
      </w:r>
      <w:r>
        <w:rPr>
          <w:rFonts w:hint="eastAsia" w:ascii="宋体" w:hAnsi="宋体" w:cs="宋体"/>
          <w:color w:val="333333"/>
          <w:kern w:val="0"/>
          <w:sz w:val="28"/>
          <w:szCs w:val="28"/>
          <w:lang w:val="en-US" w:eastAsia="zh-CN"/>
        </w:rPr>
        <w:t>20</w:t>
      </w:r>
      <w:r>
        <w:rPr>
          <w:rFonts w:hint="eastAsia" w:ascii="宋体" w:hAnsi="宋体" w:cs="宋体"/>
          <w:color w:val="333333"/>
          <w:kern w:val="0"/>
          <w:sz w:val="28"/>
          <w:szCs w:val="28"/>
        </w:rPr>
        <w:t>年项目资金投入</w:t>
      </w:r>
      <w:r>
        <w:rPr>
          <w:rFonts w:hint="eastAsia" w:ascii="宋体" w:hAnsi="宋体" w:cs="宋体"/>
          <w:color w:val="333333"/>
          <w:kern w:val="0"/>
          <w:sz w:val="28"/>
          <w:szCs w:val="28"/>
          <w:lang w:val="en-US" w:eastAsia="zh-CN"/>
        </w:rPr>
        <w:t>94.7</w:t>
      </w:r>
      <w:r>
        <w:rPr>
          <w:rFonts w:hint="eastAsia" w:ascii="宋体" w:hAnsi="宋体" w:cs="宋体"/>
          <w:color w:val="333333"/>
          <w:kern w:val="0"/>
          <w:sz w:val="28"/>
          <w:szCs w:val="28"/>
        </w:rPr>
        <w:t>万元，已使用</w:t>
      </w:r>
      <w:r>
        <w:rPr>
          <w:rFonts w:hint="eastAsia" w:ascii="宋体" w:hAnsi="宋体" w:cs="宋体"/>
          <w:color w:val="333333"/>
          <w:kern w:val="0"/>
          <w:sz w:val="28"/>
          <w:szCs w:val="28"/>
          <w:lang w:val="en-US" w:eastAsia="zh-CN"/>
        </w:rPr>
        <w:t>94.7</w:t>
      </w:r>
      <w:r>
        <w:rPr>
          <w:rFonts w:hint="eastAsia" w:ascii="宋体" w:hAnsi="宋体" w:cs="宋体"/>
          <w:color w:val="333333"/>
          <w:kern w:val="0"/>
          <w:sz w:val="28"/>
          <w:szCs w:val="28"/>
        </w:rPr>
        <w:t>万元，使用率达100%。使用从评价结果看，项目立项程序完整、规范，预算执行及时、有效，绩效目标得到较好实现，绩效管理水平不断提高，绩效指标体系建设逐渐丰富和完善。</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1081.6万</w:t>
      </w:r>
      <w:r>
        <w:rPr>
          <w:rFonts w:hint="eastAsia" w:ascii="宋体" w:hAnsi="宋体"/>
          <w:spacing w:val="2"/>
          <w:sz w:val="28"/>
          <w:szCs w:val="28"/>
        </w:rPr>
        <w:t>元,2020年全年总收入</w:t>
      </w:r>
      <w:r>
        <w:rPr>
          <w:rFonts w:hint="eastAsia" w:ascii="宋体" w:hAnsi="宋体"/>
          <w:spacing w:val="2"/>
          <w:sz w:val="28"/>
          <w:szCs w:val="28"/>
          <w:lang w:val="en-US" w:eastAsia="zh-CN"/>
        </w:rPr>
        <w:t>1369.21万</w:t>
      </w:r>
      <w:r>
        <w:rPr>
          <w:rFonts w:hint="eastAsia" w:ascii="宋体" w:hAnsi="宋体"/>
          <w:spacing w:val="2"/>
          <w:sz w:val="28"/>
          <w:szCs w:val="28"/>
        </w:rPr>
        <w:t>元，同比上年增加</w:t>
      </w:r>
      <w:r>
        <w:rPr>
          <w:rFonts w:hint="eastAsia" w:ascii="宋体" w:hAnsi="宋体"/>
          <w:spacing w:val="2"/>
          <w:sz w:val="28"/>
          <w:szCs w:val="28"/>
          <w:lang w:val="en-US" w:eastAsia="zh-CN"/>
        </w:rPr>
        <w:t>287.61万</w:t>
      </w:r>
      <w:r>
        <w:rPr>
          <w:rFonts w:hint="eastAsia" w:ascii="宋体" w:hAnsi="宋体"/>
          <w:spacing w:val="2"/>
          <w:sz w:val="28"/>
          <w:szCs w:val="28"/>
        </w:rPr>
        <w:t>元，增长幅度为</w:t>
      </w:r>
      <w:r>
        <w:rPr>
          <w:rFonts w:hint="eastAsia" w:ascii="宋体" w:hAnsi="宋体"/>
          <w:spacing w:val="2"/>
          <w:sz w:val="28"/>
          <w:szCs w:val="28"/>
          <w:lang w:val="en-US" w:eastAsia="zh-CN"/>
        </w:rPr>
        <w:t>26.59</w:t>
      </w:r>
      <w:r>
        <w:rPr>
          <w:rFonts w:hint="eastAsia" w:ascii="宋体" w:hAnsi="宋体"/>
          <w:spacing w:val="2"/>
          <w:sz w:val="28"/>
          <w:szCs w:val="28"/>
        </w:rPr>
        <w:t>%，原因是业务量增加。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1081.6万</w:t>
      </w:r>
      <w:r>
        <w:rPr>
          <w:rFonts w:hint="eastAsia" w:ascii="宋体" w:hAnsi="宋体"/>
          <w:spacing w:val="2"/>
          <w:sz w:val="28"/>
          <w:szCs w:val="28"/>
        </w:rPr>
        <w:t>元,2020年全年总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1369.21万</w:t>
      </w:r>
      <w:r>
        <w:rPr>
          <w:rFonts w:hint="eastAsia" w:ascii="宋体" w:hAnsi="宋体"/>
          <w:spacing w:val="2"/>
          <w:sz w:val="28"/>
          <w:szCs w:val="28"/>
        </w:rPr>
        <w:t>元，同比上年增加</w:t>
      </w:r>
      <w:r>
        <w:rPr>
          <w:rFonts w:hint="eastAsia" w:ascii="宋体" w:hAnsi="宋体"/>
          <w:spacing w:val="2"/>
          <w:sz w:val="28"/>
          <w:szCs w:val="28"/>
          <w:lang w:val="en-US" w:eastAsia="zh-CN"/>
        </w:rPr>
        <w:t>287.61万</w:t>
      </w:r>
      <w:r>
        <w:rPr>
          <w:rFonts w:hint="eastAsia" w:ascii="宋体" w:hAnsi="宋体"/>
          <w:spacing w:val="2"/>
          <w:sz w:val="28"/>
          <w:szCs w:val="28"/>
        </w:rPr>
        <w:t>元，增长幅度为</w:t>
      </w:r>
      <w:r>
        <w:rPr>
          <w:rFonts w:hint="eastAsia" w:ascii="宋体" w:hAnsi="宋体"/>
          <w:spacing w:val="2"/>
          <w:sz w:val="28"/>
          <w:szCs w:val="28"/>
          <w:lang w:val="en-US" w:eastAsia="zh-CN"/>
        </w:rPr>
        <w:t>26.59</w:t>
      </w:r>
      <w:r>
        <w:rPr>
          <w:rFonts w:hint="eastAsia" w:ascii="宋体" w:hAnsi="宋体"/>
          <w:spacing w:val="2"/>
          <w:sz w:val="28"/>
          <w:szCs w:val="28"/>
        </w:rPr>
        <w:t>%，原因是业务量增加。</w:t>
      </w:r>
    </w:p>
    <w:p>
      <w:pPr>
        <w:widowControl/>
        <w:shd w:val="clear" w:color="auto" w:fill="FFFFFF"/>
        <w:snapToGrid w:val="0"/>
        <w:spacing w:line="560" w:lineRule="atLeast"/>
        <w:ind w:firstLine="562"/>
        <w:jc w:val="left"/>
        <w:rPr>
          <w:rFonts w:ascii="宋体" w:cs="宋体"/>
          <w:color w:val="333333"/>
          <w:kern w:val="0"/>
          <w:sz w:val="28"/>
          <w:szCs w:val="28"/>
        </w:rPr>
      </w:pPr>
    </w:p>
    <w:p>
      <w:pPr>
        <w:widowControl/>
        <w:shd w:val="clear" w:color="auto" w:fill="FFFFFF"/>
        <w:snapToGrid w:val="0"/>
        <w:spacing w:line="560" w:lineRule="atLeast"/>
        <w:ind w:firstLine="240" w:firstLineChars="100"/>
        <w:jc w:val="left"/>
        <w:rPr>
          <w:rFonts w:ascii="微软雅黑" w:hAnsi="微软雅黑" w:eastAsia="微软雅黑" w:cs="微软雅黑"/>
          <w:b/>
          <w:bCs/>
          <w:color w:val="333333"/>
          <w:kern w:val="0"/>
          <w:sz w:val="24"/>
        </w:rPr>
      </w:pPr>
      <w:r>
        <w:rPr>
          <w:rFonts w:ascii="微软雅黑" w:hAnsi="微软雅黑" w:eastAsia="微软雅黑" w:cs="微软雅黑"/>
          <w:b/>
          <w:bCs/>
          <w:color w:val="333333"/>
          <w:kern w:val="0"/>
          <w:sz w:val="24"/>
        </w:rPr>
        <w:t xml:space="preserve"> </w:t>
      </w:r>
      <w:r>
        <w:rPr>
          <w:rFonts w:hint="eastAsia" w:ascii="微软雅黑" w:hAnsi="微软雅黑" w:eastAsia="微软雅黑" w:cs="微软雅黑"/>
          <w:b/>
          <w:bCs/>
          <w:color w:val="333333"/>
          <w:kern w:val="0"/>
          <w:sz w:val="24"/>
        </w:rPr>
        <w:t>第四部分</w:t>
      </w:r>
      <w:r>
        <w:rPr>
          <w:rFonts w:ascii="微软雅黑" w:hAnsi="微软雅黑" w:eastAsia="微软雅黑" w:cs="微软雅黑"/>
          <w:b/>
          <w:bCs/>
          <w:color w:val="333333"/>
          <w:kern w:val="0"/>
          <w:sz w:val="24"/>
        </w:rPr>
        <w:t xml:space="preserve"> </w:t>
      </w:r>
      <w:r>
        <w:rPr>
          <w:rFonts w:hint="eastAsia" w:ascii="微软雅黑" w:hAnsi="微软雅黑" w:eastAsia="微软雅黑" w:cs="微软雅黑"/>
          <w:b/>
          <w:bCs/>
          <w:color w:val="333333"/>
          <w:kern w:val="0"/>
          <w:sz w:val="24"/>
        </w:rPr>
        <w:t>名词解释</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一、财政补助收入：指县级财政当年拨付的资金。</w:t>
      </w:r>
      <w:bookmarkStart w:id="0" w:name="_GoBack"/>
      <w:bookmarkEnd w:id="0"/>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二、其他收入：指除“财政拨款收入”、“上级补助收入”、“事业收入”、“经营收入”等以外的收入。主要是存款利息收入等。</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三、年初结转和结余：指以前年度尚未完成、结转到本年按有关规定继续使用的资金。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六、一般公共服务（类）机关服务（项）：指黄石港区政法委服务中心为机关提供办公楼日常维修、维护等后勤保障服务的支出。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七、一般公共服务（类）其他一般公共服务支出（款）其他一般公共服务支出（项）：指黄石港区政法委用于其他一般公共服务方面的支出。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八、教育（类）普通教育（款）高等教育（项）：指黄石港区政法委支持地方高校的重点发展和特色办学，组织专家对省属院校申报的建设规划和项目预算进行评审等相关工作的支出。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九、社会保障和就业</w:t>
      </w:r>
      <w:r>
        <w:rPr>
          <w:rFonts w:ascii="宋体" w:hAnsi="宋体" w:cs="宋体"/>
          <w:color w:val="333333"/>
          <w:kern w:val="0"/>
          <w:sz w:val="28"/>
          <w:szCs w:val="28"/>
        </w:rPr>
        <w:t>(</w:t>
      </w:r>
      <w:r>
        <w:rPr>
          <w:rFonts w:hint="eastAsia" w:ascii="宋体" w:hAnsi="宋体" w:cs="宋体"/>
          <w:color w:val="333333"/>
          <w:kern w:val="0"/>
          <w:sz w:val="28"/>
          <w:szCs w:val="28"/>
        </w:rPr>
        <w:t>类</w:t>
      </w:r>
      <w:r>
        <w:rPr>
          <w:rFonts w:ascii="宋体" w:hAnsi="宋体" w:cs="宋体"/>
          <w:color w:val="333333"/>
          <w:kern w:val="0"/>
          <w:sz w:val="28"/>
          <w:szCs w:val="28"/>
        </w:rPr>
        <w:t>)</w:t>
      </w:r>
      <w:r>
        <w:rPr>
          <w:rFonts w:hint="eastAsia" w:ascii="宋体" w:hAnsi="宋体" w:cs="宋体"/>
          <w:color w:val="333333"/>
          <w:kern w:val="0"/>
          <w:sz w:val="28"/>
          <w:szCs w:val="28"/>
        </w:rPr>
        <w:t>行政事业单位离退休（款）归口管理的行政单位离退休（项）：指黄石港区政法委用于离退休人员的支出、退休人员支出，以及提供管理服务工作的离退休干部处的支出。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十、社会保障和就业</w:t>
      </w:r>
      <w:r>
        <w:rPr>
          <w:rFonts w:ascii="宋体" w:hAnsi="宋体" w:cs="宋体"/>
          <w:color w:val="333333"/>
          <w:kern w:val="0"/>
          <w:sz w:val="28"/>
          <w:szCs w:val="28"/>
        </w:rPr>
        <w:t>(</w:t>
      </w:r>
      <w:r>
        <w:rPr>
          <w:rFonts w:hint="eastAsia" w:ascii="宋体" w:hAnsi="宋体" w:cs="宋体"/>
          <w:color w:val="333333"/>
          <w:kern w:val="0"/>
          <w:sz w:val="28"/>
          <w:szCs w:val="28"/>
        </w:rPr>
        <w:t>类</w:t>
      </w:r>
      <w:r>
        <w:rPr>
          <w:rFonts w:ascii="宋体" w:hAnsi="宋体" w:cs="宋体"/>
          <w:color w:val="333333"/>
          <w:kern w:val="0"/>
          <w:sz w:val="28"/>
          <w:szCs w:val="28"/>
        </w:rPr>
        <w:t>)</w:t>
      </w:r>
      <w:r>
        <w:rPr>
          <w:rFonts w:hint="eastAsia" w:ascii="宋体" w:hAnsi="宋体" w:cs="宋体"/>
          <w:color w:val="333333"/>
          <w:kern w:val="0"/>
          <w:sz w:val="28"/>
          <w:szCs w:val="28"/>
        </w:rPr>
        <w:t>行政事业单位离退休（款）其他行政事业单位离退休支出（项）：指黄石港区政法委用于离退休方面的其他支出。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十一、医疗卫生与计划生育（类）医疗保障（款）行政单位医疗（项）：指黄石港区政法委用于机关干部职工及离退休人员医疗方面的支出。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十五、项目支出：指在基本支出之外为完成特定行政任务和事业发展目标所发生的支出。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十六、“三公”经费：是指用财政拨款安排的因公出国（境）费、公务用车购置及运行维护费、公务接待费。</w:t>
      </w:r>
    </w:p>
    <w:p>
      <w:pPr>
        <w:widowControl/>
        <w:shd w:val="clear" w:color="auto" w:fill="FFFFFF"/>
        <w:snapToGrid w:val="0"/>
        <w:spacing w:line="560" w:lineRule="atLeast"/>
        <w:ind w:firstLine="562"/>
        <w:jc w:val="left"/>
        <w:rPr>
          <w:rFonts w:ascii="宋体" w:cs="宋体"/>
          <w:color w:val="333333"/>
          <w:kern w:val="0"/>
          <w:sz w:val="28"/>
          <w:szCs w:val="28"/>
        </w:rPr>
      </w:pPr>
    </w:p>
    <w:sectPr>
      <w:headerReference r:id="rId3" w:type="default"/>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45A19"/>
    <w:multiLevelType w:val="singleLevel"/>
    <w:tmpl w:val="8A645A19"/>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43"/>
    <w:rsid w:val="000B0CAC"/>
    <w:rsid w:val="000F459D"/>
    <w:rsid w:val="000F4E37"/>
    <w:rsid w:val="00190271"/>
    <w:rsid w:val="0019041E"/>
    <w:rsid w:val="001A4AEC"/>
    <w:rsid w:val="00235044"/>
    <w:rsid w:val="00304A58"/>
    <w:rsid w:val="0036206E"/>
    <w:rsid w:val="003A04CF"/>
    <w:rsid w:val="00447AEB"/>
    <w:rsid w:val="004A16E5"/>
    <w:rsid w:val="004D59FE"/>
    <w:rsid w:val="004E0995"/>
    <w:rsid w:val="00580A70"/>
    <w:rsid w:val="0058551B"/>
    <w:rsid w:val="00626A62"/>
    <w:rsid w:val="00632DCC"/>
    <w:rsid w:val="006421FF"/>
    <w:rsid w:val="00671ECC"/>
    <w:rsid w:val="00684B63"/>
    <w:rsid w:val="006E2A9A"/>
    <w:rsid w:val="00707F63"/>
    <w:rsid w:val="00792DD1"/>
    <w:rsid w:val="00797D43"/>
    <w:rsid w:val="007F56D6"/>
    <w:rsid w:val="00807128"/>
    <w:rsid w:val="00851F58"/>
    <w:rsid w:val="0085273F"/>
    <w:rsid w:val="00881B04"/>
    <w:rsid w:val="008B48A0"/>
    <w:rsid w:val="00915C9A"/>
    <w:rsid w:val="00997399"/>
    <w:rsid w:val="009C0AD6"/>
    <w:rsid w:val="00A314C1"/>
    <w:rsid w:val="00A64248"/>
    <w:rsid w:val="00A74052"/>
    <w:rsid w:val="00AA4182"/>
    <w:rsid w:val="00B60E74"/>
    <w:rsid w:val="00BC26A4"/>
    <w:rsid w:val="00C4137B"/>
    <w:rsid w:val="00C54ECA"/>
    <w:rsid w:val="00C83537"/>
    <w:rsid w:val="00CC4AD4"/>
    <w:rsid w:val="00CF11B0"/>
    <w:rsid w:val="00D2711C"/>
    <w:rsid w:val="00D335A9"/>
    <w:rsid w:val="00D50AC1"/>
    <w:rsid w:val="00EE2134"/>
    <w:rsid w:val="00F131CA"/>
    <w:rsid w:val="00F30914"/>
    <w:rsid w:val="00F609D4"/>
    <w:rsid w:val="00F70CBA"/>
    <w:rsid w:val="00FA2BFF"/>
    <w:rsid w:val="00FB4E64"/>
    <w:rsid w:val="01956809"/>
    <w:rsid w:val="0664587B"/>
    <w:rsid w:val="09FF39B4"/>
    <w:rsid w:val="0B821CB6"/>
    <w:rsid w:val="0F3B500C"/>
    <w:rsid w:val="10157CA5"/>
    <w:rsid w:val="11411182"/>
    <w:rsid w:val="13FA6E94"/>
    <w:rsid w:val="14B81A97"/>
    <w:rsid w:val="1D3216D7"/>
    <w:rsid w:val="219E41B4"/>
    <w:rsid w:val="255E033E"/>
    <w:rsid w:val="27272230"/>
    <w:rsid w:val="27390172"/>
    <w:rsid w:val="2CCE2491"/>
    <w:rsid w:val="2F081AB6"/>
    <w:rsid w:val="337A54E2"/>
    <w:rsid w:val="3D734EFC"/>
    <w:rsid w:val="401A2F36"/>
    <w:rsid w:val="408F5EDF"/>
    <w:rsid w:val="44064590"/>
    <w:rsid w:val="457D21A1"/>
    <w:rsid w:val="49D83A19"/>
    <w:rsid w:val="4A187DA8"/>
    <w:rsid w:val="4AB165D4"/>
    <w:rsid w:val="4FCC39E6"/>
    <w:rsid w:val="507C1CF5"/>
    <w:rsid w:val="57193076"/>
    <w:rsid w:val="5C0D412B"/>
    <w:rsid w:val="5EF27DB1"/>
    <w:rsid w:val="61773BFF"/>
    <w:rsid w:val="621B3808"/>
    <w:rsid w:val="67E4782B"/>
    <w:rsid w:val="6A4B2223"/>
    <w:rsid w:val="6A5F0092"/>
    <w:rsid w:val="6FC62DF1"/>
    <w:rsid w:val="746766E2"/>
    <w:rsid w:val="74EA7B66"/>
    <w:rsid w:val="78186405"/>
    <w:rsid w:val="784C1E5B"/>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customStyle="1" w:styleId="11">
    <w:name w:val="Heading 5 Char"/>
    <w:basedOn w:val="9"/>
    <w:link w:val="2"/>
    <w:semiHidden/>
    <w:qFormat/>
    <w:locked/>
    <w:uiPriority w:val="99"/>
    <w:rPr>
      <w:rFonts w:ascii="Calibri" w:hAnsi="Calibri" w:cs="Times New Roman"/>
      <w:b/>
      <w:bCs/>
      <w:sz w:val="28"/>
      <w:szCs w:val="28"/>
    </w:rPr>
  </w:style>
  <w:style w:type="character" w:customStyle="1" w:styleId="12">
    <w:name w:val="Body Text Indent Char"/>
    <w:basedOn w:val="9"/>
    <w:link w:val="3"/>
    <w:semiHidden/>
    <w:locked/>
    <w:uiPriority w:val="99"/>
    <w:rPr>
      <w:rFonts w:ascii="Calibri" w:hAnsi="Calibri" w:cs="Times New Roman"/>
      <w:sz w:val="24"/>
      <w:szCs w:val="24"/>
    </w:rPr>
  </w:style>
  <w:style w:type="character" w:customStyle="1" w:styleId="13">
    <w:name w:val="Plain Text Char"/>
    <w:basedOn w:val="9"/>
    <w:link w:val="4"/>
    <w:semiHidden/>
    <w:qFormat/>
    <w:locked/>
    <w:uiPriority w:val="99"/>
    <w:rPr>
      <w:rFonts w:ascii="宋体" w:hAnsi="Courier New" w:cs="Courier New"/>
      <w:sz w:val="21"/>
      <w:szCs w:val="21"/>
    </w:rPr>
  </w:style>
  <w:style w:type="character" w:customStyle="1" w:styleId="14">
    <w:name w:val="Footer Char"/>
    <w:basedOn w:val="9"/>
    <w:link w:val="5"/>
    <w:semiHidden/>
    <w:qFormat/>
    <w:locked/>
    <w:uiPriority w:val="99"/>
    <w:rPr>
      <w:rFonts w:ascii="Calibri" w:hAnsi="Calibri" w:cs="Times New Roman"/>
      <w:sz w:val="18"/>
      <w:szCs w:val="18"/>
    </w:rPr>
  </w:style>
  <w:style w:type="character" w:customStyle="1" w:styleId="15">
    <w:name w:val="Header Char"/>
    <w:basedOn w:val="9"/>
    <w:link w:val="6"/>
    <w:semiHidden/>
    <w:qFormat/>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9"/>
    <w:qFormat/>
    <w:uiPriority w:val="99"/>
    <w:rPr>
      <w:rFonts w:cs="Times New Roman"/>
    </w:rPr>
  </w:style>
  <w:style w:type="paragraph" w:customStyle="1" w:styleId="18">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9"/>
    <w:qFormat/>
    <w:uiPriority w:val="99"/>
    <w:rPr>
      <w:rFonts w:cs="Times New Roman"/>
    </w:rPr>
  </w:style>
  <w:style w:type="character" w:customStyle="1" w:styleId="20">
    <w:name w:val="apple-converted-space"/>
    <w:basedOn w:val="9"/>
    <w:qFormat/>
    <w:uiPriority w:val="99"/>
    <w:rPr>
      <w:rFonts w:cs="Times New Roman"/>
    </w:rPr>
  </w:style>
  <w:style w:type="paragraph" w:customStyle="1" w:styleId="21">
    <w:name w:val="pa-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367</Words>
  <Characters>2096</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2021-09-15T02:01:51Z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65231C966D4E407B95BDBCDF81108B19</vt:lpwstr>
  </property>
</Properties>
</file>