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政法委</w:t>
      </w:r>
      <w:r>
        <w:rPr>
          <w:rFonts w:ascii="微软雅黑" w:hAnsi="微软雅黑" w:eastAsia="微软雅黑" w:cs="微软雅黑"/>
          <w:color w:val="BC1010"/>
          <w:sz w:val="40"/>
          <w:szCs w:val="40"/>
          <w:shd w:val="clear" w:color="auto" w:fill="FFFFFF"/>
        </w:rPr>
        <w:t>2021</w:t>
      </w:r>
      <w:r>
        <w:rPr>
          <w:rFonts w:hint="eastAsia" w:ascii="微软雅黑" w:hAnsi="微软雅黑" w:eastAsia="微软雅黑" w:cs="微软雅黑"/>
          <w:color w:val="BC1010"/>
          <w:sz w:val="40"/>
          <w:szCs w:val="40"/>
          <w:shd w:val="clear" w:color="auto" w:fill="FFFFFF"/>
        </w:rPr>
        <w:t>年决算公开</w:t>
      </w:r>
    </w:p>
    <w:p>
      <w:pPr>
        <w:pStyle w:val="7"/>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rPr>
        <w:t>黄石港区政法委</w:t>
      </w:r>
      <w:r>
        <w:rPr>
          <w:rStyle w:val="10"/>
          <w:rFonts w:ascii="微软雅黑" w:hAnsi="微软雅黑" w:eastAsia="微软雅黑" w:cs="微软雅黑"/>
          <w:color w:val="333333"/>
          <w:shd w:val="clear" w:color="auto" w:fill="FFFFFF"/>
        </w:rPr>
        <w:t>2021</w:t>
      </w:r>
      <w:r>
        <w:rPr>
          <w:rStyle w:val="10"/>
          <w:rFonts w:hint="eastAsia" w:ascii="微软雅黑" w:hAnsi="微软雅黑" w:eastAsia="微软雅黑" w:cs="微软雅黑"/>
          <w:color w:val="333333"/>
          <w:shd w:val="clear" w:color="auto" w:fill="FFFFFF"/>
        </w:rPr>
        <w:t>年决算公开</w:t>
      </w:r>
    </w:p>
    <w:p>
      <w:pPr>
        <w:pStyle w:val="7"/>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录</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w:t>
      </w:r>
      <w:r>
        <w:rPr>
          <w:rFonts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rPr>
        <w:t>部门基本情况</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部门</w:t>
      </w:r>
      <w:r>
        <w:rPr>
          <w:rFonts w:ascii="微软雅黑" w:hAnsi="微软雅黑" w:eastAsia="微软雅黑" w:cs="微软雅黑"/>
          <w:color w:val="333333"/>
          <w:shd w:val="clear" w:color="auto" w:fill="FFFFFF"/>
        </w:rPr>
        <w:t>2021</w:t>
      </w:r>
      <w:r>
        <w:rPr>
          <w:rFonts w:hint="eastAsia" w:ascii="微软雅黑" w:hAnsi="微软雅黑" w:eastAsia="微软雅黑" w:cs="微软雅黑"/>
          <w:color w:val="333333"/>
          <w:shd w:val="clear" w:color="auto" w:fill="FFFFFF"/>
        </w:rPr>
        <w:t>年部门决算表</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七、一般公共预算财政拨款“三公”经费支出决算表（表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八、政府性基金预算财政拨款收入支出决算表（表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360" w:firstLineChars="150"/>
        <w:rPr>
          <w:color w:val="333333"/>
        </w:rPr>
      </w:pPr>
      <w:r>
        <w:rPr>
          <w:rFonts w:hint="eastAsia" w:ascii="微软雅黑" w:hAnsi="微软雅黑" w:eastAsia="微软雅黑" w:cs="微软雅黑"/>
          <w:color w:val="333333"/>
          <w:shd w:val="clear" w:color="auto" w:fill="FFFFFF"/>
        </w:rPr>
        <w:t>九、国有资本经营预算财政拨款支出决算表（表</w:t>
      </w:r>
      <w:r>
        <w:rPr>
          <w:rFonts w:ascii="微软雅黑" w:hAnsi="微软雅黑" w:eastAsia="微软雅黑" w:cs="微软雅黑"/>
          <w:color w:val="333333"/>
          <w:shd w:val="clear" w:color="auto" w:fill="FFFFFF"/>
        </w:rPr>
        <w:t>9</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360" w:firstLineChars="150"/>
        <w:rPr>
          <w:color w:val="333333"/>
        </w:rPr>
      </w:pPr>
      <w:r>
        <w:rPr>
          <w:rFonts w:hint="eastAsia" w:ascii="微软雅黑" w:hAnsi="微软雅黑" w:eastAsia="微软雅黑" w:cs="微软雅黑"/>
          <w:color w:val="333333"/>
          <w:shd w:val="clear" w:color="auto" w:fill="FFFFFF"/>
        </w:rPr>
        <w:t>第三部分：部门</w:t>
      </w:r>
      <w:r>
        <w:rPr>
          <w:rFonts w:ascii="微软雅黑" w:hAnsi="微软雅黑" w:eastAsia="微软雅黑" w:cs="微软雅黑"/>
          <w:color w:val="333333"/>
          <w:shd w:val="clear" w:color="auto" w:fill="FFFFFF"/>
        </w:rPr>
        <w:t>2021</w:t>
      </w:r>
      <w:r>
        <w:rPr>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六、重点绩效评价结果等预算绩效情况说明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七、决算收支增减变化情况</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240" w:firstLineChars="100"/>
        <w:rPr>
          <w:color w:val="333333"/>
        </w:rPr>
      </w:pPr>
      <w:r>
        <w:rPr>
          <w:rFonts w:hint="eastAsia" w:ascii="微软雅黑" w:hAnsi="微软雅黑" w:eastAsia="微软雅黑" w:cs="微软雅黑"/>
          <w:color w:val="333333"/>
          <w:shd w:val="clear" w:color="auto" w:fill="FFFFFF"/>
        </w:rPr>
        <w:t>第四部分：名词解释</w:t>
      </w:r>
      <w:r>
        <w:rPr>
          <w:rFonts w:ascii="微软雅黑" w:hAnsi="微软雅黑" w:eastAsia="微软雅黑" w:cs="微软雅黑"/>
          <w:color w:val="333333"/>
          <w:shd w:val="clear" w:color="auto" w:fill="FFFFFF"/>
        </w:rPr>
        <w:t> </w:t>
      </w:r>
    </w:p>
    <w:p>
      <w:pPr>
        <w:pStyle w:val="7"/>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color w:val="333333"/>
        </w:rPr>
      </w:pPr>
      <w:r>
        <w:rPr>
          <w:rStyle w:val="10"/>
          <w:rFonts w:ascii="微软雅黑" w:hAnsi="微软雅黑" w:eastAsia="微软雅黑" w:cs="微软雅黑"/>
          <w:color w:val="333333"/>
          <w:shd w:val="clear" w:color="auto" w:fill="FFFFFF"/>
        </w:rPr>
        <w:t>2021</w:t>
      </w:r>
      <w:r>
        <w:rPr>
          <w:rStyle w:val="10"/>
          <w:rFonts w:hint="eastAsia" w:ascii="微软雅黑" w:hAnsi="微软雅黑" w:eastAsia="微软雅黑" w:cs="微软雅黑"/>
          <w:color w:val="333333"/>
          <w:shd w:val="clear" w:color="auto" w:fill="FFFFFF"/>
        </w:rPr>
        <w:t>年部门决算</w:t>
      </w:r>
    </w:p>
    <w:p>
      <w:pPr>
        <w:pStyle w:val="7"/>
        <w:widowControl/>
        <w:spacing w:before="76" w:beforeAutospacing="0" w:after="76" w:afterAutospacing="0" w:line="450" w:lineRule="atLeast"/>
        <w:ind w:firstLine="420"/>
        <w:rPr>
          <w:color w:val="333333"/>
        </w:rPr>
      </w:pPr>
      <w:r>
        <w:rPr>
          <w:rStyle w:val="10"/>
          <w:rFonts w:hint="eastAsia" w:ascii="微软雅黑" w:hAnsi="微软雅黑" w:eastAsia="微软雅黑" w:cs="微软雅黑"/>
          <w:color w:val="333333"/>
          <w:shd w:val="clear" w:color="auto" w:fill="FFFFFF"/>
        </w:rPr>
        <w:t>第一部分</w:t>
      </w:r>
      <w:r>
        <w:rPr>
          <w:rStyle w:val="10"/>
          <w:rFonts w:ascii="微软雅黑" w:hAnsi="微软雅黑" w:eastAsia="微软雅黑" w:cs="微软雅黑"/>
          <w:color w:val="333333"/>
          <w:shd w:val="clear" w:color="auto" w:fill="FFFFFF"/>
        </w:rPr>
        <w:t xml:space="preserve"> </w:t>
      </w:r>
      <w:r>
        <w:rPr>
          <w:rStyle w:val="10"/>
          <w:rFonts w:hint="eastAsia" w:ascii="微软雅黑" w:hAnsi="微软雅黑" w:eastAsia="微软雅黑" w:cs="微软雅黑"/>
          <w:color w:val="333333"/>
          <w:shd w:val="clear" w:color="auto" w:fill="FFFFFF"/>
        </w:rPr>
        <w:t>部门概况</w:t>
      </w:r>
    </w:p>
    <w:p>
      <w:pPr>
        <w:widowControl/>
        <w:shd w:val="clear" w:color="auto" w:fill="FFFFFF"/>
        <w:snapToGrid w:val="0"/>
        <w:spacing w:line="560" w:lineRule="atLeast"/>
        <w:ind w:firstLine="562"/>
        <w:jc w:val="left"/>
        <w:rPr>
          <w:rFonts w:ascii="宋体" w:cs="宋体"/>
          <w:b/>
          <w:bCs/>
          <w:color w:val="333333"/>
          <w:kern w:val="0"/>
          <w:sz w:val="28"/>
          <w:szCs w:val="28"/>
        </w:rPr>
      </w:pPr>
      <w:r>
        <w:rPr>
          <w:rFonts w:hint="eastAsia" w:ascii="宋体" w:hAnsi="宋体" w:cs="宋体"/>
          <w:color w:val="333333"/>
          <w:kern w:val="0"/>
          <w:sz w:val="28"/>
          <w:szCs w:val="28"/>
        </w:rPr>
        <w:t>　</w:t>
      </w:r>
      <w:r>
        <w:rPr>
          <w:rFonts w:hint="eastAsia" w:ascii="宋体" w:hAnsi="宋体" w:cs="宋体"/>
          <w:b/>
          <w:bCs/>
          <w:color w:val="333333"/>
          <w:kern w:val="0"/>
          <w:sz w:val="28"/>
          <w:szCs w:val="28"/>
        </w:rPr>
        <w:t>（</w:t>
      </w:r>
      <w:r>
        <w:rPr>
          <w:rFonts w:hint="eastAsia" w:ascii="宋体" w:hAnsi="宋体" w:cs="宋体"/>
          <w:b/>
          <w:bCs/>
          <w:sz w:val="28"/>
          <w:szCs w:val="28"/>
        </w:rPr>
        <w:t>一）主要职责</w:t>
      </w:r>
    </w:p>
    <w:p>
      <w:pPr>
        <w:wordWrap w:val="0"/>
        <w:spacing w:line="600" w:lineRule="atLeast"/>
        <w:ind w:firstLine="420" w:firstLineChars="150"/>
        <w:rPr>
          <w:rFonts w:ascii="宋体" w:cs="宋体"/>
          <w:color w:val="333333"/>
          <w:kern w:val="0"/>
          <w:sz w:val="28"/>
          <w:szCs w:val="28"/>
        </w:rPr>
      </w:pPr>
      <w:r>
        <w:rPr>
          <w:rFonts w:ascii="宋体" w:hAnsi="宋体" w:cs="宋体"/>
          <w:kern w:val="0"/>
          <w:sz w:val="28"/>
          <w:szCs w:val="28"/>
          <w:lang w:val="zh-CN"/>
        </w:rPr>
        <w:t xml:space="preserve"> </w:t>
      </w:r>
      <w:r>
        <w:rPr>
          <w:rFonts w:hint="eastAsia" w:ascii="宋体" w:hAnsi="宋体" w:cs="宋体"/>
          <w:color w:val="333333"/>
          <w:kern w:val="0"/>
          <w:sz w:val="28"/>
          <w:szCs w:val="28"/>
        </w:rPr>
        <w:t>根据国家法律、党的路线方针政策和区委的决策部署，统一全区政法部门的思想和行动，协助区委对政法工作做出全局性部署，并督促贯彻落实；研究制定贯彻区委关于政法工作的方针、政策、指示和维护社会政治稳定的措施，及时向区委提出意见和建议；组织、协调、指导维护社会稳定工作，推动社会治安综合治理各项措施的落实；检查监督政法部门执法情况，研究协调有争议的重大、疑难案件，指导推动大案要案查处工作；不断推进司法体制和工作机制改革，完善司法制度；完成区委交办的其他事项。</w:t>
      </w:r>
    </w:p>
    <w:p>
      <w:pPr>
        <w:numPr>
          <w:ilvl w:val="0"/>
          <w:numId w:val="1"/>
        </w:numPr>
        <w:spacing w:line="620" w:lineRule="exact"/>
        <w:ind w:firstLine="422" w:firstLineChars="150"/>
        <w:rPr>
          <w:rFonts w:ascii="宋体" w:cs="宋体"/>
          <w:b/>
          <w:bCs/>
          <w:kern w:val="0"/>
          <w:sz w:val="28"/>
          <w:szCs w:val="28"/>
        </w:rPr>
      </w:pPr>
      <w:r>
        <w:rPr>
          <w:rFonts w:hint="eastAsia" w:ascii="宋体" w:hAnsi="宋体" w:cs="宋体"/>
          <w:b/>
          <w:bCs/>
          <w:sz w:val="28"/>
          <w:szCs w:val="28"/>
        </w:rPr>
        <w:t>机构设置</w:t>
      </w:r>
    </w:p>
    <w:p>
      <w:pPr>
        <w:spacing w:line="620" w:lineRule="exact"/>
        <w:ind w:firstLine="560" w:firstLineChars="200"/>
        <w:rPr>
          <w:rFonts w:ascii="宋体" w:cs="宋体"/>
          <w:color w:val="333333"/>
          <w:sz w:val="28"/>
          <w:szCs w:val="28"/>
        </w:rPr>
      </w:pPr>
      <w:r>
        <w:rPr>
          <w:rFonts w:hint="eastAsia" w:ascii="宋体" w:hAnsi="宋体" w:cs="宋体"/>
          <w:color w:val="333333"/>
          <w:sz w:val="28"/>
          <w:szCs w:val="28"/>
        </w:rPr>
        <w:t>综治办、维稳办、</w:t>
      </w:r>
      <w:r>
        <w:rPr>
          <w:rFonts w:ascii="宋体" w:hAnsi="宋体" w:cs="宋体"/>
          <w:color w:val="333333"/>
          <w:sz w:val="28"/>
          <w:szCs w:val="28"/>
        </w:rPr>
        <w:t>610</w:t>
      </w:r>
      <w:r>
        <w:rPr>
          <w:rFonts w:hint="eastAsia" w:ascii="宋体" w:hAnsi="宋体" w:cs="宋体"/>
          <w:color w:val="333333"/>
          <w:sz w:val="28"/>
          <w:szCs w:val="28"/>
        </w:rPr>
        <w:t>办公室、法治办</w:t>
      </w:r>
    </w:p>
    <w:p>
      <w:pPr>
        <w:spacing w:line="620" w:lineRule="exact"/>
        <w:ind w:firstLine="562" w:firstLineChars="200"/>
        <w:rPr>
          <w:rFonts w:ascii="宋体" w:cs="宋体"/>
          <w:b/>
          <w:bCs/>
          <w:color w:val="333333"/>
          <w:sz w:val="28"/>
          <w:szCs w:val="28"/>
        </w:rPr>
      </w:pPr>
      <w:r>
        <w:rPr>
          <w:rFonts w:hint="eastAsia" w:ascii="宋体" w:hAnsi="宋体" w:cs="宋体"/>
          <w:b/>
          <w:bCs/>
          <w:color w:val="333333"/>
          <w:sz w:val="28"/>
          <w:szCs w:val="28"/>
        </w:rPr>
        <w:t>（三）人员情况</w:t>
      </w:r>
    </w:p>
    <w:p>
      <w:pPr>
        <w:wordWrap w:val="0"/>
        <w:spacing w:line="600" w:lineRule="atLeast"/>
        <w:ind w:firstLine="420" w:firstLineChars="150"/>
        <w:rPr>
          <w:rFonts w:ascii="宋体" w:cs="宋体"/>
          <w:color w:val="333333"/>
          <w:kern w:val="0"/>
          <w:sz w:val="28"/>
          <w:szCs w:val="28"/>
        </w:rPr>
      </w:pPr>
      <w:r>
        <w:rPr>
          <w:rFonts w:hint="eastAsia" w:ascii="宋体" w:hAnsi="宋体" w:cs="宋体"/>
          <w:color w:val="333333"/>
          <w:kern w:val="0"/>
          <w:sz w:val="28"/>
          <w:szCs w:val="28"/>
        </w:rPr>
        <w:t>共计</w:t>
      </w:r>
      <w:r>
        <w:rPr>
          <w:rFonts w:ascii="宋体" w:hAnsi="宋体" w:cs="宋体"/>
          <w:color w:val="333333"/>
          <w:kern w:val="0"/>
          <w:sz w:val="28"/>
          <w:szCs w:val="28"/>
        </w:rPr>
        <w:t>16</w:t>
      </w:r>
      <w:r>
        <w:rPr>
          <w:rFonts w:hint="eastAsia" w:ascii="宋体" w:hAnsi="宋体" w:cs="宋体"/>
          <w:color w:val="333333"/>
          <w:kern w:val="0"/>
          <w:sz w:val="28"/>
          <w:szCs w:val="28"/>
        </w:rPr>
        <w:t>人，其中行政编制</w:t>
      </w:r>
      <w:r>
        <w:rPr>
          <w:rFonts w:ascii="宋体" w:hAnsi="宋体" w:cs="宋体"/>
          <w:color w:val="333333"/>
          <w:kern w:val="0"/>
          <w:sz w:val="28"/>
          <w:szCs w:val="28"/>
        </w:rPr>
        <w:t>6</w:t>
      </w:r>
      <w:r>
        <w:rPr>
          <w:rFonts w:hint="eastAsia" w:ascii="宋体" w:hAnsi="宋体" w:cs="宋体"/>
          <w:color w:val="333333"/>
          <w:kern w:val="0"/>
          <w:sz w:val="28"/>
          <w:szCs w:val="28"/>
        </w:rPr>
        <w:t>人，事业编制</w:t>
      </w:r>
      <w:r>
        <w:rPr>
          <w:rFonts w:ascii="宋体" w:hAnsi="宋体" w:cs="宋体"/>
          <w:color w:val="333333"/>
          <w:kern w:val="0"/>
          <w:sz w:val="28"/>
          <w:szCs w:val="28"/>
        </w:rPr>
        <w:t>6</w:t>
      </w:r>
      <w:r>
        <w:rPr>
          <w:rFonts w:hint="eastAsia" w:ascii="宋体" w:hAnsi="宋体" w:cs="宋体"/>
          <w:color w:val="333333"/>
          <w:kern w:val="0"/>
          <w:sz w:val="28"/>
          <w:szCs w:val="28"/>
        </w:rPr>
        <w:t>人，聘用人员</w:t>
      </w:r>
      <w:r>
        <w:rPr>
          <w:rFonts w:ascii="宋体" w:hAnsi="宋体" w:cs="宋体"/>
          <w:color w:val="333333"/>
          <w:kern w:val="0"/>
          <w:sz w:val="28"/>
          <w:szCs w:val="28"/>
        </w:rPr>
        <w:t>4</w:t>
      </w:r>
      <w:r>
        <w:rPr>
          <w:rFonts w:hint="eastAsia" w:ascii="宋体" w:hAnsi="宋体" w:cs="宋体"/>
          <w:color w:val="333333"/>
          <w:kern w:val="0"/>
          <w:sz w:val="28"/>
          <w:szCs w:val="28"/>
        </w:rPr>
        <w:t>人。</w:t>
      </w:r>
    </w:p>
    <w:p>
      <w:pPr>
        <w:wordWrap w:val="0"/>
        <w:spacing w:line="600" w:lineRule="atLeast"/>
        <w:ind w:firstLine="420" w:firstLineChars="150"/>
        <w:rPr>
          <w:rFonts w:ascii="宋体" w:cs="宋体"/>
          <w:color w:val="333333"/>
          <w:kern w:val="0"/>
          <w:sz w:val="28"/>
          <w:szCs w:val="28"/>
        </w:rPr>
      </w:pPr>
    </w:p>
    <w:p>
      <w:pPr>
        <w:pStyle w:val="7"/>
        <w:widowControl/>
        <w:spacing w:before="76" w:beforeAutospacing="0" w:after="76" w:afterAutospacing="0" w:line="450" w:lineRule="atLeast"/>
        <w:ind w:firstLine="420"/>
        <w:rPr>
          <w:color w:val="333333"/>
        </w:rPr>
      </w:pPr>
      <w:r>
        <w:rPr>
          <w:rStyle w:val="10"/>
          <w:rFonts w:hint="eastAsia" w:ascii="微软雅黑" w:hAnsi="微软雅黑" w:eastAsia="微软雅黑" w:cs="微软雅黑"/>
          <w:color w:val="333333"/>
          <w:shd w:val="clear" w:color="auto" w:fill="FFFFFF"/>
        </w:rPr>
        <w:t>第二部分</w:t>
      </w:r>
      <w:r>
        <w:rPr>
          <w:rStyle w:val="10"/>
          <w:rFonts w:ascii="微软雅黑" w:hAnsi="微软雅黑" w:eastAsia="微软雅黑" w:cs="微软雅黑"/>
          <w:color w:val="333333"/>
          <w:shd w:val="clear" w:color="auto" w:fill="FFFFFF"/>
        </w:rPr>
        <w:t xml:space="preserve"> 2021</w:t>
      </w:r>
      <w:r>
        <w:rPr>
          <w:rStyle w:val="10"/>
          <w:rFonts w:hint="eastAsia" w:ascii="微软雅黑" w:hAnsi="微软雅黑" w:eastAsia="微软雅黑" w:cs="微软雅黑"/>
          <w:color w:val="333333"/>
          <w:shd w:val="clear" w:color="auto" w:fill="FFFFFF"/>
        </w:rPr>
        <w:t>年部门决算表</w:t>
      </w:r>
    </w:p>
    <w:p>
      <w:pPr>
        <w:pStyle w:val="7"/>
        <w:widowControl/>
        <w:spacing w:before="76" w:beforeAutospacing="0" w:after="76" w:afterAutospacing="0" w:line="450" w:lineRule="atLeast"/>
        <w:rPr>
          <w:color w:val="333333"/>
        </w:rPr>
      </w:pPr>
      <w:r>
        <w:rPr>
          <w:color w:val="333333"/>
        </w:rPr>
        <w:pict>
          <v:shape id="_x0000_i1025" o:spt="75" type="#_x0000_t75" style="height:326.25pt;width:588pt;" filled="f" o:preferrelative="t" stroked="f" coordsize="21600,21600">
            <v:path/>
            <v:fill on="f" focussize="0,0"/>
            <v:stroke on="f" joinstyle="miter"/>
            <v:imagedata r:id="rId10" o:title=""/>
            <o:lock v:ext="edit" aspectratio="t"/>
            <w10:wrap type="none"/>
            <w10:anchorlock/>
          </v:shape>
        </w:pict>
      </w: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r>
        <w:rPr>
          <w:color w:val="333333"/>
        </w:rPr>
        <w:pict>
          <v:shape id="_x0000_i1026" o:spt="75" type="#_x0000_t75" style="height:250.5pt;width:693.75pt;" filled="f" o:preferrelative="t" stroked="f" coordsize="21600,21600">
            <v:path/>
            <v:fill on="f" focussize="0,0"/>
            <v:stroke on="f" joinstyle="miter"/>
            <v:imagedata r:id="rId11" o:title=""/>
            <o:lock v:ext="edit" aspectratio="t"/>
            <w10:wrap type="none"/>
            <w10:anchorlock/>
          </v:shape>
        </w:pict>
      </w: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r>
        <w:rPr>
          <w:color w:val="333333"/>
        </w:rPr>
        <w:pict>
          <v:shape id="_x0000_i1027" o:spt="75" type="#_x0000_t75" style="height:279pt;width:693pt;" filled="f" o:preferrelative="t" stroked="f" coordsize="21600,21600">
            <v:path/>
            <v:fill on="f" focussize="0,0"/>
            <v:stroke on="f" joinstyle="miter"/>
            <v:imagedata r:id="rId12" o:title=""/>
            <o:lock v:ext="edit" aspectratio="t"/>
            <w10:wrap type="none"/>
            <w10:anchorlock/>
          </v:shape>
        </w:pict>
      </w: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r>
        <w:rPr>
          <w:color w:val="333333"/>
        </w:rPr>
        <w:pict>
          <v:shape id="_x0000_i1028" o:spt="75" type="#_x0000_t75" style="height:414pt;width:642.75pt;" filled="f" o:preferrelative="t" stroked="f" coordsize="21600,21600">
            <v:path/>
            <v:fill on="f" focussize="0,0"/>
            <v:stroke on="f" joinstyle="miter"/>
            <v:imagedata r:id="rId13" o:title=""/>
            <o:lock v:ext="edit" aspectratio="t"/>
            <w10:wrap type="none"/>
            <w10:anchorlock/>
          </v:shape>
        </w:pict>
      </w:r>
    </w:p>
    <w:p>
      <w:pPr>
        <w:pStyle w:val="7"/>
        <w:widowControl/>
        <w:spacing w:before="76" w:beforeAutospacing="0" w:after="76" w:afterAutospacing="0" w:line="450" w:lineRule="atLeast"/>
        <w:ind w:firstLine="480" w:firstLineChars="200"/>
        <w:rPr>
          <w:rStyle w:val="10"/>
          <w:rFonts w:ascii="微软雅黑" w:hAnsi="微软雅黑" w:eastAsia="微软雅黑" w:cs="微软雅黑"/>
          <w:color w:val="333333"/>
          <w:shd w:val="clear" w:color="auto" w:fill="FFFFFF"/>
        </w:rPr>
      </w:pPr>
      <w:r>
        <w:rPr>
          <w:rStyle w:val="10"/>
          <w:rFonts w:ascii="微软雅黑" w:hAnsi="微软雅黑" w:eastAsia="微软雅黑" w:cs="微软雅黑"/>
          <w:color w:val="333333"/>
          <w:shd w:val="clear" w:color="auto" w:fill="FFFFFF"/>
        </w:rPr>
        <w:pict>
          <v:shape id="_x0000_i1029" o:spt="75" type="#_x0000_t75" style="height:313.5pt;width:695.25pt;" filled="f" o:preferrelative="t" stroked="f" coordsize="21600,21600">
            <v:path/>
            <v:fill on="f" focussize="0,0"/>
            <v:stroke on="f" joinstyle="miter"/>
            <v:imagedata r:id="rId14" o:title=""/>
            <o:lock v:ext="edit" aspectratio="t"/>
            <w10:wrap type="none"/>
            <w10:anchorlock/>
          </v:shape>
        </w:pict>
      </w:r>
    </w:p>
    <w:p>
      <w:pPr>
        <w:pStyle w:val="7"/>
        <w:widowControl/>
        <w:spacing w:before="76" w:beforeAutospacing="0" w:after="76" w:afterAutospacing="0" w:line="450" w:lineRule="atLeast"/>
        <w:ind w:firstLine="480" w:firstLineChars="200"/>
        <w:rPr>
          <w:rStyle w:val="10"/>
          <w:rFonts w:ascii="微软雅黑" w:hAnsi="微软雅黑" w:eastAsia="微软雅黑" w:cs="微软雅黑"/>
          <w:color w:val="333333"/>
          <w:shd w:val="clear" w:color="auto" w:fill="FFFFFF"/>
        </w:rPr>
      </w:pPr>
      <w:r>
        <w:rPr>
          <w:rStyle w:val="10"/>
          <w:rFonts w:ascii="微软雅黑" w:hAnsi="微软雅黑" w:eastAsia="微软雅黑" w:cs="微软雅黑"/>
          <w:color w:val="333333"/>
          <w:shd w:val="clear" w:color="auto" w:fill="FFFFFF"/>
        </w:rPr>
        <w:pict>
          <v:shape id="_x0000_i1030" o:spt="75" type="#_x0000_t75" style="height:403.5pt;width:694.5pt;" filled="f" o:preferrelative="t" stroked="f" coordsize="21600,21600">
            <v:path/>
            <v:fill on="f" focussize="0,0"/>
            <v:stroke on="f" joinstyle="miter"/>
            <v:imagedata r:id="rId15" o:title=""/>
            <o:lock v:ext="edit" aspectratio="t"/>
            <w10:wrap type="none"/>
            <w10:anchorlock/>
          </v:shape>
        </w:pict>
      </w:r>
    </w:p>
    <w:p>
      <w:pPr>
        <w:pStyle w:val="7"/>
        <w:widowControl/>
        <w:spacing w:before="76" w:beforeAutospacing="0" w:after="76" w:afterAutospacing="0" w:line="450" w:lineRule="atLeast"/>
        <w:ind w:firstLine="480" w:firstLineChars="200"/>
        <w:rPr>
          <w:rStyle w:val="10"/>
          <w:rFonts w:ascii="微软雅黑" w:hAnsi="微软雅黑" w:eastAsia="微软雅黑" w:cs="微软雅黑"/>
          <w:color w:val="333333"/>
          <w:shd w:val="clear" w:color="auto" w:fill="FFFFFF"/>
        </w:rPr>
      </w:pPr>
      <w:r>
        <w:rPr>
          <w:rStyle w:val="10"/>
          <w:rFonts w:ascii="微软雅黑" w:hAnsi="微软雅黑" w:eastAsia="微软雅黑" w:cs="微软雅黑"/>
          <w:color w:val="333333"/>
          <w:shd w:val="clear" w:color="auto" w:fill="FFFFFF"/>
        </w:rPr>
        <w:pict>
          <v:shape id="_x0000_i1031" o:spt="75" type="#_x0000_t75" style="height:138pt;width:696pt;" filled="f" o:preferrelative="t" stroked="f" coordsize="21600,21600">
            <v:path/>
            <v:fill on="f" focussize="0,0"/>
            <v:stroke on="f" joinstyle="miter"/>
            <v:imagedata r:id="rId16" o:title=""/>
            <o:lock v:ext="edit" aspectratio="t"/>
            <w10:wrap type="none"/>
            <w10:anchorlock/>
          </v:shape>
        </w:pict>
      </w:r>
    </w:p>
    <w:p>
      <w:pPr>
        <w:pStyle w:val="7"/>
        <w:widowControl/>
        <w:spacing w:before="76" w:beforeAutospacing="0" w:after="76" w:afterAutospacing="0" w:line="450" w:lineRule="atLeast"/>
        <w:ind w:firstLine="480" w:firstLineChars="200"/>
        <w:rPr>
          <w:rStyle w:val="10"/>
          <w:rFonts w:ascii="微软雅黑" w:hAnsi="微软雅黑" w:eastAsia="微软雅黑" w:cs="微软雅黑"/>
          <w:color w:val="333333"/>
          <w:shd w:val="clear" w:color="auto" w:fill="FFFFFF"/>
        </w:rPr>
      </w:pPr>
    </w:p>
    <w:tbl>
      <w:tblPr>
        <w:tblStyle w:val="8"/>
        <w:tblW w:w="13820" w:type="dxa"/>
        <w:tblInd w:w="93" w:type="dxa"/>
        <w:tblLayout w:type="autofit"/>
        <w:tblCellMar>
          <w:top w:w="0" w:type="dxa"/>
          <w:left w:w="108" w:type="dxa"/>
          <w:bottom w:w="0" w:type="dxa"/>
          <w:right w:w="108" w:type="dxa"/>
        </w:tblCellMar>
      </w:tblPr>
      <w:tblGrid>
        <w:gridCol w:w="3949"/>
        <w:gridCol w:w="285"/>
        <w:gridCol w:w="285"/>
        <w:gridCol w:w="1304"/>
        <w:gridCol w:w="1945"/>
        <w:gridCol w:w="859"/>
        <w:gridCol w:w="678"/>
        <w:gridCol w:w="859"/>
        <w:gridCol w:w="859"/>
        <w:gridCol w:w="2797"/>
      </w:tblGrid>
      <w:tr>
        <w:tblPrEx>
          <w:tblCellMar>
            <w:top w:w="0" w:type="dxa"/>
            <w:left w:w="108" w:type="dxa"/>
            <w:bottom w:w="0" w:type="dxa"/>
            <w:right w:w="108" w:type="dxa"/>
          </w:tblCellMar>
        </w:tblPrEx>
        <w:trPr>
          <w:trHeight w:val="680" w:hRule="atLeast"/>
        </w:trPr>
        <w:tc>
          <w:tcPr>
            <w:tcW w:w="13820" w:type="dxa"/>
            <w:gridSpan w:val="10"/>
            <w:tcBorders>
              <w:top w:val="nil"/>
              <w:left w:val="nil"/>
              <w:bottom w:val="nil"/>
              <w:right w:val="nil"/>
            </w:tcBorders>
            <w:shd w:val="clear" w:color="auto" w:fill="FFFFFF"/>
            <w:noWrap/>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340" w:hRule="atLeast"/>
        </w:trPr>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08</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trHeight w:val="340" w:hRule="atLeast"/>
        </w:trPr>
        <w:tc>
          <w:tcPr>
            <w:tcW w:w="0" w:type="auto"/>
            <w:tcBorders>
              <w:top w:val="nil"/>
              <w:left w:val="nil"/>
              <w:bottom w:val="single" w:color="000000" w:sz="4" w:space="0"/>
              <w:right w:val="nil"/>
            </w:tcBorders>
            <w:shd w:val="clear" w:color="auto" w:fill="FFFFFF"/>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部门：黄石市黄石港区政法委</w:t>
            </w: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2021</w:t>
            </w:r>
            <w:r>
              <w:rPr>
                <w:rFonts w:hint="eastAsia" w:ascii="宋体" w:hAnsi="宋体" w:cs="宋体"/>
                <w:color w:val="000000"/>
                <w:kern w:val="0"/>
                <w:sz w:val="22"/>
                <w:szCs w:val="22"/>
              </w:rPr>
              <w:t>年度</w:t>
            </w: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35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项目</w:t>
            </w:r>
          </w:p>
        </w:tc>
        <w:tc>
          <w:tcPr>
            <w:tcW w:w="1879"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年初结转和结余</w:t>
            </w:r>
          </w:p>
        </w:tc>
        <w:tc>
          <w:tcPr>
            <w:tcW w:w="921"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本年收入</w:t>
            </w:r>
          </w:p>
        </w:tc>
        <w:tc>
          <w:tcPr>
            <w:tcW w:w="2481" w:type="dxa"/>
            <w:gridSpan w:val="3"/>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本年支出</w:t>
            </w:r>
          </w:p>
        </w:tc>
        <w:tc>
          <w:tcPr>
            <w:tcW w:w="2604"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年末结转和结余</w:t>
            </w:r>
          </w:p>
        </w:tc>
      </w:tr>
      <w:tr>
        <w:tblPrEx>
          <w:tblCellMar>
            <w:top w:w="0" w:type="dxa"/>
            <w:left w:w="108" w:type="dxa"/>
            <w:bottom w:w="0" w:type="dxa"/>
            <w:right w:w="108" w:type="dxa"/>
          </w:tblCellMar>
        </w:tblPrEx>
        <w:trPr>
          <w:trHeight w:val="330" w:hRule="atLeast"/>
        </w:trPr>
        <w:tc>
          <w:tcPr>
            <w:tcW w:w="4463"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1879"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639"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921"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921"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c>
          <w:tcPr>
            <w:tcW w:w="2604"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330" w:hRule="atLeast"/>
        </w:trPr>
        <w:tc>
          <w:tcPr>
            <w:tcW w:w="446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cs="宋体"/>
                <w:color w:val="000000"/>
                <w:sz w:val="20"/>
                <w:szCs w:val="20"/>
              </w:rPr>
            </w:pPr>
          </w:p>
        </w:tc>
        <w:tc>
          <w:tcPr>
            <w:tcW w:w="1879"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639"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2604"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330" w:hRule="atLeast"/>
        </w:trPr>
        <w:tc>
          <w:tcPr>
            <w:tcW w:w="446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cs="宋体"/>
                <w:color w:val="000000"/>
                <w:sz w:val="20"/>
                <w:szCs w:val="20"/>
              </w:rPr>
            </w:pPr>
          </w:p>
        </w:tc>
        <w:tc>
          <w:tcPr>
            <w:tcW w:w="1879"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639"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2604"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35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r>
      <w:tr>
        <w:tblPrEx>
          <w:tblCellMar>
            <w:top w:w="0" w:type="dxa"/>
            <w:left w:w="108" w:type="dxa"/>
            <w:bottom w:w="0" w:type="dxa"/>
            <w:right w:w="108" w:type="dxa"/>
          </w:tblCellMar>
        </w:tblPrEx>
        <w:trPr>
          <w:trHeight w:val="35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r>
      <w:tr>
        <w:tblPrEx>
          <w:tblCellMar>
            <w:top w:w="0" w:type="dxa"/>
            <w:left w:w="108" w:type="dxa"/>
            <w:bottom w:w="0" w:type="dxa"/>
            <w:right w:w="108" w:type="dxa"/>
          </w:tblCellMar>
        </w:tblPrEx>
        <w:trPr>
          <w:trHeight w:val="35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r>
      <w:tr>
        <w:tblPrEx>
          <w:tblCellMar>
            <w:top w:w="0" w:type="dxa"/>
            <w:left w:w="108" w:type="dxa"/>
            <w:bottom w:w="0" w:type="dxa"/>
            <w:right w:w="108" w:type="dxa"/>
          </w:tblCellMar>
        </w:tblPrEx>
        <w:trPr>
          <w:trHeight w:val="350" w:hRule="atLeast"/>
        </w:trPr>
        <w:tc>
          <w:tcPr>
            <w:tcW w:w="0" w:type="auto"/>
            <w:gridSpan w:val="10"/>
            <w:tcBorders>
              <w:top w:val="nil"/>
              <w:left w:val="nil"/>
              <w:bottom w:val="nil"/>
              <w:right w:val="nil"/>
            </w:tcBorders>
            <w:shd w:val="clear" w:color="auto" w:fill="FFFFFF"/>
            <w:noWrap/>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注：本表反映部门本年度政府性基金预算财政拨款收入、支出及结转和结余情况。</w:t>
            </w:r>
            <w:r>
              <w:rPr>
                <w:rFonts w:hint="eastAsia" w:ascii="宋体" w:hAnsi="宋体" w:cs="仿宋"/>
                <w:sz w:val="20"/>
                <w:szCs w:val="20"/>
              </w:rPr>
              <w:t>我部门无此项内容，本表无数据。</w:t>
            </w:r>
          </w:p>
        </w:tc>
      </w:tr>
    </w:tbl>
    <w:p/>
    <w:p/>
    <w:p/>
    <w:tbl>
      <w:tblPr>
        <w:tblStyle w:val="8"/>
        <w:tblW w:w="13960" w:type="dxa"/>
        <w:tblInd w:w="93" w:type="dxa"/>
        <w:tblLayout w:type="autofit"/>
        <w:tblCellMar>
          <w:top w:w="0" w:type="dxa"/>
          <w:left w:w="108" w:type="dxa"/>
          <w:bottom w:w="0" w:type="dxa"/>
          <w:right w:w="108" w:type="dxa"/>
        </w:tblCellMar>
      </w:tblPr>
      <w:tblGrid>
        <w:gridCol w:w="4514"/>
        <w:gridCol w:w="326"/>
        <w:gridCol w:w="326"/>
        <w:gridCol w:w="1689"/>
        <w:gridCol w:w="1614"/>
        <w:gridCol w:w="1614"/>
        <w:gridCol w:w="3877"/>
      </w:tblGrid>
      <w:tr>
        <w:tblPrEx>
          <w:tblCellMar>
            <w:top w:w="0" w:type="dxa"/>
            <w:left w:w="108" w:type="dxa"/>
            <w:bottom w:w="0" w:type="dxa"/>
            <w:right w:w="108" w:type="dxa"/>
          </w:tblCellMar>
        </w:tblPrEx>
        <w:trPr>
          <w:trHeight w:val="658" w:hRule="atLeast"/>
        </w:trPr>
        <w:tc>
          <w:tcPr>
            <w:tcW w:w="13960" w:type="dxa"/>
            <w:gridSpan w:val="7"/>
            <w:tcBorders>
              <w:top w:val="nil"/>
              <w:left w:val="nil"/>
              <w:bottom w:val="nil"/>
              <w:right w:val="nil"/>
            </w:tcBorders>
            <w:shd w:val="clear" w:color="auto" w:fill="FFFFFF"/>
            <w:noWrap/>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国有资本经营预算财政拨款支出决算表</w:t>
            </w:r>
          </w:p>
        </w:tc>
      </w:tr>
      <w:tr>
        <w:tblPrEx>
          <w:tblCellMar>
            <w:top w:w="0" w:type="dxa"/>
            <w:left w:w="108" w:type="dxa"/>
            <w:bottom w:w="0" w:type="dxa"/>
            <w:right w:w="108" w:type="dxa"/>
          </w:tblCellMar>
        </w:tblPrEx>
        <w:trPr>
          <w:trHeight w:val="329" w:hRule="atLeast"/>
        </w:trPr>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09</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trHeight w:val="329" w:hRule="atLeast"/>
        </w:trPr>
        <w:tc>
          <w:tcPr>
            <w:tcW w:w="0" w:type="auto"/>
            <w:tcBorders>
              <w:top w:val="nil"/>
              <w:left w:val="nil"/>
              <w:bottom w:val="single" w:color="000000" w:sz="4" w:space="0"/>
              <w:right w:val="nil"/>
            </w:tcBorders>
            <w:shd w:val="clear" w:color="auto" w:fill="FFFFFF"/>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部门：黄石市黄石港区政法委</w:t>
            </w: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2021</w:t>
            </w:r>
            <w:r>
              <w:rPr>
                <w:rFonts w:hint="eastAsia" w:ascii="宋体" w:hAnsi="宋体" w:cs="宋体"/>
                <w:color w:val="000000"/>
                <w:kern w:val="0"/>
                <w:sz w:val="22"/>
                <w:szCs w:val="22"/>
              </w:rPr>
              <w:t>年度</w:t>
            </w: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339"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项目</w:t>
            </w:r>
          </w:p>
        </w:tc>
        <w:tc>
          <w:tcPr>
            <w:tcW w:w="7091" w:type="dxa"/>
            <w:gridSpan w:val="3"/>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本年支出</w:t>
            </w:r>
          </w:p>
        </w:tc>
      </w:tr>
      <w:tr>
        <w:tblPrEx>
          <w:tblCellMar>
            <w:top w:w="0" w:type="dxa"/>
            <w:left w:w="108" w:type="dxa"/>
            <w:bottom w:w="0" w:type="dxa"/>
            <w:right w:w="108" w:type="dxa"/>
          </w:tblCellMar>
        </w:tblPrEx>
        <w:trPr>
          <w:trHeight w:val="319" w:hRule="atLeast"/>
        </w:trPr>
        <w:tc>
          <w:tcPr>
            <w:tcW w:w="5176"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1783"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1783"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3525"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r>
      <w:tr>
        <w:tblPrEx>
          <w:tblCellMar>
            <w:top w:w="0" w:type="dxa"/>
            <w:left w:w="108" w:type="dxa"/>
            <w:bottom w:w="0" w:type="dxa"/>
            <w:right w:w="108" w:type="dxa"/>
          </w:tblCellMar>
        </w:tblPrEx>
        <w:trPr>
          <w:trHeight w:val="319" w:hRule="atLeast"/>
        </w:trPr>
        <w:tc>
          <w:tcPr>
            <w:tcW w:w="5176"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cs="宋体"/>
                <w:color w:val="000000"/>
                <w:sz w:val="20"/>
                <w:szCs w:val="20"/>
              </w:rPr>
            </w:pPr>
          </w:p>
        </w:tc>
        <w:tc>
          <w:tcPr>
            <w:tcW w:w="1783"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1783"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352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319" w:hRule="atLeast"/>
        </w:trPr>
        <w:tc>
          <w:tcPr>
            <w:tcW w:w="5176"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cs="宋体"/>
                <w:color w:val="000000"/>
                <w:sz w:val="20"/>
                <w:szCs w:val="20"/>
              </w:rPr>
            </w:pPr>
          </w:p>
        </w:tc>
        <w:tc>
          <w:tcPr>
            <w:tcW w:w="1783"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1783"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352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339"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r>
      <w:tr>
        <w:tblPrEx>
          <w:tblCellMar>
            <w:top w:w="0" w:type="dxa"/>
            <w:left w:w="108" w:type="dxa"/>
            <w:bottom w:w="0" w:type="dxa"/>
            <w:right w:w="108" w:type="dxa"/>
          </w:tblCellMar>
        </w:tblPrEx>
        <w:trPr>
          <w:trHeight w:val="339"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r>
      <w:tr>
        <w:tblPrEx>
          <w:tblCellMar>
            <w:top w:w="0" w:type="dxa"/>
            <w:left w:w="108" w:type="dxa"/>
            <w:bottom w:w="0" w:type="dxa"/>
            <w:right w:w="108" w:type="dxa"/>
          </w:tblCellMar>
        </w:tblPrEx>
        <w:trPr>
          <w:trHeight w:val="339"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r>
      <w:tr>
        <w:tblPrEx>
          <w:tblCellMar>
            <w:top w:w="0" w:type="dxa"/>
            <w:left w:w="108" w:type="dxa"/>
            <w:bottom w:w="0" w:type="dxa"/>
            <w:right w:w="108" w:type="dxa"/>
          </w:tblCellMar>
        </w:tblPrEx>
        <w:trPr>
          <w:trHeight w:val="339" w:hRule="atLeast"/>
        </w:trPr>
        <w:tc>
          <w:tcPr>
            <w:tcW w:w="0" w:type="auto"/>
            <w:gridSpan w:val="7"/>
            <w:tcBorders>
              <w:top w:val="nil"/>
              <w:left w:val="nil"/>
              <w:bottom w:val="nil"/>
              <w:right w:val="nil"/>
            </w:tcBorders>
            <w:shd w:val="clear" w:color="auto" w:fill="FFFFFF"/>
            <w:noWrap/>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注：本表反映部门本年度国有资本经营预算财政拨款支出情况。</w:t>
            </w:r>
            <w:r>
              <w:rPr>
                <w:rFonts w:hint="eastAsia" w:ascii="宋体" w:hAnsi="宋体" w:cs="仿宋"/>
                <w:sz w:val="20"/>
                <w:szCs w:val="20"/>
              </w:rPr>
              <w:t>我部门无此项内容，本表无数据。</w:t>
            </w:r>
          </w:p>
        </w:tc>
      </w:tr>
    </w:tbl>
    <w:p>
      <w:pPr>
        <w:pStyle w:val="7"/>
        <w:widowControl/>
        <w:spacing w:before="76" w:beforeAutospacing="0" w:after="76" w:afterAutospacing="0" w:line="450" w:lineRule="atLeast"/>
        <w:ind w:firstLine="240" w:firstLineChars="100"/>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80" w:firstLineChars="200"/>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80" w:firstLineChars="200"/>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80" w:firstLineChars="200"/>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80" w:firstLineChars="200"/>
        <w:rPr>
          <w:color w:val="333333"/>
        </w:rPr>
      </w:pPr>
      <w:r>
        <w:rPr>
          <w:rStyle w:val="10"/>
          <w:rFonts w:hint="eastAsia" w:ascii="微软雅黑" w:hAnsi="微软雅黑" w:eastAsia="微软雅黑" w:cs="微软雅黑"/>
          <w:color w:val="333333"/>
          <w:shd w:val="clear" w:color="auto" w:fill="FFFFFF"/>
        </w:rPr>
        <w:t>第三部分：</w:t>
      </w:r>
      <w:r>
        <w:rPr>
          <w:rStyle w:val="10"/>
          <w:rFonts w:ascii="微软雅黑" w:hAnsi="微软雅黑" w:eastAsia="微软雅黑" w:cs="微软雅黑"/>
          <w:color w:val="333333"/>
          <w:shd w:val="clear" w:color="auto" w:fill="FFFFFF"/>
        </w:rPr>
        <w:t>2021</w:t>
      </w:r>
      <w:r>
        <w:rPr>
          <w:rStyle w:val="10"/>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ascii="宋体" w:cs="宋体"/>
          <w:b/>
          <w:bCs/>
          <w:color w:val="333333"/>
          <w:sz w:val="28"/>
          <w:szCs w:val="28"/>
          <w:shd w:val="clear" w:color="auto" w:fill="FFFFFF"/>
        </w:rPr>
      </w:pPr>
      <w:r>
        <w:rPr>
          <w:rFonts w:hint="eastAsia" w:ascii="宋体" w:hAnsi="宋体" w:cs="宋体"/>
          <w:b/>
          <w:bCs/>
          <w:sz w:val="28"/>
          <w:szCs w:val="28"/>
          <w:shd w:val="clear" w:color="auto" w:fill="FFFFFF"/>
        </w:rPr>
        <w:t>（一）预算执行情况分析</w:t>
      </w:r>
    </w:p>
    <w:p>
      <w:pPr>
        <w:wordWrap w:val="0"/>
        <w:spacing w:line="600" w:lineRule="atLeast"/>
        <w:ind w:firstLine="420" w:firstLineChars="150"/>
        <w:rPr>
          <w:rFonts w:hint="eastAsia" w:ascii="宋体" w:hAnsi="宋体" w:eastAsia="宋体"/>
          <w:sz w:val="28"/>
          <w:szCs w:val="28"/>
          <w:lang w:eastAsia="zh-CN"/>
        </w:rPr>
      </w:pPr>
      <w:r>
        <w:rPr>
          <w:rFonts w:ascii="宋体" w:hAnsi="宋体" w:cs="宋体"/>
          <w:color w:val="333333"/>
          <w:kern w:val="0"/>
          <w:sz w:val="28"/>
          <w:szCs w:val="28"/>
        </w:rPr>
        <w:t xml:space="preserve"> </w:t>
      </w:r>
      <w:r>
        <w:rPr>
          <w:rFonts w:ascii="宋体" w:hAnsi="宋体" w:cs="宋体"/>
          <w:color w:val="333333"/>
          <w:sz w:val="28"/>
          <w:szCs w:val="28"/>
        </w:rPr>
        <w:t xml:space="preserve"> </w:t>
      </w:r>
      <w:r>
        <w:rPr>
          <w:rFonts w:ascii="宋体" w:hAnsi="宋体"/>
          <w:sz w:val="28"/>
          <w:szCs w:val="28"/>
        </w:rPr>
        <w:t>2021</w:t>
      </w:r>
      <w:r>
        <w:rPr>
          <w:rFonts w:hint="eastAsia" w:ascii="宋体" w:hAnsi="宋体"/>
          <w:sz w:val="28"/>
          <w:szCs w:val="28"/>
        </w:rPr>
        <w:t>年度财政收入预算数</w:t>
      </w:r>
      <w:r>
        <w:rPr>
          <w:rFonts w:ascii="宋体" w:hAnsi="宋体"/>
          <w:sz w:val="28"/>
          <w:szCs w:val="28"/>
        </w:rPr>
        <w:t>140.70</w:t>
      </w:r>
      <w:r>
        <w:rPr>
          <w:rFonts w:hint="eastAsia" w:ascii="宋体" w:hAnsi="宋体"/>
          <w:sz w:val="28"/>
          <w:szCs w:val="28"/>
        </w:rPr>
        <w:t>万元，其中人员经费</w:t>
      </w:r>
      <w:r>
        <w:rPr>
          <w:rFonts w:ascii="宋体" w:hAnsi="宋体"/>
          <w:sz w:val="28"/>
          <w:szCs w:val="28"/>
        </w:rPr>
        <w:t>96.53</w:t>
      </w:r>
      <w:r>
        <w:rPr>
          <w:rFonts w:hint="eastAsia" w:ascii="宋体" w:hAnsi="宋体"/>
          <w:sz w:val="28"/>
          <w:szCs w:val="28"/>
        </w:rPr>
        <w:t>万元，公用经费</w:t>
      </w:r>
      <w:r>
        <w:rPr>
          <w:rFonts w:ascii="宋体" w:hAnsi="宋体"/>
          <w:sz w:val="28"/>
          <w:szCs w:val="28"/>
        </w:rPr>
        <w:t>44.17</w:t>
      </w:r>
      <w:r>
        <w:rPr>
          <w:rFonts w:hint="eastAsia" w:ascii="宋体" w:hAnsi="宋体"/>
          <w:sz w:val="28"/>
          <w:szCs w:val="28"/>
        </w:rPr>
        <w:t>万元；</w:t>
      </w:r>
      <w:r>
        <w:rPr>
          <w:rFonts w:ascii="宋体" w:hAnsi="宋体"/>
          <w:sz w:val="28"/>
          <w:szCs w:val="28"/>
        </w:rPr>
        <w:t>2021</w:t>
      </w:r>
      <w:r>
        <w:rPr>
          <w:rFonts w:hint="eastAsia" w:ascii="宋体" w:hAnsi="宋体"/>
          <w:sz w:val="28"/>
          <w:szCs w:val="28"/>
        </w:rPr>
        <w:t>年度财政支出预算数</w:t>
      </w:r>
      <w:r>
        <w:rPr>
          <w:rFonts w:ascii="宋体" w:hAnsi="宋体"/>
          <w:sz w:val="28"/>
          <w:szCs w:val="28"/>
        </w:rPr>
        <w:t>140.70</w:t>
      </w:r>
      <w:r>
        <w:rPr>
          <w:rFonts w:hint="eastAsia" w:ascii="宋体" w:hAnsi="宋体"/>
          <w:sz w:val="28"/>
          <w:szCs w:val="28"/>
        </w:rPr>
        <w:t>万元，其中人员经费</w:t>
      </w:r>
      <w:r>
        <w:rPr>
          <w:rFonts w:ascii="宋体" w:hAnsi="宋体"/>
          <w:sz w:val="28"/>
          <w:szCs w:val="28"/>
        </w:rPr>
        <w:t>96.53</w:t>
      </w:r>
      <w:r>
        <w:rPr>
          <w:rFonts w:hint="eastAsia" w:ascii="宋体" w:hAnsi="宋体"/>
          <w:sz w:val="28"/>
          <w:szCs w:val="28"/>
        </w:rPr>
        <w:t>万元，公用经费</w:t>
      </w:r>
      <w:r>
        <w:rPr>
          <w:rFonts w:ascii="宋体" w:hAnsi="宋体"/>
          <w:sz w:val="28"/>
          <w:szCs w:val="28"/>
        </w:rPr>
        <w:t>44.17</w:t>
      </w:r>
      <w:r>
        <w:rPr>
          <w:rFonts w:hint="eastAsia" w:ascii="宋体" w:hAnsi="宋体"/>
          <w:sz w:val="28"/>
          <w:szCs w:val="28"/>
        </w:rPr>
        <w:t>万元。</w:t>
      </w:r>
      <w:r>
        <w:rPr>
          <w:rFonts w:ascii="宋体" w:hAnsi="宋体"/>
          <w:sz w:val="28"/>
          <w:szCs w:val="28"/>
        </w:rPr>
        <w:t>2020</w:t>
      </w:r>
      <w:r>
        <w:rPr>
          <w:rFonts w:hint="eastAsia" w:ascii="宋体" w:hAnsi="宋体"/>
          <w:sz w:val="28"/>
          <w:szCs w:val="28"/>
        </w:rPr>
        <w:t>年度财政收入预算数</w:t>
      </w:r>
      <w:r>
        <w:rPr>
          <w:rFonts w:ascii="宋体" w:hAnsi="宋体"/>
          <w:sz w:val="28"/>
          <w:szCs w:val="28"/>
        </w:rPr>
        <w:t>127.33</w:t>
      </w:r>
      <w:r>
        <w:rPr>
          <w:rFonts w:hint="eastAsia" w:ascii="宋体" w:hAnsi="宋体"/>
          <w:sz w:val="28"/>
          <w:szCs w:val="28"/>
        </w:rPr>
        <w:t>万元，其中人员经费</w:t>
      </w:r>
      <w:r>
        <w:rPr>
          <w:rFonts w:ascii="宋体" w:hAnsi="宋体"/>
          <w:sz w:val="28"/>
          <w:szCs w:val="28"/>
        </w:rPr>
        <w:t>83.48</w:t>
      </w:r>
      <w:r>
        <w:rPr>
          <w:rFonts w:hint="eastAsia" w:ascii="宋体" w:hAnsi="宋体"/>
          <w:sz w:val="28"/>
          <w:szCs w:val="28"/>
        </w:rPr>
        <w:t>万元，公用经费</w:t>
      </w:r>
      <w:r>
        <w:rPr>
          <w:rFonts w:ascii="宋体" w:hAnsi="宋体"/>
          <w:sz w:val="28"/>
          <w:szCs w:val="28"/>
        </w:rPr>
        <w:t>43.85</w:t>
      </w:r>
      <w:r>
        <w:rPr>
          <w:rFonts w:hint="eastAsia" w:ascii="宋体" w:hAnsi="宋体"/>
          <w:sz w:val="28"/>
          <w:szCs w:val="28"/>
        </w:rPr>
        <w:t>万元；</w:t>
      </w:r>
      <w:r>
        <w:rPr>
          <w:rFonts w:ascii="宋体" w:hAnsi="宋体"/>
          <w:sz w:val="28"/>
          <w:szCs w:val="28"/>
        </w:rPr>
        <w:t>2020</w:t>
      </w:r>
      <w:r>
        <w:rPr>
          <w:rFonts w:hint="eastAsia" w:ascii="宋体" w:hAnsi="宋体"/>
          <w:sz w:val="28"/>
          <w:szCs w:val="28"/>
        </w:rPr>
        <w:t>年度财政支出预算数</w:t>
      </w:r>
      <w:r>
        <w:rPr>
          <w:rFonts w:ascii="宋体" w:hAnsi="宋体"/>
          <w:sz w:val="28"/>
          <w:szCs w:val="28"/>
        </w:rPr>
        <w:t>127.33</w:t>
      </w:r>
      <w:r>
        <w:rPr>
          <w:rFonts w:hint="eastAsia" w:ascii="宋体" w:hAnsi="宋体"/>
          <w:sz w:val="28"/>
          <w:szCs w:val="28"/>
        </w:rPr>
        <w:t>万元，其中人员经费</w:t>
      </w:r>
      <w:r>
        <w:rPr>
          <w:rFonts w:ascii="宋体" w:hAnsi="宋体"/>
          <w:sz w:val="28"/>
          <w:szCs w:val="28"/>
        </w:rPr>
        <w:t>83.48</w:t>
      </w:r>
      <w:r>
        <w:rPr>
          <w:rFonts w:hint="eastAsia" w:ascii="宋体" w:hAnsi="宋体"/>
          <w:sz w:val="28"/>
          <w:szCs w:val="28"/>
        </w:rPr>
        <w:t>万元，公用经费</w:t>
      </w:r>
      <w:r>
        <w:rPr>
          <w:rFonts w:ascii="宋体" w:hAnsi="宋体"/>
          <w:sz w:val="28"/>
          <w:szCs w:val="28"/>
        </w:rPr>
        <w:t>43.85</w:t>
      </w:r>
      <w:r>
        <w:rPr>
          <w:rFonts w:hint="eastAsia" w:ascii="宋体" w:hAnsi="宋体"/>
          <w:sz w:val="28"/>
          <w:szCs w:val="28"/>
        </w:rPr>
        <w:t>万元。</w:t>
      </w:r>
      <w:r>
        <w:rPr>
          <w:rFonts w:ascii="宋体" w:hAnsi="宋体"/>
          <w:sz w:val="28"/>
          <w:szCs w:val="28"/>
        </w:rPr>
        <w:t>2021</w:t>
      </w:r>
      <w:r>
        <w:rPr>
          <w:rFonts w:hint="eastAsia" w:ascii="宋体" w:hAnsi="宋体"/>
          <w:sz w:val="28"/>
          <w:szCs w:val="28"/>
        </w:rPr>
        <w:t>年收入预算数比上年增加</w:t>
      </w:r>
      <w:r>
        <w:rPr>
          <w:rFonts w:ascii="宋体" w:hAnsi="宋体"/>
          <w:sz w:val="28"/>
          <w:szCs w:val="28"/>
        </w:rPr>
        <w:t>13.37</w:t>
      </w:r>
      <w:r>
        <w:rPr>
          <w:rFonts w:hint="eastAsia" w:ascii="宋体" w:hAnsi="宋体"/>
          <w:sz w:val="28"/>
          <w:szCs w:val="28"/>
        </w:rPr>
        <w:t>万元，</w:t>
      </w:r>
      <w:r>
        <w:rPr>
          <w:rFonts w:ascii="宋体" w:hAnsi="宋体"/>
          <w:sz w:val="28"/>
          <w:szCs w:val="28"/>
        </w:rPr>
        <w:t>2021</w:t>
      </w:r>
      <w:r>
        <w:rPr>
          <w:rFonts w:hint="eastAsia" w:ascii="宋体" w:hAnsi="宋体"/>
          <w:sz w:val="28"/>
          <w:szCs w:val="28"/>
        </w:rPr>
        <w:t>支出预算数比上年增加</w:t>
      </w:r>
      <w:r>
        <w:rPr>
          <w:rFonts w:ascii="宋体" w:hAnsi="宋体"/>
          <w:sz w:val="28"/>
          <w:szCs w:val="28"/>
        </w:rPr>
        <w:t>13.37</w:t>
      </w:r>
      <w:r>
        <w:rPr>
          <w:rFonts w:hint="eastAsia" w:ascii="宋体" w:hAnsi="宋体"/>
          <w:sz w:val="28"/>
          <w:szCs w:val="28"/>
        </w:rPr>
        <w:t>万元。</w:t>
      </w:r>
    </w:p>
    <w:p>
      <w:pPr>
        <w:wordWrap w:val="0"/>
        <w:spacing w:line="600" w:lineRule="atLeast"/>
        <w:ind w:firstLine="420" w:firstLineChars="150"/>
        <w:rPr>
          <w:rFonts w:hint="eastAsia" w:ascii="宋体" w:hAnsi="宋体" w:eastAsia="宋体"/>
          <w:sz w:val="28"/>
          <w:szCs w:val="28"/>
          <w:lang w:eastAsia="zh-CN"/>
        </w:rPr>
      </w:pPr>
      <w:r>
        <w:rPr>
          <w:rFonts w:ascii="宋体" w:hAnsi="宋体"/>
          <w:sz w:val="28"/>
          <w:szCs w:val="28"/>
        </w:rPr>
        <w:t>1</w:t>
      </w:r>
      <w:r>
        <w:rPr>
          <w:rFonts w:hint="eastAsia" w:ascii="宋体" w:hAnsi="宋体"/>
          <w:sz w:val="28"/>
          <w:szCs w:val="28"/>
        </w:rPr>
        <w:t>、收入与预算对比分析</w:t>
      </w:r>
    </w:p>
    <w:p>
      <w:pPr>
        <w:wordWrap w:val="0"/>
        <w:spacing w:line="600" w:lineRule="atLeast"/>
        <w:ind w:firstLine="420" w:firstLineChars="150"/>
        <w:rPr>
          <w:rFonts w:hint="eastAsia" w:ascii="宋体" w:hAnsi="宋体" w:eastAsia="宋体"/>
          <w:sz w:val="28"/>
          <w:szCs w:val="28"/>
          <w:lang w:eastAsia="zh-CN"/>
        </w:rPr>
      </w:pPr>
      <w:r>
        <w:rPr>
          <w:rFonts w:ascii="宋体" w:hAnsi="宋体"/>
          <w:sz w:val="28"/>
          <w:szCs w:val="28"/>
        </w:rPr>
        <w:t>2021</w:t>
      </w:r>
      <w:r>
        <w:rPr>
          <w:rFonts w:hint="eastAsia" w:ascii="宋体" w:hAnsi="宋体"/>
          <w:sz w:val="28"/>
          <w:szCs w:val="28"/>
        </w:rPr>
        <w:t>年全年总收入</w:t>
      </w:r>
      <w:r>
        <w:rPr>
          <w:rFonts w:ascii="宋体" w:hAnsi="宋体"/>
          <w:sz w:val="28"/>
          <w:szCs w:val="28"/>
        </w:rPr>
        <w:t>1577.02</w:t>
      </w:r>
      <w:r>
        <w:rPr>
          <w:rFonts w:hint="eastAsia" w:ascii="宋体" w:hAnsi="宋体"/>
          <w:sz w:val="28"/>
          <w:szCs w:val="28"/>
        </w:rPr>
        <w:t>万元。其中财政决算收入</w:t>
      </w:r>
      <w:r>
        <w:rPr>
          <w:rFonts w:ascii="宋体" w:hAnsi="宋体"/>
          <w:sz w:val="28"/>
          <w:szCs w:val="28"/>
        </w:rPr>
        <w:t>1556.84</w:t>
      </w:r>
      <w:r>
        <w:rPr>
          <w:rFonts w:hint="eastAsia" w:ascii="宋体" w:hAnsi="宋体"/>
          <w:sz w:val="28"/>
          <w:szCs w:val="28"/>
        </w:rPr>
        <w:t>万元，其他收入</w:t>
      </w:r>
      <w:r>
        <w:rPr>
          <w:rFonts w:ascii="宋体" w:hAnsi="宋体"/>
          <w:sz w:val="28"/>
          <w:szCs w:val="28"/>
        </w:rPr>
        <w:t>20.18</w:t>
      </w:r>
      <w:r>
        <w:rPr>
          <w:rFonts w:hint="eastAsia" w:ascii="宋体" w:hAnsi="宋体"/>
          <w:sz w:val="28"/>
          <w:szCs w:val="28"/>
        </w:rPr>
        <w:t>万元。</w:t>
      </w:r>
      <w:r>
        <w:rPr>
          <w:rFonts w:ascii="宋体" w:hAnsi="宋体"/>
          <w:sz w:val="28"/>
          <w:szCs w:val="28"/>
        </w:rPr>
        <w:t>2021</w:t>
      </w:r>
      <w:r>
        <w:rPr>
          <w:rFonts w:hint="eastAsia" w:ascii="宋体" w:hAnsi="宋体"/>
          <w:sz w:val="28"/>
          <w:szCs w:val="28"/>
        </w:rPr>
        <w:t>年全年决算总支出</w:t>
      </w:r>
      <w:r>
        <w:rPr>
          <w:rFonts w:ascii="宋体" w:hAnsi="宋体"/>
          <w:sz w:val="28"/>
          <w:szCs w:val="28"/>
        </w:rPr>
        <w:t>1577.02</w:t>
      </w:r>
      <w:r>
        <w:rPr>
          <w:rFonts w:hint="eastAsia" w:ascii="宋体" w:hAnsi="宋体"/>
          <w:sz w:val="28"/>
          <w:szCs w:val="28"/>
        </w:rPr>
        <w:t>万元，其中财政决算支出</w:t>
      </w:r>
      <w:r>
        <w:rPr>
          <w:rFonts w:ascii="宋体" w:hAnsi="宋体"/>
          <w:sz w:val="28"/>
          <w:szCs w:val="28"/>
        </w:rPr>
        <w:t>1556.84</w:t>
      </w:r>
      <w:r>
        <w:rPr>
          <w:rFonts w:hint="eastAsia" w:ascii="宋体" w:hAnsi="宋体"/>
          <w:sz w:val="28"/>
          <w:szCs w:val="28"/>
        </w:rPr>
        <w:t>万元，其他资金支出</w:t>
      </w:r>
      <w:r>
        <w:rPr>
          <w:rFonts w:ascii="宋体" w:hAnsi="宋体"/>
          <w:sz w:val="28"/>
          <w:szCs w:val="28"/>
        </w:rPr>
        <w:t>20.18</w:t>
      </w:r>
      <w:r>
        <w:rPr>
          <w:rFonts w:hint="eastAsia" w:ascii="宋体" w:hAnsi="宋体"/>
          <w:sz w:val="28"/>
          <w:szCs w:val="28"/>
        </w:rPr>
        <w:t>万元。</w:t>
      </w:r>
      <w:r>
        <w:rPr>
          <w:rFonts w:ascii="宋体" w:hAnsi="宋体"/>
          <w:sz w:val="28"/>
          <w:szCs w:val="28"/>
        </w:rPr>
        <w:t>2021</w:t>
      </w:r>
      <w:r>
        <w:rPr>
          <w:rFonts w:hint="eastAsia" w:ascii="宋体" w:hAnsi="宋体"/>
          <w:sz w:val="28"/>
          <w:szCs w:val="28"/>
        </w:rPr>
        <w:t>年度财政收入预算数</w:t>
      </w:r>
      <w:r>
        <w:rPr>
          <w:rFonts w:ascii="宋体" w:hAnsi="宋体"/>
          <w:sz w:val="28"/>
          <w:szCs w:val="28"/>
        </w:rPr>
        <w:t>140.70</w:t>
      </w:r>
      <w:r>
        <w:rPr>
          <w:rFonts w:hint="eastAsia" w:ascii="宋体" w:hAnsi="宋体"/>
          <w:sz w:val="28"/>
          <w:szCs w:val="28"/>
        </w:rPr>
        <w:t>万元，财拔决算比预算多</w:t>
      </w:r>
      <w:r>
        <w:rPr>
          <w:rFonts w:ascii="宋体" w:hAnsi="宋体"/>
          <w:sz w:val="28"/>
          <w:szCs w:val="28"/>
        </w:rPr>
        <w:t>1416.14</w:t>
      </w:r>
      <w:r>
        <w:rPr>
          <w:rFonts w:hint="eastAsia" w:ascii="宋体" w:hAnsi="宋体"/>
          <w:sz w:val="28"/>
          <w:szCs w:val="28"/>
        </w:rPr>
        <w:t>万元，增幅</w:t>
      </w:r>
      <w:r>
        <w:rPr>
          <w:rFonts w:ascii="宋体" w:hAnsi="宋体"/>
          <w:sz w:val="28"/>
          <w:szCs w:val="28"/>
        </w:rPr>
        <w:t>1006.50%</w:t>
      </w:r>
      <w:r>
        <w:rPr>
          <w:rFonts w:hint="eastAsia" w:ascii="宋体" w:hAnsi="宋体"/>
          <w:sz w:val="28"/>
          <w:szCs w:val="28"/>
        </w:rPr>
        <w:t>，主要原因为本年度本部门公安交警支出及在建社会治理智慧化工程支出增加。</w:t>
      </w:r>
    </w:p>
    <w:p>
      <w:pPr>
        <w:wordWrap w:val="0"/>
        <w:spacing w:line="600" w:lineRule="atLeast"/>
        <w:ind w:firstLine="420" w:firstLineChars="150"/>
        <w:rPr>
          <w:rFonts w:hint="eastAsia" w:ascii="宋体" w:hAnsi="宋体" w:eastAsia="宋体"/>
          <w:sz w:val="28"/>
          <w:szCs w:val="28"/>
          <w:lang w:eastAsia="zh-CN"/>
        </w:rPr>
      </w:pPr>
      <w:r>
        <w:rPr>
          <w:rFonts w:ascii="宋体" w:hAnsi="宋体"/>
          <w:sz w:val="28"/>
          <w:szCs w:val="28"/>
        </w:rPr>
        <w:t>2</w:t>
      </w:r>
      <w:r>
        <w:rPr>
          <w:rFonts w:hint="eastAsia" w:ascii="宋体" w:hAnsi="宋体"/>
          <w:sz w:val="28"/>
          <w:szCs w:val="28"/>
        </w:rPr>
        <w:t>、收入支出结构分析</w:t>
      </w:r>
    </w:p>
    <w:p>
      <w:pPr>
        <w:wordWrap w:val="0"/>
        <w:spacing w:line="600" w:lineRule="atLeast"/>
        <w:ind w:firstLine="420" w:firstLineChars="150"/>
        <w:rPr>
          <w:rFonts w:hint="eastAsia" w:ascii="宋体" w:hAnsi="宋体" w:eastAsia="宋体"/>
          <w:sz w:val="28"/>
          <w:szCs w:val="28"/>
          <w:lang w:eastAsia="zh-CN"/>
        </w:rPr>
      </w:pPr>
      <w:r>
        <w:rPr>
          <w:rFonts w:ascii="宋体" w:hAnsi="宋体"/>
          <w:sz w:val="28"/>
          <w:szCs w:val="28"/>
        </w:rPr>
        <w:t>2021</w:t>
      </w:r>
      <w:r>
        <w:rPr>
          <w:rFonts w:hint="eastAsia" w:ascii="宋体" w:hAnsi="宋体"/>
          <w:sz w:val="28"/>
          <w:szCs w:val="28"/>
        </w:rPr>
        <w:t>年全年总收入</w:t>
      </w:r>
      <w:r>
        <w:rPr>
          <w:rFonts w:ascii="宋体" w:hAnsi="宋体"/>
          <w:sz w:val="28"/>
          <w:szCs w:val="28"/>
        </w:rPr>
        <w:t>1557.02</w:t>
      </w:r>
      <w:r>
        <w:rPr>
          <w:rFonts w:hint="eastAsia" w:ascii="宋体" w:hAnsi="宋体"/>
          <w:sz w:val="28"/>
          <w:szCs w:val="28"/>
        </w:rPr>
        <w:t>万元。其中财政决算收入</w:t>
      </w:r>
      <w:r>
        <w:rPr>
          <w:rFonts w:ascii="宋体" w:hAnsi="宋体"/>
          <w:sz w:val="28"/>
          <w:szCs w:val="28"/>
        </w:rPr>
        <w:t>1556.84</w:t>
      </w:r>
      <w:r>
        <w:rPr>
          <w:rFonts w:hint="eastAsia" w:ascii="宋体" w:hAnsi="宋体"/>
          <w:sz w:val="28"/>
          <w:szCs w:val="28"/>
        </w:rPr>
        <w:t>万元，其他收入</w:t>
      </w:r>
      <w:r>
        <w:rPr>
          <w:rFonts w:ascii="宋体" w:hAnsi="宋体"/>
          <w:sz w:val="28"/>
          <w:szCs w:val="28"/>
        </w:rPr>
        <w:t>20.18</w:t>
      </w:r>
      <w:r>
        <w:rPr>
          <w:rFonts w:hint="eastAsia" w:ascii="宋体" w:hAnsi="宋体"/>
          <w:sz w:val="28"/>
          <w:szCs w:val="28"/>
        </w:rPr>
        <w:t>万元；</w:t>
      </w:r>
      <w:r>
        <w:rPr>
          <w:rFonts w:ascii="宋体" w:hAnsi="宋体"/>
          <w:sz w:val="28"/>
          <w:szCs w:val="28"/>
        </w:rPr>
        <w:t>2021</w:t>
      </w:r>
      <w:r>
        <w:rPr>
          <w:rFonts w:hint="eastAsia" w:ascii="宋体" w:hAnsi="宋体"/>
          <w:sz w:val="28"/>
          <w:szCs w:val="28"/>
        </w:rPr>
        <w:t>年全年决算总支出</w:t>
      </w:r>
      <w:r>
        <w:rPr>
          <w:rFonts w:ascii="宋体" w:hAnsi="宋体"/>
          <w:sz w:val="28"/>
          <w:szCs w:val="28"/>
        </w:rPr>
        <w:t>1557.02</w:t>
      </w:r>
      <w:r>
        <w:rPr>
          <w:rFonts w:hint="eastAsia" w:ascii="宋体" w:hAnsi="宋体"/>
          <w:sz w:val="28"/>
          <w:szCs w:val="28"/>
        </w:rPr>
        <w:t>万元，其中财政决算支出</w:t>
      </w:r>
      <w:r>
        <w:rPr>
          <w:rFonts w:ascii="宋体" w:hAnsi="宋体"/>
          <w:sz w:val="28"/>
          <w:szCs w:val="28"/>
        </w:rPr>
        <w:t>1556.84</w:t>
      </w:r>
      <w:r>
        <w:rPr>
          <w:rFonts w:hint="eastAsia" w:ascii="宋体" w:hAnsi="宋体"/>
          <w:sz w:val="28"/>
          <w:szCs w:val="28"/>
        </w:rPr>
        <w:t>万元。</w:t>
      </w:r>
      <w:r>
        <w:rPr>
          <w:rFonts w:hint="eastAsia" w:ascii="宋体" w:hAnsi="宋体" w:cs="宋体"/>
          <w:color w:val="333333"/>
          <w:kern w:val="0"/>
          <w:sz w:val="28"/>
          <w:szCs w:val="28"/>
        </w:rPr>
        <w:t>与去年</w:t>
      </w:r>
      <w:r>
        <w:rPr>
          <w:rFonts w:ascii="宋体" w:hAnsi="宋体" w:cs="宋体"/>
          <w:color w:val="333333"/>
          <w:kern w:val="0"/>
          <w:sz w:val="28"/>
          <w:szCs w:val="28"/>
        </w:rPr>
        <w:t>1301.95</w:t>
      </w:r>
      <w:r>
        <w:rPr>
          <w:rFonts w:hint="eastAsia" w:ascii="宋体" w:hAnsi="宋体" w:cs="宋体"/>
          <w:color w:val="333333"/>
          <w:kern w:val="0"/>
          <w:sz w:val="28"/>
          <w:szCs w:val="28"/>
        </w:rPr>
        <w:t>万元相比增加</w:t>
      </w:r>
      <w:r>
        <w:rPr>
          <w:rFonts w:ascii="宋体" w:hAnsi="宋体" w:cs="宋体"/>
          <w:color w:val="333333"/>
          <w:kern w:val="0"/>
          <w:sz w:val="28"/>
          <w:szCs w:val="28"/>
        </w:rPr>
        <w:t>254.89</w:t>
      </w:r>
      <w:r>
        <w:rPr>
          <w:rFonts w:hint="eastAsia" w:ascii="宋体" w:hAnsi="宋体" w:cs="宋体"/>
          <w:color w:val="333333"/>
          <w:kern w:val="0"/>
          <w:sz w:val="28"/>
          <w:szCs w:val="28"/>
        </w:rPr>
        <w:t>万元，增幅</w:t>
      </w:r>
      <w:r>
        <w:rPr>
          <w:rFonts w:ascii="宋体" w:hAnsi="宋体" w:cs="宋体"/>
          <w:color w:val="333333"/>
          <w:kern w:val="0"/>
          <w:sz w:val="28"/>
          <w:szCs w:val="28"/>
        </w:rPr>
        <w:t>19.58%</w:t>
      </w:r>
      <w:r>
        <w:rPr>
          <w:rFonts w:hint="eastAsia" w:ascii="宋体" w:hAnsi="宋体" w:cs="宋体"/>
          <w:color w:val="333333"/>
          <w:kern w:val="0"/>
          <w:sz w:val="28"/>
          <w:szCs w:val="28"/>
        </w:rPr>
        <w:t>，其主要原因为本年综合治理相关业务支出及公共安全相关支出增加所致，</w:t>
      </w:r>
      <w:r>
        <w:rPr>
          <w:rFonts w:hint="eastAsia" w:ascii="宋体" w:hAnsi="宋体" w:cs="宋体"/>
          <w:color w:val="333333"/>
          <w:sz w:val="28"/>
          <w:szCs w:val="28"/>
        </w:rPr>
        <w:t>与年初预算数</w:t>
      </w:r>
      <w:r>
        <w:rPr>
          <w:rFonts w:ascii="宋体" w:hAnsi="宋体" w:cs="宋体"/>
          <w:color w:val="333333"/>
          <w:sz w:val="28"/>
          <w:szCs w:val="28"/>
        </w:rPr>
        <w:t>140.70</w:t>
      </w:r>
      <w:r>
        <w:rPr>
          <w:rFonts w:hint="eastAsia" w:ascii="宋体" w:hAnsi="宋体" w:cs="宋体"/>
          <w:color w:val="333333"/>
          <w:sz w:val="28"/>
          <w:szCs w:val="28"/>
        </w:rPr>
        <w:t>万元对比增加</w:t>
      </w:r>
      <w:r>
        <w:rPr>
          <w:rFonts w:ascii="宋体" w:hAnsi="宋体" w:cs="宋体"/>
          <w:color w:val="333333"/>
          <w:sz w:val="28"/>
          <w:szCs w:val="28"/>
        </w:rPr>
        <w:t>1416.14</w:t>
      </w:r>
      <w:r>
        <w:rPr>
          <w:rFonts w:hint="eastAsia" w:ascii="宋体" w:hAnsi="宋体" w:cs="宋体"/>
          <w:color w:val="333333"/>
          <w:sz w:val="28"/>
          <w:szCs w:val="28"/>
        </w:rPr>
        <w:t>万元，增幅</w:t>
      </w:r>
      <w:r>
        <w:rPr>
          <w:rFonts w:ascii="宋体" w:hAnsi="宋体" w:cs="宋体"/>
          <w:color w:val="333333"/>
          <w:sz w:val="28"/>
          <w:szCs w:val="28"/>
        </w:rPr>
        <w:t>1006.50%</w:t>
      </w:r>
      <w:r>
        <w:rPr>
          <w:rFonts w:hint="eastAsia" w:ascii="宋体" w:hAnsi="宋体" w:cs="宋体"/>
          <w:color w:val="333333"/>
          <w:sz w:val="28"/>
          <w:szCs w:val="28"/>
        </w:rPr>
        <w:t>，其主要原因为</w:t>
      </w:r>
      <w:r>
        <w:rPr>
          <w:rFonts w:hint="eastAsia" w:ascii="宋体" w:hAnsi="宋体" w:cs="宋体"/>
          <w:color w:val="333333"/>
          <w:kern w:val="0"/>
          <w:sz w:val="28"/>
          <w:szCs w:val="28"/>
        </w:rPr>
        <w:t>本年综合治理相关业务支出及公共安全相关支出增加所致。</w:t>
      </w:r>
      <w:r>
        <w:rPr>
          <w:rFonts w:hint="eastAsia" w:ascii="宋体" w:hAnsi="宋体"/>
          <w:sz w:val="28"/>
          <w:szCs w:val="28"/>
        </w:rPr>
        <w:t>按以下分类说明</w:t>
      </w:r>
    </w:p>
    <w:p>
      <w:pPr>
        <w:wordWrap w:val="0"/>
        <w:spacing w:line="600" w:lineRule="atLeast"/>
        <w:ind w:firstLine="420" w:firstLineChars="150"/>
        <w:rPr>
          <w:rFonts w:hint="eastAsia" w:ascii="宋体" w:hAnsi="宋体" w:eastAsia="宋体"/>
          <w:sz w:val="28"/>
          <w:szCs w:val="28"/>
          <w:lang w:eastAsia="zh-CN"/>
        </w:rPr>
      </w:pPr>
      <w:r>
        <w:rPr>
          <w:rFonts w:hint="eastAsia" w:ascii="宋体" w:hAnsi="宋体" w:cs="宋体"/>
          <w:sz w:val="28"/>
          <w:szCs w:val="28"/>
        </w:rPr>
        <w:t>①</w:t>
      </w:r>
      <w:r>
        <w:rPr>
          <w:rFonts w:hint="eastAsia" w:ascii="宋体" w:hAnsi="宋体"/>
          <w:sz w:val="28"/>
          <w:szCs w:val="28"/>
        </w:rPr>
        <w:t>支出功能分类：</w:t>
      </w:r>
      <w:r>
        <w:rPr>
          <w:rFonts w:ascii="宋体" w:hAnsi="宋体"/>
          <w:sz w:val="28"/>
          <w:szCs w:val="28"/>
        </w:rPr>
        <w:t>1556.84</w:t>
      </w:r>
      <w:r>
        <w:rPr>
          <w:rFonts w:hint="eastAsia" w:ascii="宋体" w:hAnsi="宋体"/>
          <w:sz w:val="28"/>
          <w:szCs w:val="28"/>
        </w:rPr>
        <w:t>万元。</w:t>
      </w:r>
    </w:p>
    <w:p>
      <w:pPr>
        <w:wordWrap w:val="0"/>
        <w:spacing w:line="600" w:lineRule="atLeast"/>
        <w:ind w:firstLine="420" w:firstLineChars="150"/>
        <w:rPr>
          <w:rFonts w:hint="eastAsia" w:ascii="宋体" w:hAnsi="宋体" w:eastAsia="宋体"/>
          <w:sz w:val="28"/>
          <w:szCs w:val="28"/>
          <w:lang w:eastAsia="zh-CN"/>
        </w:rPr>
      </w:pPr>
      <w:r>
        <w:rPr>
          <w:rFonts w:hint="eastAsia" w:ascii="宋体" w:hAnsi="宋体" w:cs="宋体"/>
          <w:sz w:val="28"/>
          <w:szCs w:val="28"/>
        </w:rPr>
        <w:t>②</w:t>
      </w:r>
      <w:r>
        <w:rPr>
          <w:rFonts w:hint="eastAsia" w:ascii="宋体" w:hAnsi="宋体"/>
          <w:sz w:val="28"/>
          <w:szCs w:val="28"/>
        </w:rPr>
        <w:t>支出性质分类：</w:t>
      </w:r>
      <w:r>
        <w:rPr>
          <w:rFonts w:ascii="宋体" w:hAnsi="宋体"/>
          <w:sz w:val="28"/>
          <w:szCs w:val="28"/>
        </w:rPr>
        <w:t>1556.84</w:t>
      </w:r>
      <w:r>
        <w:rPr>
          <w:rFonts w:hint="eastAsia" w:ascii="宋体" w:hAnsi="宋体"/>
          <w:sz w:val="28"/>
          <w:szCs w:val="28"/>
        </w:rPr>
        <w:t>万元，其中人员经费</w:t>
      </w:r>
      <w:r>
        <w:rPr>
          <w:rFonts w:ascii="宋体" w:hAnsi="宋体"/>
          <w:sz w:val="28"/>
          <w:szCs w:val="28"/>
        </w:rPr>
        <w:t>197.49</w:t>
      </w:r>
      <w:r>
        <w:rPr>
          <w:rFonts w:hint="eastAsia" w:ascii="宋体" w:hAnsi="宋体"/>
          <w:sz w:val="28"/>
          <w:szCs w:val="28"/>
        </w:rPr>
        <w:t>万元；公用经费</w:t>
      </w:r>
      <w:r>
        <w:rPr>
          <w:rFonts w:ascii="宋体" w:hAnsi="宋体"/>
          <w:sz w:val="28"/>
          <w:szCs w:val="28"/>
        </w:rPr>
        <w:t>1359.35</w:t>
      </w:r>
      <w:r>
        <w:rPr>
          <w:rFonts w:hint="eastAsia" w:ascii="宋体" w:hAnsi="宋体"/>
          <w:sz w:val="28"/>
          <w:szCs w:val="28"/>
        </w:rPr>
        <w:t>万元。</w:t>
      </w:r>
    </w:p>
    <w:p>
      <w:pPr>
        <w:wordWrap w:val="0"/>
        <w:spacing w:line="600" w:lineRule="atLeast"/>
        <w:ind w:firstLine="420" w:firstLineChars="150"/>
        <w:rPr>
          <w:rFonts w:ascii="宋体" w:cs="宋体"/>
          <w:color w:val="333333"/>
          <w:kern w:val="0"/>
          <w:sz w:val="28"/>
          <w:szCs w:val="28"/>
        </w:rPr>
      </w:pPr>
      <w:r>
        <w:rPr>
          <w:rFonts w:hint="eastAsia" w:ascii="宋体" w:hAnsi="宋体" w:cs="宋体"/>
          <w:sz w:val="28"/>
          <w:szCs w:val="28"/>
        </w:rPr>
        <w:t>③</w:t>
      </w:r>
      <w:r>
        <w:rPr>
          <w:rFonts w:hint="eastAsia" w:ascii="宋体" w:hAnsi="宋体"/>
          <w:sz w:val="28"/>
          <w:szCs w:val="28"/>
        </w:rPr>
        <w:t>支出经济分类：</w:t>
      </w:r>
      <w:r>
        <w:rPr>
          <w:rFonts w:ascii="宋体" w:hAnsi="宋体"/>
          <w:sz w:val="28"/>
          <w:szCs w:val="28"/>
        </w:rPr>
        <w:t>1556.84</w:t>
      </w:r>
      <w:r>
        <w:rPr>
          <w:rFonts w:hint="eastAsia" w:ascii="宋体" w:hAnsi="宋体"/>
          <w:sz w:val="28"/>
          <w:szCs w:val="28"/>
        </w:rPr>
        <w:t>万元。</w:t>
      </w:r>
      <w:r>
        <w:rPr>
          <w:rFonts w:hint="eastAsia" w:ascii="宋体" w:hAnsi="宋体" w:cs="宋体"/>
          <w:color w:val="333333"/>
          <w:sz w:val="28"/>
          <w:szCs w:val="28"/>
        </w:rPr>
        <w:t>具体构成如下：</w:t>
      </w:r>
    </w:p>
    <w:p>
      <w:pPr>
        <w:wordWrap w:val="0"/>
        <w:spacing w:line="600" w:lineRule="atLeast"/>
        <w:ind w:firstLine="420" w:firstLineChars="150"/>
        <w:rPr>
          <w:rFonts w:ascii="宋体" w:cs="宋体"/>
          <w:color w:val="333333"/>
          <w:kern w:val="0"/>
          <w:sz w:val="28"/>
          <w:szCs w:val="28"/>
        </w:rPr>
      </w:pPr>
      <w:r>
        <w:rPr>
          <w:rFonts w:hint="eastAsia" w:ascii="宋体" w:hAnsi="宋体" w:cs="宋体"/>
          <w:color w:val="333333"/>
          <w:kern w:val="0"/>
          <w:sz w:val="28"/>
          <w:szCs w:val="28"/>
        </w:rPr>
        <w:t>（</w:t>
      </w:r>
      <w:r>
        <w:rPr>
          <w:rFonts w:ascii="宋体" w:hAnsi="宋体" w:cs="宋体"/>
          <w:color w:val="333333"/>
          <w:kern w:val="0"/>
          <w:sz w:val="28"/>
          <w:szCs w:val="28"/>
        </w:rPr>
        <w:t>1</w:t>
      </w:r>
      <w:r>
        <w:rPr>
          <w:rFonts w:hint="eastAsia" w:ascii="宋体" w:hAnsi="宋体" w:cs="宋体"/>
          <w:color w:val="333333"/>
          <w:kern w:val="0"/>
          <w:sz w:val="28"/>
          <w:szCs w:val="28"/>
        </w:rPr>
        <w:t>）工资福利支出</w:t>
      </w:r>
      <w:r>
        <w:rPr>
          <w:rFonts w:ascii="宋体" w:hAnsi="宋体" w:cs="宋体"/>
          <w:color w:val="333333"/>
          <w:kern w:val="0"/>
          <w:sz w:val="28"/>
          <w:szCs w:val="28"/>
        </w:rPr>
        <w:t>197.49</w:t>
      </w:r>
      <w:r>
        <w:rPr>
          <w:rFonts w:hint="eastAsia" w:ascii="宋体" w:hAnsi="宋体" w:cs="宋体"/>
          <w:color w:val="333333"/>
          <w:kern w:val="0"/>
          <w:sz w:val="28"/>
          <w:szCs w:val="28"/>
        </w:rPr>
        <w:t>万元。占比</w:t>
      </w:r>
      <w:r>
        <w:rPr>
          <w:rFonts w:ascii="宋体" w:hAnsi="宋体" w:cs="宋体"/>
          <w:color w:val="333333"/>
          <w:kern w:val="0"/>
          <w:sz w:val="28"/>
          <w:szCs w:val="28"/>
        </w:rPr>
        <w:t>12.69%</w:t>
      </w:r>
    </w:p>
    <w:p>
      <w:pPr>
        <w:wordWrap w:val="0"/>
        <w:spacing w:line="600" w:lineRule="atLeast"/>
        <w:ind w:firstLine="420" w:firstLineChars="150"/>
        <w:rPr>
          <w:rFonts w:ascii="宋体" w:cs="宋体"/>
          <w:color w:val="333333"/>
          <w:kern w:val="0"/>
          <w:sz w:val="28"/>
          <w:szCs w:val="28"/>
        </w:rPr>
      </w:pPr>
      <w:r>
        <w:rPr>
          <w:rFonts w:hint="eastAsia" w:ascii="宋体" w:hAnsi="宋体" w:cs="宋体"/>
          <w:color w:val="333333"/>
          <w:kern w:val="0"/>
          <w:sz w:val="28"/>
          <w:szCs w:val="28"/>
        </w:rPr>
        <w:t>（</w:t>
      </w:r>
      <w:r>
        <w:rPr>
          <w:rFonts w:ascii="宋体" w:hAnsi="宋体" w:cs="宋体"/>
          <w:color w:val="333333"/>
          <w:kern w:val="0"/>
          <w:sz w:val="28"/>
          <w:szCs w:val="28"/>
        </w:rPr>
        <w:t>2</w:t>
      </w:r>
      <w:r>
        <w:rPr>
          <w:rFonts w:hint="eastAsia" w:ascii="宋体" w:hAnsi="宋体" w:cs="宋体"/>
          <w:color w:val="333333"/>
          <w:kern w:val="0"/>
          <w:sz w:val="28"/>
          <w:szCs w:val="28"/>
        </w:rPr>
        <w:t>）商品和服务支出</w:t>
      </w:r>
      <w:r>
        <w:rPr>
          <w:rFonts w:ascii="宋体" w:hAnsi="宋体" w:cs="宋体"/>
          <w:color w:val="333333"/>
          <w:kern w:val="0"/>
          <w:sz w:val="28"/>
          <w:szCs w:val="28"/>
        </w:rPr>
        <w:t>1155.38</w:t>
      </w:r>
      <w:r>
        <w:rPr>
          <w:rFonts w:hint="eastAsia" w:ascii="宋体" w:hAnsi="宋体" w:cs="宋体"/>
          <w:color w:val="333333"/>
          <w:kern w:val="0"/>
          <w:sz w:val="28"/>
          <w:szCs w:val="28"/>
        </w:rPr>
        <w:t>万元。占比</w:t>
      </w:r>
      <w:r>
        <w:rPr>
          <w:rFonts w:ascii="宋体" w:hAnsi="宋体" w:cs="宋体"/>
          <w:color w:val="333333"/>
          <w:kern w:val="0"/>
          <w:sz w:val="28"/>
          <w:szCs w:val="28"/>
        </w:rPr>
        <w:t>74.21%</w:t>
      </w:r>
    </w:p>
    <w:p>
      <w:pPr>
        <w:wordWrap w:val="0"/>
        <w:spacing w:line="600" w:lineRule="atLeast"/>
        <w:ind w:firstLine="420" w:firstLineChars="150"/>
        <w:rPr>
          <w:rFonts w:ascii="宋体" w:cs="宋体"/>
          <w:color w:val="333333"/>
          <w:kern w:val="0"/>
          <w:sz w:val="28"/>
          <w:szCs w:val="28"/>
        </w:rPr>
      </w:pPr>
      <w:r>
        <w:rPr>
          <w:rFonts w:hint="eastAsia" w:ascii="宋体" w:hAnsi="宋体" w:cs="宋体"/>
          <w:color w:val="333333"/>
          <w:kern w:val="0"/>
          <w:sz w:val="28"/>
          <w:szCs w:val="28"/>
        </w:rPr>
        <w:t>（</w:t>
      </w:r>
      <w:r>
        <w:rPr>
          <w:rFonts w:ascii="宋体" w:hAnsi="宋体" w:cs="宋体"/>
          <w:color w:val="333333"/>
          <w:kern w:val="0"/>
          <w:sz w:val="28"/>
          <w:szCs w:val="28"/>
        </w:rPr>
        <w:t>3</w:t>
      </w:r>
      <w:r>
        <w:rPr>
          <w:rFonts w:hint="eastAsia" w:ascii="宋体" w:hAnsi="宋体" w:cs="宋体"/>
          <w:color w:val="333333"/>
          <w:kern w:val="0"/>
          <w:sz w:val="28"/>
          <w:szCs w:val="28"/>
        </w:rPr>
        <w:t>）资本性支出</w:t>
      </w:r>
      <w:r>
        <w:rPr>
          <w:rFonts w:ascii="宋体" w:hAnsi="宋体" w:cs="宋体"/>
          <w:color w:val="333333"/>
          <w:kern w:val="0"/>
          <w:sz w:val="28"/>
          <w:szCs w:val="28"/>
        </w:rPr>
        <w:t>203.97</w:t>
      </w:r>
      <w:r>
        <w:rPr>
          <w:rFonts w:hint="eastAsia" w:ascii="宋体" w:hAnsi="宋体" w:cs="宋体"/>
          <w:color w:val="333333"/>
          <w:kern w:val="0"/>
          <w:sz w:val="28"/>
          <w:szCs w:val="28"/>
        </w:rPr>
        <w:t>万元。占比</w:t>
      </w:r>
      <w:r>
        <w:rPr>
          <w:rFonts w:ascii="宋体" w:hAnsi="宋体" w:cs="宋体"/>
          <w:color w:val="333333"/>
          <w:kern w:val="0"/>
          <w:sz w:val="28"/>
          <w:szCs w:val="28"/>
        </w:rPr>
        <w:t>13.10%</w:t>
      </w:r>
    </w:p>
    <w:p>
      <w:pPr>
        <w:shd w:val="clear" w:color="auto" w:fill="FFFFFF"/>
        <w:snapToGrid w:val="0"/>
        <w:spacing w:line="560" w:lineRule="atLeast"/>
        <w:ind w:firstLine="560" w:firstLineChars="200"/>
        <w:rPr>
          <w:rFonts w:ascii="宋体" w:cs="宋体"/>
          <w:color w:val="333333"/>
          <w:sz w:val="28"/>
          <w:szCs w:val="28"/>
        </w:rPr>
      </w:pPr>
    </w:p>
    <w:p>
      <w:pPr>
        <w:pStyle w:val="7"/>
        <w:widowControl/>
        <w:spacing w:before="76" w:beforeAutospacing="0" w:after="76" w:afterAutospacing="0" w:line="450" w:lineRule="atLeast"/>
        <w:ind w:firstLine="422" w:firstLineChars="150"/>
        <w:rPr>
          <w:rFonts w:ascii="宋体" w:cs="宋体"/>
          <w:b/>
          <w:bCs/>
          <w:sz w:val="28"/>
          <w:szCs w:val="28"/>
          <w:shd w:val="clear" w:color="auto" w:fill="FFFFFF"/>
        </w:rPr>
      </w:pPr>
      <w:r>
        <w:rPr>
          <w:rFonts w:hint="eastAsia" w:ascii="宋体" w:hAnsi="宋体" w:cs="宋体"/>
          <w:b/>
          <w:bCs/>
          <w:sz w:val="28"/>
          <w:szCs w:val="28"/>
          <w:shd w:val="clear" w:color="auto" w:fill="FFFFFF"/>
        </w:rPr>
        <w:t>（二）关于“三公”经费支出说明</w:t>
      </w:r>
    </w:p>
    <w:p>
      <w:pPr>
        <w:wordWrap w:val="0"/>
        <w:spacing w:line="600" w:lineRule="atLeast"/>
        <w:ind w:firstLine="420" w:firstLineChars="150"/>
        <w:rPr>
          <w:rFonts w:ascii="宋体" w:cs="宋体"/>
          <w:color w:val="333333"/>
          <w:kern w:val="0"/>
          <w:sz w:val="28"/>
          <w:szCs w:val="28"/>
        </w:rPr>
      </w:pPr>
      <w:r>
        <w:rPr>
          <w:rFonts w:ascii="宋体" w:hAnsi="宋体" w:cs="宋体"/>
          <w:color w:val="333333"/>
          <w:kern w:val="0"/>
          <w:sz w:val="28"/>
          <w:szCs w:val="28"/>
        </w:rPr>
        <w:t>2021</w:t>
      </w:r>
      <w:r>
        <w:rPr>
          <w:rFonts w:hint="eastAsia" w:ascii="宋体" w:hAnsi="宋体" w:cs="宋体"/>
          <w:color w:val="333333"/>
          <w:kern w:val="0"/>
          <w:sz w:val="28"/>
          <w:szCs w:val="28"/>
        </w:rPr>
        <w:t>年“三公”经费预算数</w:t>
      </w:r>
      <w:r>
        <w:rPr>
          <w:rFonts w:ascii="宋体" w:hAnsi="宋体" w:cs="宋体"/>
          <w:color w:val="333333"/>
          <w:kern w:val="0"/>
          <w:sz w:val="28"/>
          <w:szCs w:val="28"/>
        </w:rPr>
        <w:t>9000</w:t>
      </w:r>
      <w:r>
        <w:rPr>
          <w:rFonts w:hint="eastAsia" w:ascii="宋体" w:hAnsi="宋体" w:cs="宋体"/>
          <w:color w:val="333333"/>
          <w:kern w:val="0"/>
          <w:sz w:val="28"/>
          <w:szCs w:val="28"/>
        </w:rPr>
        <w:t>元，决算总支出</w:t>
      </w:r>
      <w:r>
        <w:rPr>
          <w:rFonts w:ascii="宋体" w:hAnsi="宋体" w:cs="宋体"/>
          <w:color w:val="333333"/>
          <w:kern w:val="0"/>
          <w:sz w:val="28"/>
          <w:szCs w:val="28"/>
        </w:rPr>
        <w:t>3692</w:t>
      </w:r>
      <w:r>
        <w:rPr>
          <w:rFonts w:hint="eastAsia" w:ascii="宋体" w:hAnsi="宋体" w:cs="宋体"/>
          <w:color w:val="333333"/>
          <w:kern w:val="0"/>
          <w:sz w:val="28"/>
          <w:szCs w:val="28"/>
        </w:rPr>
        <w:t>元，其中：</w:t>
      </w:r>
    </w:p>
    <w:p>
      <w:pPr>
        <w:wordWrap w:val="0"/>
        <w:spacing w:line="600" w:lineRule="atLeast"/>
        <w:ind w:firstLine="420" w:firstLineChars="150"/>
        <w:rPr>
          <w:rFonts w:ascii="宋体" w:cs="宋体"/>
          <w:color w:val="333333"/>
          <w:kern w:val="0"/>
          <w:sz w:val="28"/>
          <w:szCs w:val="28"/>
        </w:rPr>
      </w:pPr>
      <w:r>
        <w:rPr>
          <w:rFonts w:hint="eastAsia" w:ascii="宋体" w:hAnsi="宋体" w:cs="宋体"/>
          <w:color w:val="333333"/>
          <w:kern w:val="0"/>
          <w:sz w:val="28"/>
          <w:szCs w:val="28"/>
        </w:rPr>
        <w:t>公务车运行维护费</w:t>
      </w:r>
      <w:r>
        <w:rPr>
          <w:rFonts w:ascii="宋体" w:cs="宋体"/>
          <w:color w:val="333333"/>
          <w:kern w:val="0"/>
          <w:sz w:val="28"/>
          <w:szCs w:val="28"/>
        </w:rPr>
        <w:t>0</w:t>
      </w:r>
      <w:r>
        <w:rPr>
          <w:rFonts w:hint="eastAsia" w:ascii="宋体" w:hAnsi="宋体" w:cs="宋体"/>
          <w:color w:val="333333"/>
          <w:kern w:val="0"/>
          <w:sz w:val="28"/>
          <w:szCs w:val="28"/>
        </w:rPr>
        <w:t>元，年初预算数</w:t>
      </w:r>
      <w:r>
        <w:rPr>
          <w:rFonts w:ascii="宋体" w:cs="宋体"/>
          <w:color w:val="333333"/>
          <w:kern w:val="0"/>
          <w:sz w:val="28"/>
          <w:szCs w:val="28"/>
        </w:rPr>
        <w:t>0</w:t>
      </w:r>
      <w:r>
        <w:rPr>
          <w:rFonts w:hint="eastAsia" w:ascii="宋体" w:hAnsi="宋体" w:cs="宋体"/>
          <w:color w:val="333333"/>
          <w:kern w:val="0"/>
          <w:sz w:val="28"/>
          <w:szCs w:val="28"/>
        </w:rPr>
        <w:t>元，决算数比预算数增加</w:t>
      </w:r>
      <w:r>
        <w:rPr>
          <w:rFonts w:ascii="宋体" w:cs="宋体"/>
          <w:color w:val="333333"/>
          <w:kern w:val="0"/>
          <w:sz w:val="28"/>
          <w:szCs w:val="28"/>
        </w:rPr>
        <w:t>0</w:t>
      </w:r>
      <w:r>
        <w:rPr>
          <w:rFonts w:hint="eastAsia" w:ascii="宋体" w:hAnsi="宋体" w:cs="宋体"/>
          <w:color w:val="333333"/>
          <w:kern w:val="0"/>
          <w:sz w:val="28"/>
          <w:szCs w:val="28"/>
        </w:rPr>
        <w:t>元，增加幅度为</w:t>
      </w:r>
      <w:r>
        <w:rPr>
          <w:rFonts w:ascii="宋体" w:hAnsi="宋体" w:cs="宋体"/>
          <w:color w:val="333333"/>
          <w:kern w:val="0"/>
          <w:sz w:val="28"/>
          <w:szCs w:val="28"/>
        </w:rPr>
        <w:t>0%</w:t>
      </w:r>
      <w:r>
        <w:rPr>
          <w:rFonts w:hint="eastAsia" w:ascii="宋体" w:hAnsi="宋体" w:cs="宋体"/>
          <w:color w:val="333333"/>
          <w:kern w:val="0"/>
          <w:sz w:val="28"/>
          <w:szCs w:val="28"/>
        </w:rPr>
        <w:t>。</w:t>
      </w:r>
    </w:p>
    <w:p>
      <w:pPr>
        <w:wordWrap w:val="0"/>
        <w:spacing w:line="600" w:lineRule="atLeast"/>
        <w:ind w:firstLine="420" w:firstLineChars="150"/>
        <w:rPr>
          <w:rFonts w:ascii="宋体" w:cs="宋体"/>
          <w:color w:val="333333"/>
          <w:kern w:val="0"/>
          <w:sz w:val="28"/>
          <w:szCs w:val="28"/>
        </w:rPr>
      </w:pPr>
      <w:r>
        <w:rPr>
          <w:rFonts w:hint="eastAsia" w:ascii="宋体" w:hAnsi="宋体" w:cs="宋体"/>
          <w:color w:val="333333"/>
          <w:kern w:val="0"/>
          <w:sz w:val="28"/>
          <w:szCs w:val="28"/>
        </w:rPr>
        <w:t>公务用车购置费</w:t>
      </w:r>
      <w:r>
        <w:rPr>
          <w:rFonts w:ascii="宋体" w:cs="宋体"/>
          <w:color w:val="333333"/>
          <w:kern w:val="0"/>
          <w:sz w:val="28"/>
          <w:szCs w:val="28"/>
        </w:rPr>
        <w:t>0</w:t>
      </w:r>
      <w:r>
        <w:rPr>
          <w:rFonts w:hint="eastAsia" w:ascii="宋体" w:hAnsi="宋体" w:cs="宋体"/>
          <w:color w:val="333333"/>
          <w:kern w:val="0"/>
          <w:sz w:val="28"/>
          <w:szCs w:val="28"/>
        </w:rPr>
        <w:t>元、年初预算数</w:t>
      </w:r>
      <w:r>
        <w:rPr>
          <w:rFonts w:ascii="宋体" w:cs="宋体"/>
          <w:color w:val="333333"/>
          <w:kern w:val="0"/>
          <w:sz w:val="28"/>
          <w:szCs w:val="28"/>
        </w:rPr>
        <w:t>0</w:t>
      </w:r>
      <w:r>
        <w:rPr>
          <w:rFonts w:hint="eastAsia" w:ascii="宋体" w:hAnsi="宋体" w:cs="宋体"/>
          <w:color w:val="333333"/>
          <w:kern w:val="0"/>
          <w:sz w:val="28"/>
          <w:szCs w:val="28"/>
        </w:rPr>
        <w:t>元，决算数比预算数增加</w:t>
      </w:r>
      <w:r>
        <w:rPr>
          <w:rFonts w:ascii="宋体" w:cs="宋体"/>
          <w:color w:val="333333"/>
          <w:kern w:val="0"/>
          <w:sz w:val="28"/>
          <w:szCs w:val="28"/>
        </w:rPr>
        <w:t>0</w:t>
      </w:r>
      <w:r>
        <w:rPr>
          <w:rFonts w:hint="eastAsia" w:ascii="宋体" w:hAnsi="宋体" w:cs="宋体"/>
          <w:color w:val="333333"/>
          <w:kern w:val="0"/>
          <w:sz w:val="28"/>
          <w:szCs w:val="28"/>
        </w:rPr>
        <w:t>元，增加幅度为</w:t>
      </w:r>
      <w:r>
        <w:rPr>
          <w:rFonts w:ascii="宋体" w:hAnsi="宋体" w:cs="宋体"/>
          <w:color w:val="333333"/>
          <w:kern w:val="0"/>
          <w:sz w:val="28"/>
          <w:szCs w:val="28"/>
        </w:rPr>
        <w:t>0%</w:t>
      </w:r>
      <w:r>
        <w:rPr>
          <w:rFonts w:hint="eastAsia" w:ascii="宋体" w:hAnsi="宋体" w:cs="宋体"/>
          <w:color w:val="333333"/>
          <w:kern w:val="0"/>
          <w:sz w:val="28"/>
          <w:szCs w:val="28"/>
        </w:rPr>
        <w:t>，公务用车保有量</w:t>
      </w:r>
      <w:r>
        <w:rPr>
          <w:rFonts w:ascii="宋体" w:cs="宋体"/>
          <w:color w:val="333333"/>
          <w:kern w:val="0"/>
          <w:sz w:val="28"/>
          <w:szCs w:val="28"/>
        </w:rPr>
        <w:t>0</w:t>
      </w:r>
      <w:r>
        <w:rPr>
          <w:rFonts w:hint="eastAsia" w:ascii="宋体" w:hAnsi="宋体" w:cs="宋体"/>
          <w:color w:val="333333"/>
          <w:kern w:val="0"/>
          <w:sz w:val="28"/>
          <w:szCs w:val="28"/>
        </w:rPr>
        <w:t>；</w:t>
      </w:r>
    </w:p>
    <w:p>
      <w:pPr>
        <w:wordWrap w:val="0"/>
        <w:spacing w:line="600" w:lineRule="atLeast"/>
        <w:ind w:firstLine="420" w:firstLineChars="150"/>
        <w:rPr>
          <w:rFonts w:ascii="宋体" w:cs="宋体"/>
          <w:color w:val="333333"/>
          <w:kern w:val="0"/>
          <w:sz w:val="28"/>
          <w:szCs w:val="28"/>
        </w:rPr>
      </w:pPr>
      <w:r>
        <w:rPr>
          <w:rFonts w:hint="eastAsia" w:ascii="宋体" w:hAnsi="宋体" w:cs="宋体"/>
          <w:color w:val="333333"/>
          <w:kern w:val="0"/>
          <w:sz w:val="28"/>
          <w:szCs w:val="28"/>
        </w:rPr>
        <w:t>公务接待费</w:t>
      </w:r>
      <w:r>
        <w:rPr>
          <w:rFonts w:ascii="宋体" w:hAnsi="宋体" w:cs="宋体"/>
          <w:color w:val="333333"/>
          <w:kern w:val="0"/>
          <w:sz w:val="28"/>
          <w:szCs w:val="28"/>
        </w:rPr>
        <w:t>3692</w:t>
      </w:r>
      <w:r>
        <w:rPr>
          <w:rFonts w:hint="eastAsia" w:ascii="宋体" w:hAnsi="宋体" w:cs="宋体"/>
          <w:color w:val="333333"/>
          <w:kern w:val="0"/>
          <w:sz w:val="28"/>
          <w:szCs w:val="28"/>
        </w:rPr>
        <w:t>元，年初预算数</w:t>
      </w:r>
      <w:r>
        <w:rPr>
          <w:rFonts w:ascii="宋体" w:cs="宋体"/>
          <w:color w:val="333333"/>
          <w:kern w:val="0"/>
          <w:sz w:val="28"/>
          <w:szCs w:val="28"/>
        </w:rPr>
        <w:t>9000</w:t>
      </w:r>
      <w:r>
        <w:rPr>
          <w:rFonts w:hint="eastAsia" w:ascii="宋体" w:hAnsi="宋体" w:cs="宋体"/>
          <w:color w:val="333333"/>
          <w:kern w:val="0"/>
          <w:sz w:val="28"/>
          <w:szCs w:val="28"/>
        </w:rPr>
        <w:t>元，</w:t>
      </w:r>
      <w:r>
        <w:rPr>
          <w:rFonts w:hint="eastAsia" w:ascii="宋体" w:hAnsi="宋体"/>
          <w:sz w:val="28"/>
          <w:szCs w:val="28"/>
        </w:rPr>
        <w:t>决算数比预算数减少</w:t>
      </w:r>
      <w:r>
        <w:rPr>
          <w:rFonts w:ascii="宋体" w:hAnsi="宋体"/>
          <w:sz w:val="28"/>
          <w:szCs w:val="28"/>
        </w:rPr>
        <w:t>5308</w:t>
      </w:r>
      <w:r>
        <w:rPr>
          <w:rFonts w:hint="eastAsia" w:ascii="宋体" w:hAnsi="宋体"/>
          <w:sz w:val="28"/>
          <w:szCs w:val="28"/>
        </w:rPr>
        <w:t>元，减少幅度为</w:t>
      </w:r>
      <w:r>
        <w:rPr>
          <w:rFonts w:ascii="宋体" w:hAnsi="宋体"/>
          <w:sz w:val="28"/>
          <w:szCs w:val="28"/>
        </w:rPr>
        <w:t>58.98%</w:t>
      </w:r>
      <w:r>
        <w:rPr>
          <w:rFonts w:hint="eastAsia" w:ascii="宋体" w:hAnsi="宋体"/>
          <w:sz w:val="28"/>
          <w:szCs w:val="28"/>
        </w:rPr>
        <w:t>，其主要原因为本年度公务接待事务减少，</w:t>
      </w:r>
      <w:r>
        <w:rPr>
          <w:rFonts w:hint="eastAsia" w:ascii="宋体" w:hAnsi="宋体" w:cs="宋体"/>
          <w:color w:val="333333"/>
          <w:kern w:val="0"/>
          <w:sz w:val="28"/>
          <w:szCs w:val="28"/>
        </w:rPr>
        <w:t>全年公务接待</w:t>
      </w:r>
      <w:r>
        <w:rPr>
          <w:rFonts w:ascii="宋体" w:hAnsi="宋体" w:cs="宋体"/>
          <w:color w:val="333333"/>
          <w:kern w:val="0"/>
          <w:sz w:val="28"/>
          <w:szCs w:val="28"/>
        </w:rPr>
        <w:t>4</w:t>
      </w:r>
      <w:r>
        <w:rPr>
          <w:rFonts w:hint="eastAsia" w:ascii="宋体" w:hAnsi="宋体" w:cs="宋体"/>
          <w:color w:val="333333"/>
          <w:kern w:val="0"/>
          <w:sz w:val="28"/>
          <w:szCs w:val="28"/>
        </w:rPr>
        <w:t>批</w:t>
      </w:r>
      <w:r>
        <w:rPr>
          <w:rFonts w:ascii="宋体" w:hAnsi="宋体" w:cs="宋体"/>
          <w:color w:val="333333"/>
          <w:kern w:val="0"/>
          <w:sz w:val="28"/>
          <w:szCs w:val="28"/>
        </w:rPr>
        <w:t>29</w:t>
      </w:r>
      <w:r>
        <w:rPr>
          <w:rFonts w:hint="eastAsia" w:ascii="宋体" w:hAnsi="宋体" w:cs="宋体"/>
          <w:color w:val="333333"/>
          <w:kern w:val="0"/>
          <w:sz w:val="28"/>
          <w:szCs w:val="28"/>
        </w:rPr>
        <w:t>人。</w:t>
      </w:r>
    </w:p>
    <w:p>
      <w:pPr>
        <w:wordWrap w:val="0"/>
        <w:spacing w:line="600" w:lineRule="atLeast"/>
        <w:ind w:firstLine="420" w:firstLineChars="150"/>
        <w:rPr>
          <w:rFonts w:ascii="宋体" w:cs="宋体"/>
          <w:color w:val="333333"/>
          <w:kern w:val="0"/>
          <w:sz w:val="28"/>
          <w:szCs w:val="28"/>
        </w:rPr>
      </w:pPr>
      <w:r>
        <w:rPr>
          <w:rFonts w:hint="eastAsia" w:ascii="宋体" w:hAnsi="宋体" w:cs="宋体"/>
          <w:color w:val="333333"/>
          <w:kern w:val="0"/>
          <w:sz w:val="28"/>
          <w:szCs w:val="28"/>
        </w:rPr>
        <w:t>因公出国（境）费</w:t>
      </w:r>
      <w:r>
        <w:rPr>
          <w:rFonts w:ascii="宋体" w:cs="宋体"/>
          <w:color w:val="333333"/>
          <w:kern w:val="0"/>
          <w:sz w:val="28"/>
          <w:szCs w:val="28"/>
        </w:rPr>
        <w:t>0</w:t>
      </w:r>
      <w:r>
        <w:rPr>
          <w:rFonts w:hint="eastAsia" w:ascii="宋体" w:hAnsi="宋体" w:cs="宋体"/>
          <w:color w:val="333333"/>
          <w:kern w:val="0"/>
          <w:sz w:val="28"/>
          <w:szCs w:val="28"/>
        </w:rPr>
        <w:t>元，预算数</w:t>
      </w:r>
      <w:r>
        <w:rPr>
          <w:rFonts w:ascii="宋体" w:cs="宋体"/>
          <w:color w:val="333333"/>
          <w:kern w:val="0"/>
          <w:sz w:val="28"/>
          <w:szCs w:val="28"/>
        </w:rPr>
        <w:t>0</w:t>
      </w:r>
      <w:r>
        <w:rPr>
          <w:rFonts w:hint="eastAsia" w:ascii="宋体" w:hAnsi="宋体" w:cs="宋体"/>
          <w:color w:val="333333"/>
          <w:kern w:val="0"/>
          <w:sz w:val="28"/>
          <w:szCs w:val="28"/>
        </w:rPr>
        <w:t>元，决算数比预算数增加</w:t>
      </w:r>
      <w:r>
        <w:rPr>
          <w:rFonts w:ascii="宋体" w:cs="宋体"/>
          <w:color w:val="333333"/>
          <w:kern w:val="0"/>
          <w:sz w:val="28"/>
          <w:szCs w:val="28"/>
        </w:rPr>
        <w:t>0</w:t>
      </w:r>
      <w:r>
        <w:rPr>
          <w:rFonts w:hint="eastAsia" w:ascii="宋体" w:hAnsi="宋体" w:cs="宋体"/>
          <w:color w:val="333333"/>
          <w:kern w:val="0"/>
          <w:sz w:val="28"/>
          <w:szCs w:val="28"/>
        </w:rPr>
        <w:t>元，增长幅度为</w:t>
      </w:r>
      <w:r>
        <w:rPr>
          <w:rFonts w:ascii="宋体" w:hAnsi="宋体" w:cs="宋体"/>
          <w:color w:val="333333"/>
          <w:kern w:val="0"/>
          <w:sz w:val="28"/>
          <w:szCs w:val="28"/>
        </w:rPr>
        <w:t>0%</w:t>
      </w:r>
      <w:r>
        <w:rPr>
          <w:rFonts w:hint="eastAsia" w:ascii="宋体" w:hAnsi="宋体" w:cs="宋体"/>
          <w:color w:val="333333"/>
          <w:kern w:val="0"/>
          <w:sz w:val="28"/>
          <w:szCs w:val="28"/>
        </w:rPr>
        <w:t>，本单位因公出国（境）团组数</w:t>
      </w:r>
      <w:r>
        <w:rPr>
          <w:rFonts w:ascii="宋体" w:cs="宋体"/>
          <w:color w:val="333333"/>
          <w:kern w:val="0"/>
          <w:sz w:val="28"/>
          <w:szCs w:val="28"/>
        </w:rPr>
        <w:t>0</w:t>
      </w:r>
      <w:r>
        <w:rPr>
          <w:rFonts w:hint="eastAsia" w:ascii="宋体" w:hAnsi="宋体" w:cs="宋体"/>
          <w:color w:val="333333"/>
          <w:kern w:val="0"/>
          <w:sz w:val="28"/>
          <w:szCs w:val="28"/>
        </w:rPr>
        <w:t>、人数</w:t>
      </w:r>
      <w:r>
        <w:rPr>
          <w:rFonts w:ascii="宋体" w:cs="宋体"/>
          <w:color w:val="333333"/>
          <w:kern w:val="0"/>
          <w:sz w:val="28"/>
          <w:szCs w:val="28"/>
        </w:rPr>
        <w:t>0</w:t>
      </w:r>
      <w:r>
        <w:rPr>
          <w:rFonts w:hint="eastAsia" w:ascii="宋体" w:hAnsi="宋体" w:cs="宋体"/>
          <w:color w:val="333333"/>
          <w:kern w:val="0"/>
          <w:sz w:val="28"/>
          <w:szCs w:val="28"/>
        </w:rPr>
        <w:t>。</w:t>
      </w:r>
    </w:p>
    <w:p>
      <w:pPr>
        <w:wordWrap w:val="0"/>
        <w:spacing w:line="600" w:lineRule="atLeast"/>
        <w:ind w:firstLine="420" w:firstLineChars="150"/>
        <w:rPr>
          <w:rFonts w:ascii="宋体" w:cs="宋体"/>
          <w:color w:val="333333"/>
          <w:kern w:val="0"/>
          <w:sz w:val="28"/>
          <w:szCs w:val="28"/>
        </w:rPr>
      </w:pPr>
      <w:r>
        <w:rPr>
          <w:rFonts w:ascii="宋体" w:hAnsi="宋体" w:cs="宋体"/>
          <w:color w:val="333333"/>
          <w:kern w:val="0"/>
          <w:sz w:val="28"/>
          <w:szCs w:val="28"/>
        </w:rPr>
        <w:t>2020</w:t>
      </w:r>
      <w:r>
        <w:rPr>
          <w:rFonts w:hint="eastAsia" w:ascii="宋体" w:hAnsi="宋体" w:cs="宋体"/>
          <w:color w:val="333333"/>
          <w:kern w:val="0"/>
          <w:sz w:val="28"/>
          <w:szCs w:val="28"/>
        </w:rPr>
        <w:t>年“三公”经费预算数</w:t>
      </w:r>
      <w:r>
        <w:rPr>
          <w:rFonts w:ascii="宋体" w:hAnsi="宋体" w:cs="宋体"/>
          <w:color w:val="333333"/>
          <w:kern w:val="0"/>
          <w:sz w:val="28"/>
          <w:szCs w:val="28"/>
        </w:rPr>
        <w:t>9000</w:t>
      </w:r>
      <w:r>
        <w:rPr>
          <w:rFonts w:hint="eastAsia" w:ascii="宋体" w:hAnsi="宋体" w:cs="宋体"/>
          <w:color w:val="333333"/>
          <w:kern w:val="0"/>
          <w:sz w:val="28"/>
          <w:szCs w:val="28"/>
        </w:rPr>
        <w:t>元，决算总支出</w:t>
      </w:r>
      <w:r>
        <w:rPr>
          <w:rFonts w:ascii="宋体" w:hAnsi="宋体" w:cs="宋体"/>
          <w:color w:val="333333"/>
          <w:kern w:val="0"/>
          <w:sz w:val="28"/>
          <w:szCs w:val="28"/>
        </w:rPr>
        <w:t>580</w:t>
      </w:r>
      <w:r>
        <w:rPr>
          <w:rFonts w:hint="eastAsia" w:ascii="宋体" w:hAnsi="宋体" w:cs="宋体"/>
          <w:color w:val="333333"/>
          <w:kern w:val="0"/>
          <w:sz w:val="28"/>
          <w:szCs w:val="28"/>
        </w:rPr>
        <w:t>元，其中：</w:t>
      </w:r>
    </w:p>
    <w:p>
      <w:pPr>
        <w:wordWrap w:val="0"/>
        <w:spacing w:line="600" w:lineRule="atLeast"/>
        <w:ind w:firstLine="420" w:firstLineChars="150"/>
        <w:rPr>
          <w:rFonts w:ascii="宋体" w:cs="宋体"/>
          <w:color w:val="333333"/>
          <w:kern w:val="0"/>
          <w:sz w:val="28"/>
          <w:szCs w:val="28"/>
        </w:rPr>
      </w:pPr>
      <w:r>
        <w:rPr>
          <w:rFonts w:hint="eastAsia" w:ascii="宋体" w:hAnsi="宋体"/>
          <w:sz w:val="28"/>
          <w:szCs w:val="28"/>
        </w:rPr>
        <w:t>公务用车购置费决算数</w:t>
      </w:r>
      <w:r>
        <w:rPr>
          <w:rFonts w:ascii="宋体"/>
          <w:sz w:val="28"/>
          <w:szCs w:val="28"/>
        </w:rPr>
        <w:t>0</w:t>
      </w:r>
      <w:r>
        <w:rPr>
          <w:rFonts w:hint="eastAsia" w:ascii="宋体" w:hAnsi="宋体"/>
          <w:sz w:val="28"/>
          <w:szCs w:val="28"/>
        </w:rPr>
        <w:t>元、预算数</w:t>
      </w:r>
      <w:r>
        <w:rPr>
          <w:rFonts w:ascii="宋体"/>
          <w:sz w:val="28"/>
          <w:szCs w:val="28"/>
        </w:rPr>
        <w:t>0</w:t>
      </w:r>
      <w:r>
        <w:rPr>
          <w:rFonts w:hint="eastAsia" w:ascii="宋体" w:hAnsi="宋体"/>
          <w:sz w:val="28"/>
          <w:szCs w:val="28"/>
        </w:rPr>
        <w:t>元，决算数比预算数增加</w:t>
      </w:r>
      <w:r>
        <w:rPr>
          <w:rFonts w:ascii="宋体"/>
          <w:sz w:val="28"/>
          <w:szCs w:val="28"/>
        </w:rPr>
        <w:t>0</w:t>
      </w:r>
      <w:r>
        <w:rPr>
          <w:rFonts w:hint="eastAsia" w:ascii="宋体" w:hAnsi="宋体"/>
          <w:sz w:val="28"/>
          <w:szCs w:val="28"/>
        </w:rPr>
        <w:t>元，增长幅度为</w:t>
      </w:r>
      <w:r>
        <w:rPr>
          <w:rFonts w:ascii="宋体" w:hAnsi="宋体"/>
          <w:sz w:val="28"/>
          <w:szCs w:val="28"/>
        </w:rPr>
        <w:t>0%</w:t>
      </w:r>
      <w:r>
        <w:rPr>
          <w:rFonts w:hint="eastAsia" w:ascii="宋体" w:hAnsi="宋体"/>
          <w:sz w:val="28"/>
          <w:szCs w:val="28"/>
        </w:rPr>
        <w:t>，公务用车保有量</w:t>
      </w:r>
      <w:r>
        <w:rPr>
          <w:rFonts w:ascii="宋体"/>
          <w:sz w:val="28"/>
          <w:szCs w:val="28"/>
        </w:rPr>
        <w:t>0</w:t>
      </w:r>
      <w:r>
        <w:rPr>
          <w:rFonts w:hint="eastAsia" w:ascii="宋体" w:hAnsi="宋体"/>
          <w:sz w:val="28"/>
          <w:szCs w:val="28"/>
        </w:rPr>
        <w:t>辆。</w:t>
      </w:r>
    </w:p>
    <w:p>
      <w:pPr>
        <w:wordWrap w:val="0"/>
        <w:spacing w:line="600" w:lineRule="atLeast"/>
        <w:ind w:firstLine="420" w:firstLineChars="150"/>
        <w:rPr>
          <w:rFonts w:ascii="宋体" w:cs="仿宋"/>
          <w:bCs/>
          <w:color w:val="000000"/>
          <w:sz w:val="28"/>
          <w:szCs w:val="28"/>
        </w:rPr>
      </w:pPr>
      <w:r>
        <w:rPr>
          <w:rFonts w:hint="eastAsia" w:ascii="宋体" w:hAnsi="宋体" w:cs="宋体"/>
          <w:color w:val="333333"/>
          <w:kern w:val="0"/>
          <w:sz w:val="28"/>
          <w:szCs w:val="28"/>
        </w:rPr>
        <w:t>公务车运行维护费</w:t>
      </w:r>
      <w:r>
        <w:rPr>
          <w:rFonts w:ascii="宋体" w:cs="宋体"/>
          <w:color w:val="333333"/>
          <w:kern w:val="0"/>
          <w:sz w:val="28"/>
          <w:szCs w:val="28"/>
        </w:rPr>
        <w:t>0</w:t>
      </w:r>
      <w:r>
        <w:rPr>
          <w:rFonts w:hint="eastAsia" w:ascii="宋体" w:hAnsi="宋体" w:cs="宋体"/>
          <w:color w:val="333333"/>
          <w:kern w:val="0"/>
          <w:sz w:val="28"/>
          <w:szCs w:val="28"/>
        </w:rPr>
        <w:t>元，</w:t>
      </w:r>
      <w:r>
        <w:rPr>
          <w:rFonts w:hint="eastAsia" w:ascii="宋体" w:hAnsi="宋体"/>
          <w:sz w:val="28"/>
          <w:szCs w:val="28"/>
        </w:rPr>
        <w:t>预算数</w:t>
      </w:r>
      <w:r>
        <w:rPr>
          <w:rFonts w:ascii="宋体"/>
          <w:sz w:val="28"/>
          <w:szCs w:val="28"/>
        </w:rPr>
        <w:t>0</w:t>
      </w:r>
      <w:r>
        <w:rPr>
          <w:rFonts w:hint="eastAsia" w:ascii="宋体" w:hAnsi="宋体"/>
          <w:sz w:val="28"/>
          <w:szCs w:val="28"/>
        </w:rPr>
        <w:t>元，决算数比预算数增加</w:t>
      </w:r>
      <w:r>
        <w:rPr>
          <w:rFonts w:ascii="宋体"/>
          <w:sz w:val="28"/>
          <w:szCs w:val="28"/>
        </w:rPr>
        <w:t>0</w:t>
      </w:r>
      <w:r>
        <w:rPr>
          <w:rFonts w:hint="eastAsia" w:ascii="宋体" w:hAnsi="宋体"/>
          <w:sz w:val="28"/>
          <w:szCs w:val="28"/>
        </w:rPr>
        <w:t>元，增长幅度为</w:t>
      </w:r>
      <w:r>
        <w:rPr>
          <w:rFonts w:ascii="宋体" w:hAnsi="宋体"/>
          <w:sz w:val="28"/>
          <w:szCs w:val="28"/>
        </w:rPr>
        <w:t>0%</w:t>
      </w:r>
      <w:r>
        <w:rPr>
          <w:rFonts w:hint="eastAsia" w:ascii="宋体" w:hAnsi="宋体"/>
          <w:sz w:val="28"/>
          <w:szCs w:val="28"/>
        </w:rPr>
        <w:t>。</w:t>
      </w:r>
    </w:p>
    <w:p>
      <w:pPr>
        <w:wordWrap w:val="0"/>
        <w:spacing w:line="600" w:lineRule="atLeast"/>
        <w:ind w:firstLine="420" w:firstLineChars="150"/>
        <w:rPr>
          <w:rFonts w:ascii="宋体"/>
          <w:sz w:val="28"/>
          <w:szCs w:val="28"/>
        </w:rPr>
      </w:pPr>
      <w:r>
        <w:rPr>
          <w:rFonts w:hint="eastAsia" w:ascii="宋体" w:hAnsi="宋体" w:cs="宋体"/>
          <w:color w:val="333333"/>
          <w:kern w:val="0"/>
          <w:sz w:val="28"/>
          <w:szCs w:val="28"/>
        </w:rPr>
        <w:t>公务接待费</w:t>
      </w:r>
      <w:r>
        <w:rPr>
          <w:rFonts w:ascii="宋体" w:hAnsi="宋体" w:cs="宋体"/>
          <w:color w:val="333333"/>
          <w:kern w:val="0"/>
          <w:sz w:val="28"/>
          <w:szCs w:val="28"/>
        </w:rPr>
        <w:t>580</w:t>
      </w:r>
      <w:r>
        <w:rPr>
          <w:rFonts w:hint="eastAsia" w:ascii="宋体" w:hAnsi="宋体" w:cs="宋体"/>
          <w:color w:val="333333"/>
          <w:kern w:val="0"/>
          <w:sz w:val="28"/>
          <w:szCs w:val="28"/>
        </w:rPr>
        <w:t>元，年初预算数</w:t>
      </w:r>
      <w:r>
        <w:rPr>
          <w:rFonts w:ascii="宋体" w:hAnsi="宋体" w:cs="宋体"/>
          <w:color w:val="333333"/>
          <w:kern w:val="0"/>
          <w:sz w:val="28"/>
          <w:szCs w:val="28"/>
        </w:rPr>
        <w:t>9000</w:t>
      </w:r>
      <w:r>
        <w:rPr>
          <w:rFonts w:hint="eastAsia" w:ascii="宋体" w:hAnsi="宋体" w:cs="宋体"/>
          <w:color w:val="333333"/>
          <w:kern w:val="0"/>
          <w:sz w:val="28"/>
          <w:szCs w:val="28"/>
        </w:rPr>
        <w:t>元，</w:t>
      </w:r>
      <w:r>
        <w:rPr>
          <w:rFonts w:hint="eastAsia" w:ascii="宋体" w:hAnsi="宋体"/>
          <w:sz w:val="28"/>
          <w:szCs w:val="28"/>
        </w:rPr>
        <w:t>决算数比预算数减少</w:t>
      </w:r>
      <w:r>
        <w:rPr>
          <w:rFonts w:ascii="宋体" w:hAnsi="宋体"/>
          <w:sz w:val="28"/>
          <w:szCs w:val="28"/>
        </w:rPr>
        <w:t>8420</w:t>
      </w:r>
      <w:r>
        <w:rPr>
          <w:rFonts w:hint="eastAsia" w:ascii="宋体" w:hAnsi="宋体"/>
          <w:sz w:val="28"/>
          <w:szCs w:val="28"/>
        </w:rPr>
        <w:t>元，减少幅度为</w:t>
      </w:r>
      <w:r>
        <w:rPr>
          <w:rFonts w:ascii="宋体" w:hAnsi="宋体"/>
          <w:sz w:val="28"/>
          <w:szCs w:val="28"/>
        </w:rPr>
        <w:t>93.56%</w:t>
      </w:r>
      <w:r>
        <w:rPr>
          <w:rFonts w:hint="eastAsia" w:ascii="宋体" w:hAnsi="宋体"/>
          <w:sz w:val="28"/>
          <w:szCs w:val="28"/>
        </w:rPr>
        <w:t>，其主要原因为公务接待事务减少，</w:t>
      </w:r>
      <w:r>
        <w:rPr>
          <w:rFonts w:hint="eastAsia" w:ascii="宋体" w:hAnsi="宋体" w:cs="宋体"/>
          <w:color w:val="333333"/>
          <w:kern w:val="0"/>
          <w:sz w:val="28"/>
          <w:szCs w:val="28"/>
        </w:rPr>
        <w:t>全年公务接待</w:t>
      </w:r>
      <w:r>
        <w:rPr>
          <w:rFonts w:ascii="宋体" w:hAnsi="宋体" w:cs="宋体"/>
          <w:color w:val="333333"/>
          <w:kern w:val="0"/>
          <w:sz w:val="28"/>
          <w:szCs w:val="28"/>
        </w:rPr>
        <w:t>1</w:t>
      </w:r>
      <w:r>
        <w:rPr>
          <w:rFonts w:hint="eastAsia" w:ascii="宋体" w:hAnsi="宋体" w:cs="宋体"/>
          <w:color w:val="333333"/>
          <w:kern w:val="0"/>
          <w:sz w:val="28"/>
          <w:szCs w:val="28"/>
        </w:rPr>
        <w:t>批</w:t>
      </w:r>
      <w:r>
        <w:rPr>
          <w:rFonts w:ascii="宋体" w:hAnsi="宋体" w:cs="宋体"/>
          <w:color w:val="333333"/>
          <w:kern w:val="0"/>
          <w:sz w:val="28"/>
          <w:szCs w:val="28"/>
        </w:rPr>
        <w:t>7</w:t>
      </w:r>
      <w:r>
        <w:rPr>
          <w:rFonts w:hint="eastAsia" w:ascii="宋体" w:hAnsi="宋体" w:cs="宋体"/>
          <w:color w:val="333333"/>
          <w:kern w:val="0"/>
          <w:sz w:val="28"/>
          <w:szCs w:val="28"/>
        </w:rPr>
        <w:t>人。</w:t>
      </w:r>
      <w:r>
        <w:rPr>
          <w:rFonts w:ascii="宋体" w:hAnsi="宋体" w:cs="宋体"/>
          <w:color w:val="333333"/>
          <w:kern w:val="0"/>
          <w:sz w:val="28"/>
          <w:szCs w:val="28"/>
        </w:rPr>
        <w:t>21</w:t>
      </w:r>
      <w:r>
        <w:rPr>
          <w:rFonts w:hint="eastAsia" w:ascii="宋体" w:hAnsi="宋体" w:cs="宋体"/>
          <w:color w:val="333333"/>
          <w:kern w:val="0"/>
          <w:sz w:val="28"/>
          <w:szCs w:val="28"/>
        </w:rPr>
        <w:t>年决算数与</w:t>
      </w:r>
      <w:r>
        <w:rPr>
          <w:rFonts w:ascii="宋体" w:hAnsi="宋体" w:cs="宋体"/>
          <w:color w:val="333333"/>
          <w:kern w:val="0"/>
          <w:sz w:val="28"/>
          <w:szCs w:val="28"/>
        </w:rPr>
        <w:t>20</w:t>
      </w:r>
      <w:r>
        <w:rPr>
          <w:rFonts w:hint="eastAsia" w:ascii="宋体" w:hAnsi="宋体" w:cs="宋体"/>
          <w:color w:val="333333"/>
          <w:kern w:val="0"/>
          <w:sz w:val="28"/>
          <w:szCs w:val="28"/>
        </w:rPr>
        <w:t>年相比增加</w:t>
      </w:r>
      <w:r>
        <w:rPr>
          <w:rFonts w:ascii="宋体" w:hAnsi="宋体" w:cs="宋体"/>
          <w:color w:val="333333"/>
          <w:kern w:val="0"/>
          <w:sz w:val="28"/>
          <w:szCs w:val="28"/>
        </w:rPr>
        <w:t>3112</w:t>
      </w:r>
      <w:r>
        <w:rPr>
          <w:rFonts w:hint="eastAsia" w:ascii="宋体" w:hAnsi="宋体" w:cs="宋体"/>
          <w:color w:val="333333"/>
          <w:kern w:val="0"/>
          <w:sz w:val="28"/>
          <w:szCs w:val="28"/>
        </w:rPr>
        <w:t>元、增幅</w:t>
      </w:r>
      <w:r>
        <w:rPr>
          <w:rFonts w:ascii="宋体" w:hAnsi="宋体" w:cs="宋体"/>
          <w:color w:val="333333"/>
          <w:kern w:val="0"/>
          <w:sz w:val="28"/>
          <w:szCs w:val="28"/>
        </w:rPr>
        <w:t>536.55%</w:t>
      </w:r>
      <w:r>
        <w:rPr>
          <w:rFonts w:hint="eastAsia" w:ascii="宋体" w:hAnsi="宋体" w:cs="宋体"/>
          <w:color w:val="333333"/>
          <w:kern w:val="0"/>
          <w:sz w:val="28"/>
          <w:szCs w:val="28"/>
        </w:rPr>
        <w:t>，</w:t>
      </w:r>
      <w:r>
        <w:rPr>
          <w:rFonts w:hint="eastAsia" w:ascii="宋体" w:hAnsi="宋体"/>
          <w:sz w:val="28"/>
          <w:szCs w:val="28"/>
        </w:rPr>
        <w:t>其主要原因为本年度公务接待事务增加。</w:t>
      </w:r>
    </w:p>
    <w:p>
      <w:pPr>
        <w:wordWrap w:val="0"/>
        <w:spacing w:line="600" w:lineRule="atLeast"/>
        <w:ind w:firstLine="420" w:firstLineChars="150"/>
        <w:rPr>
          <w:rFonts w:ascii="宋体" w:cs="宋体"/>
          <w:color w:val="333333"/>
          <w:kern w:val="0"/>
          <w:sz w:val="28"/>
          <w:szCs w:val="28"/>
        </w:rPr>
      </w:pPr>
      <w:r>
        <w:rPr>
          <w:rFonts w:hint="eastAsia" w:ascii="宋体" w:hAnsi="宋体" w:cs="宋体"/>
          <w:color w:val="333333"/>
          <w:kern w:val="0"/>
          <w:sz w:val="28"/>
          <w:szCs w:val="28"/>
        </w:rPr>
        <w:t>因公出国（境）费</w:t>
      </w:r>
      <w:r>
        <w:rPr>
          <w:rFonts w:ascii="宋体" w:cs="宋体"/>
          <w:color w:val="333333"/>
          <w:kern w:val="0"/>
          <w:sz w:val="28"/>
          <w:szCs w:val="28"/>
        </w:rPr>
        <w:t>0</w:t>
      </w:r>
      <w:r>
        <w:rPr>
          <w:rFonts w:hint="eastAsia" w:ascii="宋体" w:hAnsi="宋体" w:cs="宋体"/>
          <w:color w:val="333333"/>
          <w:kern w:val="0"/>
          <w:sz w:val="28"/>
          <w:szCs w:val="28"/>
        </w:rPr>
        <w:t>元，预算数</w:t>
      </w:r>
      <w:r>
        <w:rPr>
          <w:rFonts w:ascii="宋体" w:cs="宋体"/>
          <w:color w:val="333333"/>
          <w:kern w:val="0"/>
          <w:sz w:val="28"/>
          <w:szCs w:val="28"/>
        </w:rPr>
        <w:t>0</w:t>
      </w:r>
      <w:r>
        <w:rPr>
          <w:rFonts w:hint="eastAsia" w:ascii="宋体" w:hAnsi="宋体" w:cs="宋体"/>
          <w:color w:val="333333"/>
          <w:kern w:val="0"/>
          <w:sz w:val="28"/>
          <w:szCs w:val="28"/>
        </w:rPr>
        <w:t>元，决算数比预算数增加</w:t>
      </w:r>
      <w:r>
        <w:rPr>
          <w:rFonts w:ascii="宋体" w:cs="宋体"/>
          <w:color w:val="333333"/>
          <w:kern w:val="0"/>
          <w:sz w:val="28"/>
          <w:szCs w:val="28"/>
        </w:rPr>
        <w:t>0</w:t>
      </w:r>
      <w:r>
        <w:rPr>
          <w:rFonts w:hint="eastAsia" w:ascii="宋体" w:hAnsi="宋体" w:cs="宋体"/>
          <w:color w:val="333333"/>
          <w:kern w:val="0"/>
          <w:sz w:val="28"/>
          <w:szCs w:val="28"/>
        </w:rPr>
        <w:t>元，增长幅度为</w:t>
      </w:r>
      <w:r>
        <w:rPr>
          <w:rFonts w:ascii="宋体" w:hAnsi="宋体" w:cs="宋体"/>
          <w:color w:val="333333"/>
          <w:kern w:val="0"/>
          <w:sz w:val="28"/>
          <w:szCs w:val="28"/>
        </w:rPr>
        <w:t>0%</w:t>
      </w:r>
      <w:r>
        <w:rPr>
          <w:rFonts w:hint="eastAsia" w:ascii="宋体" w:hAnsi="宋体" w:cs="宋体"/>
          <w:color w:val="333333"/>
          <w:kern w:val="0"/>
          <w:sz w:val="28"/>
          <w:szCs w:val="28"/>
        </w:rPr>
        <w:t>，本单位因公出国（境）团组数</w:t>
      </w:r>
      <w:r>
        <w:rPr>
          <w:rFonts w:ascii="宋体" w:cs="宋体"/>
          <w:color w:val="333333"/>
          <w:kern w:val="0"/>
          <w:sz w:val="28"/>
          <w:szCs w:val="28"/>
        </w:rPr>
        <w:t>0</w:t>
      </w:r>
      <w:r>
        <w:rPr>
          <w:rFonts w:hint="eastAsia" w:ascii="宋体" w:hAnsi="宋体" w:cs="宋体"/>
          <w:color w:val="333333"/>
          <w:kern w:val="0"/>
          <w:sz w:val="28"/>
          <w:szCs w:val="28"/>
        </w:rPr>
        <w:t>、人数</w:t>
      </w:r>
      <w:r>
        <w:rPr>
          <w:rFonts w:ascii="宋体" w:cs="宋体"/>
          <w:color w:val="333333"/>
          <w:kern w:val="0"/>
          <w:sz w:val="28"/>
          <w:szCs w:val="28"/>
        </w:rPr>
        <w:t>0</w:t>
      </w:r>
      <w:r>
        <w:rPr>
          <w:rFonts w:hint="eastAsia" w:ascii="宋体" w:hAnsi="宋体" w:cs="宋体"/>
          <w:color w:val="333333"/>
          <w:kern w:val="0"/>
          <w:sz w:val="28"/>
          <w:szCs w:val="28"/>
        </w:rPr>
        <w:t>。</w:t>
      </w:r>
    </w:p>
    <w:p>
      <w:pPr>
        <w:wordWrap w:val="0"/>
        <w:spacing w:line="600" w:lineRule="atLeast"/>
        <w:ind w:firstLine="420" w:firstLineChars="150"/>
        <w:rPr>
          <w:rFonts w:ascii="宋体" w:cs="宋体"/>
          <w:color w:val="333333"/>
          <w:kern w:val="0"/>
          <w:sz w:val="28"/>
          <w:szCs w:val="28"/>
        </w:rPr>
      </w:pPr>
    </w:p>
    <w:p>
      <w:pPr>
        <w:wordWrap w:val="0"/>
        <w:spacing w:line="600" w:lineRule="atLeast"/>
        <w:ind w:firstLine="420" w:firstLineChars="150"/>
        <w:rPr>
          <w:rFonts w:ascii="宋体" w:cs="仿宋"/>
          <w:bCs/>
          <w:color w:val="000000"/>
          <w:sz w:val="28"/>
          <w:szCs w:val="28"/>
        </w:rPr>
      </w:pPr>
    </w:p>
    <w:p>
      <w:pPr>
        <w:wordWrap w:val="0"/>
        <w:spacing w:line="600" w:lineRule="atLeast"/>
        <w:ind w:firstLine="420" w:firstLineChars="150"/>
        <w:rPr>
          <w:rFonts w:ascii="宋体" w:cs="宋体"/>
          <w:color w:val="333333"/>
          <w:kern w:val="0"/>
          <w:sz w:val="28"/>
          <w:szCs w:val="28"/>
        </w:rPr>
      </w:pPr>
    </w:p>
    <w:p>
      <w:pPr>
        <w:pStyle w:val="7"/>
        <w:widowControl/>
        <w:spacing w:before="76" w:beforeAutospacing="0" w:after="76" w:afterAutospacing="0" w:line="450" w:lineRule="atLeast"/>
        <w:ind w:firstLine="422" w:firstLineChars="150"/>
        <w:rPr>
          <w:rFonts w:ascii="宋体" w:cs="宋体"/>
          <w:b/>
          <w:bCs/>
          <w:sz w:val="28"/>
          <w:szCs w:val="28"/>
          <w:shd w:val="clear" w:color="auto" w:fill="FFFFFF"/>
        </w:rPr>
      </w:pPr>
      <w:r>
        <w:rPr>
          <w:rFonts w:hint="eastAsia" w:ascii="宋体" w:hAnsi="宋体" w:cs="宋体"/>
          <w:b/>
          <w:bCs/>
          <w:sz w:val="28"/>
          <w:szCs w:val="28"/>
          <w:shd w:val="clear" w:color="auto" w:fill="FFFFFF"/>
        </w:rPr>
        <w:t>（三）关于机关运行经费支出说明</w:t>
      </w:r>
    </w:p>
    <w:p>
      <w:pPr>
        <w:shd w:val="clear" w:color="auto" w:fill="FFFFFF"/>
        <w:spacing w:line="360" w:lineRule="auto"/>
        <w:ind w:firstLine="700" w:firstLineChars="250"/>
        <w:rPr>
          <w:rFonts w:ascii="宋体" w:cs="仿宋"/>
          <w:bCs/>
          <w:color w:val="000000"/>
          <w:sz w:val="28"/>
          <w:szCs w:val="28"/>
        </w:rPr>
      </w:pPr>
      <w:r>
        <w:rPr>
          <w:rFonts w:hint="eastAsia" w:ascii="宋体" w:hAnsi="宋体" w:cs="宋体"/>
          <w:color w:val="333333"/>
          <w:kern w:val="0"/>
          <w:sz w:val="28"/>
          <w:szCs w:val="28"/>
        </w:rPr>
        <w:t>本部门机关运行经费本年支出</w:t>
      </w:r>
      <w:r>
        <w:rPr>
          <w:rFonts w:ascii="宋体" w:hAnsi="宋体" w:cs="宋体"/>
          <w:color w:val="333333"/>
          <w:kern w:val="0"/>
          <w:sz w:val="28"/>
          <w:szCs w:val="28"/>
        </w:rPr>
        <w:t>1359.35</w:t>
      </w:r>
      <w:r>
        <w:rPr>
          <w:rFonts w:hint="eastAsia" w:ascii="宋体" w:hAnsi="宋体" w:cs="宋体"/>
          <w:color w:val="333333"/>
          <w:kern w:val="0"/>
          <w:sz w:val="28"/>
          <w:szCs w:val="28"/>
        </w:rPr>
        <w:t>万元，去年支出为</w:t>
      </w:r>
      <w:r>
        <w:rPr>
          <w:rFonts w:ascii="宋体" w:hAnsi="宋体" w:cs="宋体"/>
          <w:color w:val="333333"/>
          <w:kern w:val="0"/>
          <w:sz w:val="28"/>
          <w:szCs w:val="28"/>
        </w:rPr>
        <w:t>1154.49</w:t>
      </w:r>
      <w:r>
        <w:rPr>
          <w:rFonts w:hint="eastAsia" w:ascii="宋体" w:hAnsi="宋体" w:cs="宋体"/>
          <w:color w:val="333333"/>
          <w:kern w:val="0"/>
          <w:sz w:val="28"/>
          <w:szCs w:val="28"/>
        </w:rPr>
        <w:t>万元，对比增加</w:t>
      </w:r>
      <w:r>
        <w:rPr>
          <w:rFonts w:ascii="宋体" w:hAnsi="宋体" w:cs="宋体"/>
          <w:color w:val="333333"/>
          <w:kern w:val="0"/>
          <w:sz w:val="28"/>
          <w:szCs w:val="28"/>
        </w:rPr>
        <w:t>204.86</w:t>
      </w:r>
      <w:r>
        <w:rPr>
          <w:rFonts w:hint="eastAsia" w:ascii="宋体" w:hAnsi="宋体" w:cs="宋体"/>
          <w:color w:val="333333"/>
          <w:kern w:val="0"/>
          <w:sz w:val="28"/>
          <w:szCs w:val="28"/>
        </w:rPr>
        <w:t>万元，增幅</w:t>
      </w:r>
      <w:r>
        <w:rPr>
          <w:rFonts w:ascii="宋体" w:hAnsi="宋体" w:cs="宋体"/>
          <w:color w:val="333333"/>
          <w:kern w:val="0"/>
          <w:sz w:val="28"/>
          <w:szCs w:val="28"/>
        </w:rPr>
        <w:t>17.75%</w:t>
      </w:r>
      <w:r>
        <w:rPr>
          <w:rFonts w:hint="eastAsia" w:ascii="宋体" w:hAnsi="宋体" w:cs="宋体"/>
          <w:color w:val="333333"/>
          <w:kern w:val="0"/>
          <w:sz w:val="28"/>
          <w:szCs w:val="28"/>
        </w:rPr>
        <w:t>，主要原因为本年综合治理相关业务及公共安全相关支出增加所致，</w:t>
      </w:r>
      <w:r>
        <w:rPr>
          <w:rFonts w:hint="eastAsia" w:ascii="宋体" w:hAnsi="宋体" w:cs="仿宋"/>
          <w:bCs/>
          <w:color w:val="000000"/>
          <w:sz w:val="28"/>
          <w:szCs w:val="28"/>
        </w:rPr>
        <w:t>本部门机关运行经费本年年初预算数为</w:t>
      </w:r>
      <w:r>
        <w:rPr>
          <w:rFonts w:ascii="宋体" w:hAnsi="宋体" w:cs="仿宋"/>
          <w:bCs/>
          <w:color w:val="000000"/>
          <w:sz w:val="28"/>
          <w:szCs w:val="28"/>
        </w:rPr>
        <w:t>44.17</w:t>
      </w:r>
      <w:r>
        <w:rPr>
          <w:rFonts w:hint="eastAsia" w:ascii="宋体" w:hAnsi="宋体" w:cs="仿宋"/>
          <w:bCs/>
          <w:color w:val="000000"/>
          <w:sz w:val="28"/>
          <w:szCs w:val="28"/>
        </w:rPr>
        <w:t>万元，</w:t>
      </w:r>
      <w:r>
        <w:rPr>
          <w:rFonts w:hint="eastAsia" w:ascii="宋体" w:hAnsi="宋体" w:cs="宋体"/>
          <w:color w:val="333333"/>
          <w:sz w:val="28"/>
          <w:szCs w:val="28"/>
        </w:rPr>
        <w:t>决算数与年初预算数对比增加</w:t>
      </w:r>
      <w:r>
        <w:rPr>
          <w:rFonts w:ascii="宋体" w:hAnsi="宋体" w:cs="宋体"/>
          <w:color w:val="333333"/>
          <w:sz w:val="28"/>
          <w:szCs w:val="28"/>
        </w:rPr>
        <w:t>1315.18</w:t>
      </w:r>
      <w:r>
        <w:rPr>
          <w:rFonts w:hint="eastAsia" w:ascii="宋体" w:hAnsi="宋体" w:cs="宋体"/>
          <w:color w:val="333333"/>
          <w:sz w:val="28"/>
          <w:szCs w:val="28"/>
        </w:rPr>
        <w:t>万元，增幅</w:t>
      </w:r>
      <w:r>
        <w:rPr>
          <w:rFonts w:ascii="宋体" w:hAnsi="宋体" w:cs="宋体"/>
          <w:color w:val="333333"/>
          <w:sz w:val="28"/>
          <w:szCs w:val="28"/>
        </w:rPr>
        <w:t>2977.54%</w:t>
      </w:r>
      <w:r>
        <w:rPr>
          <w:rFonts w:hint="eastAsia" w:ascii="宋体" w:hAnsi="宋体" w:cs="宋体"/>
          <w:color w:val="333333"/>
          <w:sz w:val="28"/>
          <w:szCs w:val="28"/>
        </w:rPr>
        <w:t>，其主要原因为</w:t>
      </w:r>
      <w:r>
        <w:rPr>
          <w:rFonts w:hint="eastAsia" w:ascii="宋体" w:hAnsi="宋体" w:cs="宋体"/>
          <w:color w:val="333333"/>
          <w:kern w:val="0"/>
          <w:sz w:val="28"/>
          <w:szCs w:val="28"/>
        </w:rPr>
        <w:t>本年综合治理相关业务及公共安全相关支出增加所致。</w:t>
      </w:r>
    </w:p>
    <w:p>
      <w:pPr>
        <w:pStyle w:val="7"/>
        <w:widowControl/>
        <w:spacing w:before="76" w:beforeAutospacing="0" w:after="76" w:afterAutospacing="0" w:line="450" w:lineRule="atLeast"/>
        <w:ind w:firstLine="141" w:firstLineChars="50"/>
        <w:rPr>
          <w:rFonts w:ascii="宋体" w:cs="宋体"/>
          <w:b/>
          <w:bCs/>
          <w:sz w:val="28"/>
          <w:szCs w:val="28"/>
          <w:shd w:val="clear" w:color="auto" w:fill="FFFFFF"/>
        </w:rPr>
      </w:pPr>
      <w:r>
        <w:rPr>
          <w:rFonts w:hint="eastAsia" w:ascii="宋体" w:hAnsi="宋体" w:cs="宋体"/>
          <w:b/>
          <w:bCs/>
          <w:sz w:val="28"/>
          <w:szCs w:val="28"/>
          <w:shd w:val="clear" w:color="auto" w:fill="FFFFFF"/>
        </w:rPr>
        <w:t>（四）关于政府采购支出说明</w:t>
      </w:r>
    </w:p>
    <w:p>
      <w:pPr>
        <w:ind w:firstLine="560" w:firstLineChars="200"/>
        <w:rPr>
          <w:rFonts w:ascii="宋体" w:cs="仿宋"/>
          <w:sz w:val="28"/>
          <w:szCs w:val="28"/>
        </w:rPr>
      </w:pPr>
      <w:r>
        <w:rPr>
          <w:rFonts w:hint="eastAsia" w:ascii="宋体" w:hAnsi="宋体" w:cs="宋体"/>
          <w:color w:val="333333"/>
          <w:kern w:val="0"/>
          <w:sz w:val="28"/>
          <w:szCs w:val="28"/>
        </w:rPr>
        <w:t>本部门本年度政府采购总支出</w:t>
      </w:r>
      <w:r>
        <w:rPr>
          <w:rFonts w:ascii="宋体" w:hAnsi="宋体" w:cs="宋体"/>
          <w:color w:val="333333"/>
          <w:kern w:val="0"/>
          <w:sz w:val="28"/>
          <w:szCs w:val="28"/>
        </w:rPr>
        <w:t>1.75</w:t>
      </w:r>
      <w:r>
        <w:rPr>
          <w:rFonts w:hint="eastAsia" w:ascii="宋体" w:hAnsi="宋体" w:cs="宋体"/>
          <w:color w:val="333333"/>
          <w:kern w:val="0"/>
          <w:sz w:val="28"/>
          <w:szCs w:val="28"/>
        </w:rPr>
        <w:t>万元，其中采购货物支出</w:t>
      </w:r>
      <w:r>
        <w:rPr>
          <w:rFonts w:ascii="宋体" w:hAnsi="宋体" w:cs="宋体"/>
          <w:color w:val="333333"/>
          <w:kern w:val="0"/>
          <w:sz w:val="28"/>
          <w:szCs w:val="28"/>
        </w:rPr>
        <w:t>1.75</w:t>
      </w:r>
      <w:r>
        <w:rPr>
          <w:rFonts w:hint="eastAsia" w:ascii="宋体" w:hAnsi="宋体" w:cs="宋体"/>
          <w:color w:val="333333"/>
          <w:kern w:val="0"/>
          <w:sz w:val="28"/>
          <w:szCs w:val="28"/>
        </w:rPr>
        <w:t>万元。</w:t>
      </w:r>
      <w:r>
        <w:rPr>
          <w:rFonts w:hint="eastAsia" w:ascii="宋体" w:hAnsi="宋体" w:cs="仿宋"/>
          <w:bCs/>
          <w:sz w:val="28"/>
          <w:szCs w:val="28"/>
        </w:rPr>
        <w:t>与去年政府采购总支出</w:t>
      </w:r>
      <w:r>
        <w:rPr>
          <w:rFonts w:ascii="宋体" w:hAnsi="宋体" w:cs="仿宋"/>
          <w:bCs/>
          <w:sz w:val="28"/>
          <w:szCs w:val="28"/>
        </w:rPr>
        <w:t>86.50</w:t>
      </w:r>
      <w:r>
        <w:rPr>
          <w:rFonts w:hint="eastAsia" w:ascii="宋体" w:hAnsi="宋体" w:cs="仿宋"/>
          <w:bCs/>
          <w:sz w:val="28"/>
          <w:szCs w:val="28"/>
        </w:rPr>
        <w:t>万元对比减少</w:t>
      </w:r>
      <w:r>
        <w:rPr>
          <w:rFonts w:ascii="宋体" w:hAnsi="宋体" w:cs="仿宋"/>
          <w:bCs/>
          <w:sz w:val="28"/>
          <w:szCs w:val="28"/>
        </w:rPr>
        <w:t>84.75</w:t>
      </w:r>
      <w:r>
        <w:rPr>
          <w:rFonts w:hint="eastAsia" w:ascii="宋体" w:hAnsi="宋体" w:cs="仿宋"/>
          <w:bCs/>
          <w:sz w:val="28"/>
          <w:szCs w:val="28"/>
        </w:rPr>
        <w:t>万元、减幅</w:t>
      </w:r>
      <w:r>
        <w:rPr>
          <w:rFonts w:ascii="宋体" w:hAnsi="宋体" w:cs="仿宋"/>
          <w:bCs/>
          <w:sz w:val="28"/>
          <w:szCs w:val="28"/>
        </w:rPr>
        <w:t>97.98%</w:t>
      </w:r>
      <w:r>
        <w:rPr>
          <w:rFonts w:hint="eastAsia" w:ascii="宋体" w:hAnsi="宋体" w:cs="仿宋"/>
          <w:bCs/>
          <w:sz w:val="28"/>
          <w:szCs w:val="28"/>
        </w:rPr>
        <w:t>，其主要原因为本年办理政府采购支出减少所致。授予中小企业合同金额</w:t>
      </w:r>
      <w:r>
        <w:rPr>
          <w:rFonts w:hint="eastAsia" w:ascii="宋体" w:hAnsi="宋体" w:cs="仿宋"/>
          <w:bCs/>
          <w:sz w:val="28"/>
          <w:szCs w:val="28"/>
          <w:lang w:val="en-US" w:eastAsia="zh-CN"/>
        </w:rPr>
        <w:t>1.75</w:t>
      </w:r>
      <w:r>
        <w:rPr>
          <w:rFonts w:hint="eastAsia" w:ascii="宋体" w:hAnsi="宋体" w:cs="仿宋"/>
          <w:bCs/>
          <w:sz w:val="28"/>
          <w:szCs w:val="28"/>
        </w:rPr>
        <w:t>万元，占政府采购支出总额的</w:t>
      </w:r>
      <w:r>
        <w:rPr>
          <w:rFonts w:hint="eastAsia" w:ascii="宋体" w:hAnsi="宋体" w:cs="仿宋"/>
          <w:bCs/>
          <w:sz w:val="28"/>
          <w:szCs w:val="28"/>
          <w:lang w:val="en-US" w:eastAsia="zh-CN"/>
        </w:rPr>
        <w:t>100</w:t>
      </w:r>
      <w:r>
        <w:rPr>
          <w:rFonts w:hint="eastAsia" w:ascii="宋体" w:hAnsi="宋体" w:cs="仿宋"/>
          <w:bCs/>
          <w:sz w:val="28"/>
          <w:szCs w:val="28"/>
        </w:rPr>
        <w:t>%，其中：授予小微企业合同金额</w:t>
      </w:r>
      <w:r>
        <w:rPr>
          <w:rFonts w:hint="eastAsia" w:ascii="宋体" w:hAnsi="宋体" w:cs="仿宋"/>
          <w:bCs/>
          <w:sz w:val="28"/>
          <w:szCs w:val="28"/>
          <w:lang w:val="en-US" w:eastAsia="zh-CN"/>
        </w:rPr>
        <w:t>1.75</w:t>
      </w:r>
      <w:r>
        <w:rPr>
          <w:rFonts w:hint="eastAsia" w:ascii="宋体" w:hAnsi="宋体" w:cs="仿宋"/>
          <w:bCs/>
          <w:sz w:val="28"/>
          <w:szCs w:val="28"/>
        </w:rPr>
        <w:t>万元，占政府采购支出总额的</w:t>
      </w:r>
      <w:r>
        <w:rPr>
          <w:rFonts w:hint="eastAsia" w:ascii="宋体" w:hAnsi="宋体" w:cs="仿宋"/>
          <w:bCs/>
          <w:sz w:val="28"/>
          <w:szCs w:val="28"/>
          <w:lang w:val="en-US" w:eastAsia="zh-CN"/>
        </w:rPr>
        <w:t>10</w:t>
      </w:r>
      <w:bookmarkStart w:id="0" w:name="_GoBack"/>
      <w:bookmarkEnd w:id="0"/>
      <w:r>
        <w:rPr>
          <w:rFonts w:hint="eastAsia" w:ascii="宋体" w:hAnsi="宋体" w:cs="仿宋"/>
          <w:bCs/>
          <w:sz w:val="28"/>
          <w:szCs w:val="28"/>
        </w:rPr>
        <w:t>0%。</w:t>
      </w:r>
    </w:p>
    <w:p>
      <w:pPr>
        <w:pStyle w:val="7"/>
        <w:widowControl/>
        <w:spacing w:before="76" w:beforeAutospacing="0" w:after="76" w:afterAutospacing="0" w:line="450" w:lineRule="atLeast"/>
        <w:rPr>
          <w:rFonts w:ascii="宋体" w:cs="宋体"/>
          <w:b/>
          <w:bCs/>
          <w:sz w:val="28"/>
          <w:szCs w:val="28"/>
          <w:shd w:val="clear" w:color="auto" w:fill="FFFFFF"/>
        </w:rPr>
      </w:pPr>
      <w:r>
        <w:rPr>
          <w:rFonts w:hint="eastAsia" w:ascii="宋体" w:hAnsi="宋体" w:cs="宋体"/>
          <w:b/>
          <w:bCs/>
          <w:sz w:val="28"/>
          <w:szCs w:val="28"/>
          <w:shd w:val="clear" w:color="auto" w:fill="FFFFFF"/>
        </w:rPr>
        <w:t>（五）关于国有资产占用情况说明</w:t>
      </w:r>
    </w:p>
    <w:p>
      <w:pPr>
        <w:widowControl/>
        <w:shd w:val="clear" w:color="auto" w:fill="FFFFFF"/>
        <w:snapToGrid w:val="0"/>
        <w:spacing w:line="560" w:lineRule="atLeast"/>
        <w:ind w:firstLine="562"/>
        <w:jc w:val="left"/>
        <w:rPr>
          <w:rFonts w:ascii="宋体"/>
          <w:sz w:val="28"/>
          <w:szCs w:val="28"/>
        </w:rPr>
      </w:pPr>
      <w:r>
        <w:rPr>
          <w:rFonts w:hint="eastAsia" w:ascii="宋体" w:hAnsi="宋体" w:cs="宋体"/>
          <w:color w:val="333333"/>
          <w:kern w:val="0"/>
          <w:sz w:val="28"/>
          <w:szCs w:val="28"/>
        </w:rPr>
        <w:t>截至</w:t>
      </w:r>
      <w:r>
        <w:rPr>
          <w:rFonts w:ascii="宋体" w:hAnsi="宋体" w:cs="宋体"/>
          <w:color w:val="333333"/>
          <w:kern w:val="0"/>
          <w:sz w:val="28"/>
          <w:szCs w:val="28"/>
        </w:rPr>
        <w:t>2021</w:t>
      </w:r>
      <w:r>
        <w:rPr>
          <w:rFonts w:hint="eastAsia" w:ascii="宋体" w:hAnsi="宋体" w:cs="宋体"/>
          <w:color w:val="333333"/>
          <w:kern w:val="0"/>
          <w:sz w:val="28"/>
          <w:szCs w:val="28"/>
        </w:rPr>
        <w:t>年</w:t>
      </w:r>
      <w:r>
        <w:rPr>
          <w:rFonts w:ascii="宋体" w:hAnsi="宋体" w:cs="宋体"/>
          <w:color w:val="333333"/>
          <w:kern w:val="0"/>
          <w:sz w:val="28"/>
          <w:szCs w:val="28"/>
        </w:rPr>
        <w:t>12</w:t>
      </w:r>
      <w:r>
        <w:rPr>
          <w:rFonts w:hint="eastAsia" w:ascii="宋体" w:hAnsi="宋体" w:cs="宋体"/>
          <w:color w:val="333333"/>
          <w:kern w:val="0"/>
          <w:sz w:val="28"/>
          <w:szCs w:val="28"/>
        </w:rPr>
        <w:t>月</w:t>
      </w:r>
      <w:r>
        <w:rPr>
          <w:rFonts w:ascii="宋体" w:hAnsi="宋体" w:cs="宋体"/>
          <w:color w:val="333333"/>
          <w:kern w:val="0"/>
          <w:sz w:val="28"/>
          <w:szCs w:val="28"/>
        </w:rPr>
        <w:t>31</w:t>
      </w:r>
      <w:r>
        <w:rPr>
          <w:rFonts w:hint="eastAsia" w:ascii="宋体" w:hAnsi="宋体" w:cs="宋体"/>
          <w:color w:val="333333"/>
          <w:kern w:val="0"/>
          <w:sz w:val="28"/>
          <w:szCs w:val="28"/>
        </w:rPr>
        <w:t>日，</w:t>
      </w:r>
      <w:r>
        <w:rPr>
          <w:rFonts w:hint="eastAsia" w:ascii="宋体" w:hAnsi="宋体"/>
          <w:sz w:val="28"/>
          <w:szCs w:val="28"/>
        </w:rPr>
        <w:t>本部门共有车辆</w:t>
      </w:r>
      <w:r>
        <w:rPr>
          <w:rFonts w:ascii="宋体"/>
          <w:sz w:val="28"/>
          <w:szCs w:val="28"/>
        </w:rPr>
        <w:t>0</w:t>
      </w:r>
      <w:r>
        <w:rPr>
          <w:rFonts w:hint="eastAsia" w:ascii="宋体" w:hAnsi="宋体"/>
          <w:sz w:val="28"/>
          <w:szCs w:val="28"/>
        </w:rPr>
        <w:t>辆，其中，主要领导干部用车</w:t>
      </w:r>
      <w:r>
        <w:rPr>
          <w:rFonts w:ascii="宋体"/>
          <w:sz w:val="28"/>
          <w:szCs w:val="28"/>
        </w:rPr>
        <w:t>0</w:t>
      </w:r>
      <w:r>
        <w:rPr>
          <w:rFonts w:hint="eastAsia" w:ascii="宋体" w:hAnsi="宋体"/>
          <w:sz w:val="28"/>
          <w:szCs w:val="28"/>
        </w:rPr>
        <w:t>辆、机要通信用车</w:t>
      </w:r>
      <w:r>
        <w:rPr>
          <w:rFonts w:ascii="宋体"/>
          <w:sz w:val="28"/>
          <w:szCs w:val="28"/>
        </w:rPr>
        <w:t>0</w:t>
      </w:r>
      <w:r>
        <w:rPr>
          <w:rFonts w:hint="eastAsia" w:ascii="宋体" w:hAnsi="宋体"/>
          <w:sz w:val="28"/>
          <w:szCs w:val="28"/>
        </w:rPr>
        <w:t>辆、应急保障用车</w:t>
      </w:r>
      <w:r>
        <w:rPr>
          <w:rFonts w:ascii="宋体"/>
          <w:sz w:val="28"/>
          <w:szCs w:val="28"/>
        </w:rPr>
        <w:t>0</w:t>
      </w:r>
      <w:r>
        <w:rPr>
          <w:rFonts w:hint="eastAsia" w:ascii="宋体" w:hAnsi="宋体"/>
          <w:sz w:val="28"/>
          <w:szCs w:val="28"/>
        </w:rPr>
        <w:t>辆、执法执勤用车</w:t>
      </w:r>
      <w:r>
        <w:rPr>
          <w:rFonts w:ascii="宋体"/>
          <w:sz w:val="28"/>
          <w:szCs w:val="28"/>
        </w:rPr>
        <w:t>0</w:t>
      </w:r>
      <w:r>
        <w:rPr>
          <w:rFonts w:hint="eastAsia" w:ascii="宋体" w:hAnsi="宋体" w:eastAsia="MS Gothic" w:cs="MS Gothic"/>
          <w:sz w:val="28"/>
          <w:szCs w:val="28"/>
        </w:rPr>
        <w:t> </w:t>
      </w:r>
      <w:r>
        <w:rPr>
          <w:rFonts w:hint="eastAsia" w:ascii="宋体" w:hAnsi="宋体"/>
          <w:sz w:val="28"/>
          <w:szCs w:val="28"/>
        </w:rPr>
        <w:t>辆、特种专业技术用车</w:t>
      </w:r>
      <w:r>
        <w:rPr>
          <w:rFonts w:ascii="宋体"/>
          <w:sz w:val="28"/>
          <w:szCs w:val="28"/>
        </w:rPr>
        <w:t>0</w:t>
      </w:r>
      <w:r>
        <w:rPr>
          <w:rFonts w:hint="eastAsia" w:ascii="宋体" w:hAnsi="宋体" w:eastAsia="MS Gothic" w:cs="MS Gothic"/>
          <w:sz w:val="28"/>
          <w:szCs w:val="28"/>
        </w:rPr>
        <w:t> </w:t>
      </w:r>
      <w:r>
        <w:rPr>
          <w:rFonts w:hint="eastAsia" w:ascii="宋体" w:hAnsi="宋体"/>
          <w:sz w:val="28"/>
          <w:szCs w:val="28"/>
        </w:rPr>
        <w:t>辆、离退休干部用车</w:t>
      </w:r>
      <w:r>
        <w:rPr>
          <w:rFonts w:ascii="宋体"/>
          <w:sz w:val="28"/>
          <w:szCs w:val="28"/>
        </w:rPr>
        <w:t>0</w:t>
      </w:r>
      <w:r>
        <w:rPr>
          <w:rFonts w:hint="eastAsia" w:ascii="宋体" w:hAnsi="宋体"/>
          <w:sz w:val="28"/>
          <w:szCs w:val="28"/>
        </w:rPr>
        <w:t>辆、</w:t>
      </w:r>
      <w:r>
        <w:rPr>
          <w:rFonts w:hint="eastAsia" w:ascii="宋体" w:hAnsi="宋体" w:eastAsia="MS Gothic" w:cs="MS Gothic"/>
          <w:sz w:val="28"/>
          <w:szCs w:val="28"/>
        </w:rPr>
        <w:t> </w:t>
      </w:r>
      <w:r>
        <w:rPr>
          <w:rFonts w:hint="eastAsia" w:ascii="宋体" w:hAnsi="宋体"/>
          <w:sz w:val="28"/>
          <w:szCs w:val="28"/>
        </w:rPr>
        <w:t>其他用车</w:t>
      </w:r>
      <w:r>
        <w:rPr>
          <w:rFonts w:ascii="宋体"/>
          <w:sz w:val="28"/>
          <w:szCs w:val="28"/>
        </w:rPr>
        <w:t>0</w:t>
      </w:r>
      <w:r>
        <w:rPr>
          <w:rFonts w:hint="eastAsia" w:ascii="宋体" w:hAnsi="宋体"/>
          <w:sz w:val="28"/>
          <w:szCs w:val="28"/>
        </w:rPr>
        <w:t>辆；单位价值</w:t>
      </w:r>
      <w:r>
        <w:rPr>
          <w:rFonts w:ascii="宋体" w:hAnsi="宋体"/>
          <w:sz w:val="28"/>
          <w:szCs w:val="28"/>
        </w:rPr>
        <w:t>50</w:t>
      </w:r>
      <w:r>
        <w:rPr>
          <w:rFonts w:hint="eastAsia" w:ascii="宋体" w:hAnsi="宋体"/>
          <w:sz w:val="28"/>
          <w:szCs w:val="28"/>
        </w:rPr>
        <w:t>万元以上通用设备</w:t>
      </w:r>
      <w:r>
        <w:rPr>
          <w:rFonts w:ascii="宋体"/>
          <w:sz w:val="28"/>
          <w:szCs w:val="28"/>
        </w:rPr>
        <w:t>0</w:t>
      </w:r>
      <w:r>
        <w:rPr>
          <w:rFonts w:hint="eastAsia" w:ascii="宋体" w:hAnsi="宋体"/>
          <w:sz w:val="28"/>
          <w:szCs w:val="28"/>
        </w:rPr>
        <w:t>台（套）；单位价值</w:t>
      </w:r>
      <w:r>
        <w:rPr>
          <w:rFonts w:ascii="宋体" w:hAnsi="宋体"/>
          <w:sz w:val="28"/>
          <w:szCs w:val="28"/>
        </w:rPr>
        <w:t>100</w:t>
      </w:r>
      <w:r>
        <w:rPr>
          <w:rFonts w:hint="eastAsia" w:ascii="宋体" w:hAnsi="宋体"/>
          <w:sz w:val="28"/>
          <w:szCs w:val="28"/>
        </w:rPr>
        <w:t>万元以上专用设备</w:t>
      </w:r>
      <w:r>
        <w:rPr>
          <w:rFonts w:ascii="宋体"/>
          <w:sz w:val="28"/>
          <w:szCs w:val="28"/>
        </w:rPr>
        <w:t>0</w:t>
      </w:r>
      <w:r>
        <w:rPr>
          <w:rFonts w:hint="eastAsia" w:ascii="宋体" w:hAnsi="宋体"/>
          <w:sz w:val="28"/>
          <w:szCs w:val="28"/>
        </w:rPr>
        <w:t>台（套）。</w:t>
      </w:r>
    </w:p>
    <w:p>
      <w:pPr>
        <w:wordWrap w:val="0"/>
        <w:spacing w:line="600" w:lineRule="atLeast"/>
        <w:ind w:firstLine="420" w:firstLineChars="150"/>
        <w:rPr>
          <w:rFonts w:ascii="宋体" w:cs="宋体"/>
          <w:color w:val="333333"/>
          <w:kern w:val="0"/>
          <w:sz w:val="28"/>
          <w:szCs w:val="28"/>
        </w:rPr>
      </w:pPr>
    </w:p>
    <w:p>
      <w:pPr>
        <w:pStyle w:val="7"/>
        <w:widowControl/>
        <w:numPr>
          <w:ilvl w:val="0"/>
          <w:numId w:val="2"/>
        </w:numPr>
        <w:spacing w:before="76" w:beforeAutospacing="0" w:after="76" w:afterAutospacing="0" w:line="450" w:lineRule="atLeast"/>
        <w:ind w:firstLine="141" w:firstLineChars="50"/>
        <w:rPr>
          <w:rFonts w:ascii="宋体" w:cs="宋体"/>
          <w:b/>
          <w:bCs/>
          <w:sz w:val="28"/>
          <w:szCs w:val="28"/>
          <w:shd w:val="clear" w:color="auto" w:fill="FFFFFF"/>
        </w:rPr>
      </w:pPr>
      <w:r>
        <w:rPr>
          <w:rFonts w:hint="eastAsia" w:ascii="宋体" w:hAnsi="宋体" w:cs="宋体"/>
          <w:b/>
          <w:bCs/>
          <w:sz w:val="28"/>
          <w:szCs w:val="28"/>
          <w:shd w:val="clear" w:color="auto" w:fill="FFFFFF"/>
        </w:rPr>
        <w:t>重点绩效评价结果等预算绩效情况说明</w:t>
      </w:r>
    </w:p>
    <w:p>
      <w:pPr>
        <w:pStyle w:val="7"/>
        <w:widowControl/>
        <w:spacing w:before="76" w:beforeAutospacing="0" w:after="76" w:afterAutospacing="0" w:line="450" w:lineRule="atLeast"/>
        <w:ind w:firstLine="560" w:firstLineChars="200"/>
        <w:rPr>
          <w:rFonts w:ascii="宋体" w:cs="宋体"/>
          <w:color w:val="333333"/>
          <w:sz w:val="28"/>
          <w:szCs w:val="28"/>
        </w:rPr>
      </w:pPr>
      <w:r>
        <w:rPr>
          <w:rFonts w:hint="eastAsia" w:ascii="宋体" w:hAnsi="宋体" w:cs="宋体"/>
          <w:color w:val="333333"/>
          <w:sz w:val="28"/>
          <w:szCs w:val="28"/>
        </w:rPr>
        <w:t>本年度未开展预算绩效评价工作</w:t>
      </w:r>
    </w:p>
    <w:p>
      <w:pPr>
        <w:spacing w:line="440" w:lineRule="exact"/>
        <w:rPr>
          <w:rFonts w:ascii="宋体"/>
          <w:b/>
          <w:color w:val="FF6600"/>
          <w:spacing w:val="2"/>
          <w:sz w:val="28"/>
          <w:szCs w:val="28"/>
        </w:rPr>
      </w:pPr>
      <w:r>
        <w:rPr>
          <w:rFonts w:hint="eastAsia" w:ascii="宋体" w:hAnsi="宋体" w:cs="宋体"/>
          <w:b/>
          <w:bCs/>
          <w:sz w:val="28"/>
          <w:szCs w:val="28"/>
        </w:rPr>
        <w:t>（七）</w:t>
      </w:r>
      <w:r>
        <w:rPr>
          <w:rFonts w:hint="eastAsia" w:ascii="宋体" w:hAnsi="宋体"/>
          <w:b/>
          <w:spacing w:val="2"/>
          <w:sz w:val="28"/>
          <w:szCs w:val="28"/>
        </w:rPr>
        <w:t>决算收支增减变化情况</w:t>
      </w:r>
    </w:p>
    <w:p>
      <w:pPr>
        <w:spacing w:line="440" w:lineRule="exact"/>
        <w:ind w:firstLine="560" w:firstLineChars="200"/>
        <w:rPr>
          <w:rFonts w:ascii="宋体" w:cs="宋体"/>
          <w:color w:val="333333"/>
          <w:kern w:val="0"/>
          <w:sz w:val="28"/>
          <w:szCs w:val="28"/>
        </w:rPr>
      </w:pPr>
      <w:r>
        <w:rPr>
          <w:rFonts w:ascii="宋体" w:hAnsi="宋体" w:cs="宋体"/>
          <w:color w:val="333333"/>
          <w:kern w:val="0"/>
          <w:sz w:val="28"/>
          <w:szCs w:val="28"/>
        </w:rPr>
        <w:t>1</w:t>
      </w:r>
      <w:r>
        <w:rPr>
          <w:rFonts w:hint="eastAsia" w:ascii="宋体" w:hAnsi="宋体" w:cs="宋体"/>
          <w:color w:val="333333"/>
          <w:kern w:val="0"/>
          <w:sz w:val="28"/>
          <w:szCs w:val="28"/>
        </w:rPr>
        <w:t>、收入增减变化情况</w:t>
      </w:r>
    </w:p>
    <w:p>
      <w:pPr>
        <w:widowControl/>
        <w:ind w:firstLine="560" w:firstLineChars="200"/>
        <w:rPr>
          <w:rFonts w:ascii="宋体" w:cs="宋体"/>
          <w:color w:val="333333"/>
          <w:kern w:val="0"/>
          <w:sz w:val="28"/>
          <w:szCs w:val="28"/>
        </w:rPr>
      </w:pPr>
      <w:r>
        <w:rPr>
          <w:rFonts w:hint="eastAsia" w:ascii="宋体" w:hAnsi="宋体" w:cs="宋体"/>
          <w:color w:val="333333"/>
          <w:kern w:val="0"/>
          <w:sz w:val="28"/>
          <w:szCs w:val="28"/>
        </w:rPr>
        <w:t>本年总收入</w:t>
      </w:r>
      <w:r>
        <w:rPr>
          <w:rFonts w:ascii="宋体" w:hAnsi="宋体" w:cs="宋体"/>
          <w:color w:val="333333"/>
          <w:kern w:val="0"/>
          <w:sz w:val="28"/>
          <w:szCs w:val="28"/>
        </w:rPr>
        <w:t>1577.02</w:t>
      </w:r>
      <w:r>
        <w:rPr>
          <w:rFonts w:hint="eastAsia" w:ascii="宋体" w:hAnsi="宋体" w:cs="宋体"/>
          <w:color w:val="333333"/>
          <w:kern w:val="0"/>
          <w:sz w:val="28"/>
          <w:szCs w:val="28"/>
        </w:rPr>
        <w:t>万元比去年增加</w:t>
      </w:r>
      <w:r>
        <w:rPr>
          <w:rFonts w:ascii="宋体" w:hAnsi="宋体" w:cs="宋体"/>
          <w:color w:val="333333"/>
          <w:kern w:val="0"/>
          <w:sz w:val="28"/>
          <w:szCs w:val="28"/>
        </w:rPr>
        <w:t>15.18%</w:t>
      </w:r>
      <w:r>
        <w:rPr>
          <w:rFonts w:hint="eastAsia" w:ascii="宋体" w:hAnsi="宋体" w:cs="宋体"/>
          <w:color w:val="333333"/>
          <w:kern w:val="0"/>
          <w:sz w:val="28"/>
          <w:szCs w:val="28"/>
        </w:rPr>
        <w:t>，其主要原因为本年综合治理相关业务及公共安全业务增加所致。</w:t>
      </w:r>
    </w:p>
    <w:p>
      <w:pPr>
        <w:spacing w:line="440" w:lineRule="exact"/>
        <w:ind w:firstLine="560" w:firstLineChars="200"/>
        <w:rPr>
          <w:rFonts w:ascii="宋体" w:cs="宋体"/>
          <w:color w:val="333333"/>
          <w:kern w:val="0"/>
          <w:sz w:val="28"/>
          <w:szCs w:val="28"/>
        </w:rPr>
      </w:pPr>
      <w:r>
        <w:rPr>
          <w:rFonts w:ascii="宋体" w:hAnsi="宋体" w:cs="宋体"/>
          <w:color w:val="333333"/>
          <w:kern w:val="0"/>
          <w:sz w:val="28"/>
          <w:szCs w:val="28"/>
        </w:rPr>
        <w:t>2</w:t>
      </w:r>
      <w:r>
        <w:rPr>
          <w:rFonts w:hint="eastAsia" w:ascii="宋体" w:hAnsi="宋体" w:cs="宋体"/>
          <w:color w:val="333333"/>
          <w:kern w:val="0"/>
          <w:sz w:val="28"/>
          <w:szCs w:val="28"/>
        </w:rPr>
        <w:t>、支出增减变化情况</w:t>
      </w:r>
    </w:p>
    <w:p>
      <w:pPr>
        <w:wordWrap w:val="0"/>
        <w:spacing w:line="600" w:lineRule="atLeast"/>
        <w:ind w:firstLine="420" w:firstLineChars="150"/>
        <w:rPr>
          <w:rFonts w:ascii="宋体" w:cs="宋体"/>
          <w:color w:val="333333"/>
          <w:kern w:val="0"/>
          <w:sz w:val="28"/>
          <w:szCs w:val="28"/>
        </w:rPr>
      </w:pPr>
      <w:r>
        <w:rPr>
          <w:rFonts w:hint="eastAsia" w:ascii="宋体" w:hAnsi="宋体" w:cs="宋体"/>
          <w:color w:val="333333"/>
          <w:kern w:val="0"/>
          <w:sz w:val="28"/>
          <w:szCs w:val="28"/>
        </w:rPr>
        <w:t>本年总支出为</w:t>
      </w:r>
      <w:r>
        <w:rPr>
          <w:rFonts w:ascii="宋体" w:hAnsi="宋体" w:cs="宋体"/>
          <w:color w:val="333333"/>
          <w:kern w:val="0"/>
          <w:sz w:val="28"/>
          <w:szCs w:val="28"/>
        </w:rPr>
        <w:t>1577.02</w:t>
      </w:r>
      <w:r>
        <w:rPr>
          <w:rFonts w:hint="eastAsia" w:ascii="宋体" w:hAnsi="宋体" w:cs="宋体"/>
          <w:color w:val="333333"/>
          <w:kern w:val="0"/>
          <w:sz w:val="28"/>
          <w:szCs w:val="28"/>
        </w:rPr>
        <w:t>万元。比去年增加</w:t>
      </w:r>
      <w:r>
        <w:rPr>
          <w:rFonts w:ascii="宋体" w:hAnsi="宋体" w:cs="宋体"/>
          <w:color w:val="333333"/>
          <w:kern w:val="0"/>
          <w:sz w:val="28"/>
          <w:szCs w:val="28"/>
        </w:rPr>
        <w:t>15.18%</w:t>
      </w:r>
      <w:r>
        <w:rPr>
          <w:rFonts w:hint="eastAsia" w:ascii="宋体" w:hAnsi="宋体" w:cs="宋体"/>
          <w:color w:val="333333"/>
          <w:kern w:val="0"/>
          <w:sz w:val="28"/>
          <w:szCs w:val="28"/>
        </w:rPr>
        <w:t>，其主要原因为本年综合治理相关业务支出及公共安全相关支出增加所致。其中一般公共预算财政拨款支出</w:t>
      </w:r>
      <w:r>
        <w:rPr>
          <w:rFonts w:ascii="宋体" w:hAnsi="宋体" w:cs="宋体"/>
          <w:color w:val="333333"/>
          <w:kern w:val="0"/>
          <w:sz w:val="28"/>
          <w:szCs w:val="28"/>
        </w:rPr>
        <w:t>1556.84</w:t>
      </w:r>
      <w:r>
        <w:rPr>
          <w:rFonts w:hint="eastAsia" w:ascii="宋体" w:hAnsi="宋体" w:cs="宋体"/>
          <w:color w:val="333333"/>
          <w:kern w:val="0"/>
          <w:sz w:val="28"/>
          <w:szCs w:val="28"/>
        </w:rPr>
        <w:t>万元，与去年</w:t>
      </w:r>
      <w:r>
        <w:rPr>
          <w:rFonts w:ascii="宋体" w:hAnsi="宋体" w:cs="宋体"/>
          <w:color w:val="333333"/>
          <w:kern w:val="0"/>
          <w:sz w:val="28"/>
          <w:szCs w:val="28"/>
        </w:rPr>
        <w:t>1301.95</w:t>
      </w:r>
      <w:r>
        <w:rPr>
          <w:rFonts w:hint="eastAsia" w:ascii="宋体" w:hAnsi="宋体" w:cs="宋体"/>
          <w:color w:val="333333"/>
          <w:kern w:val="0"/>
          <w:sz w:val="28"/>
          <w:szCs w:val="28"/>
        </w:rPr>
        <w:t>万元相比增加</w:t>
      </w:r>
      <w:r>
        <w:rPr>
          <w:rFonts w:ascii="宋体" w:hAnsi="宋体" w:cs="宋体"/>
          <w:color w:val="333333"/>
          <w:kern w:val="0"/>
          <w:sz w:val="28"/>
          <w:szCs w:val="28"/>
        </w:rPr>
        <w:t>254.89</w:t>
      </w:r>
      <w:r>
        <w:rPr>
          <w:rFonts w:hint="eastAsia" w:ascii="宋体" w:hAnsi="宋体" w:cs="宋体"/>
          <w:color w:val="333333"/>
          <w:kern w:val="0"/>
          <w:sz w:val="28"/>
          <w:szCs w:val="28"/>
        </w:rPr>
        <w:t>万元，增幅</w:t>
      </w:r>
      <w:r>
        <w:rPr>
          <w:rFonts w:ascii="宋体" w:hAnsi="宋体" w:cs="宋体"/>
          <w:color w:val="333333"/>
          <w:kern w:val="0"/>
          <w:sz w:val="28"/>
          <w:szCs w:val="28"/>
        </w:rPr>
        <w:t>19.58%</w:t>
      </w:r>
      <w:r>
        <w:rPr>
          <w:rFonts w:hint="eastAsia" w:ascii="宋体" w:hAnsi="宋体" w:cs="宋体"/>
          <w:color w:val="333333"/>
          <w:kern w:val="0"/>
          <w:sz w:val="28"/>
          <w:szCs w:val="28"/>
        </w:rPr>
        <w:t>，其主要原因为本年综合治理相关业务支出及公共安全相关支出增加所致，</w:t>
      </w:r>
      <w:r>
        <w:rPr>
          <w:rFonts w:hint="eastAsia" w:ascii="宋体" w:hAnsi="宋体" w:cs="宋体"/>
          <w:color w:val="333333"/>
          <w:sz w:val="28"/>
          <w:szCs w:val="28"/>
        </w:rPr>
        <w:t>与年初预算数</w:t>
      </w:r>
      <w:r>
        <w:rPr>
          <w:rFonts w:ascii="宋体" w:hAnsi="宋体" w:cs="宋体"/>
          <w:color w:val="333333"/>
          <w:sz w:val="28"/>
          <w:szCs w:val="28"/>
        </w:rPr>
        <w:t>140.70</w:t>
      </w:r>
      <w:r>
        <w:rPr>
          <w:rFonts w:hint="eastAsia" w:ascii="宋体" w:hAnsi="宋体" w:cs="宋体"/>
          <w:color w:val="333333"/>
          <w:sz w:val="28"/>
          <w:szCs w:val="28"/>
        </w:rPr>
        <w:t>万元对比增加</w:t>
      </w:r>
      <w:r>
        <w:rPr>
          <w:rFonts w:ascii="宋体" w:hAnsi="宋体" w:cs="宋体"/>
          <w:color w:val="333333"/>
          <w:sz w:val="28"/>
          <w:szCs w:val="28"/>
        </w:rPr>
        <w:t>1416.14</w:t>
      </w:r>
      <w:r>
        <w:rPr>
          <w:rFonts w:hint="eastAsia" w:ascii="宋体" w:hAnsi="宋体" w:cs="宋体"/>
          <w:color w:val="333333"/>
          <w:sz w:val="28"/>
          <w:szCs w:val="28"/>
        </w:rPr>
        <w:t>万元，增幅</w:t>
      </w:r>
      <w:r>
        <w:rPr>
          <w:rFonts w:ascii="宋体" w:hAnsi="宋体" w:cs="宋体"/>
          <w:color w:val="333333"/>
          <w:sz w:val="28"/>
          <w:szCs w:val="28"/>
        </w:rPr>
        <w:t>1006.50%</w:t>
      </w:r>
      <w:r>
        <w:rPr>
          <w:rFonts w:hint="eastAsia" w:ascii="宋体" w:hAnsi="宋体" w:cs="宋体"/>
          <w:color w:val="333333"/>
          <w:sz w:val="28"/>
          <w:szCs w:val="28"/>
        </w:rPr>
        <w:t>，其主要原因为</w:t>
      </w:r>
      <w:r>
        <w:rPr>
          <w:rFonts w:hint="eastAsia" w:ascii="宋体" w:hAnsi="宋体" w:cs="宋体"/>
          <w:color w:val="333333"/>
          <w:kern w:val="0"/>
          <w:sz w:val="28"/>
          <w:szCs w:val="28"/>
        </w:rPr>
        <w:t>本年综合治理相关业务支出及公共安全相关支出增加所致。</w:t>
      </w:r>
    </w:p>
    <w:p>
      <w:pPr>
        <w:widowControl/>
        <w:shd w:val="clear" w:color="auto" w:fill="FFFFFF"/>
        <w:snapToGrid w:val="0"/>
        <w:spacing w:line="560" w:lineRule="atLeast"/>
        <w:ind w:firstLine="562"/>
        <w:jc w:val="left"/>
        <w:rPr>
          <w:rFonts w:ascii="微软雅黑" w:hAnsi="微软雅黑" w:eastAsia="微软雅黑" w:cs="微软雅黑"/>
          <w:b/>
          <w:bCs/>
          <w:color w:val="333333"/>
          <w:kern w:val="0"/>
          <w:sz w:val="24"/>
        </w:rPr>
      </w:pPr>
    </w:p>
    <w:p>
      <w:pPr>
        <w:widowControl/>
        <w:shd w:val="clear" w:color="auto" w:fill="FFFFFF"/>
        <w:snapToGrid w:val="0"/>
        <w:spacing w:line="560" w:lineRule="atLeast"/>
        <w:ind w:firstLine="240" w:firstLineChars="100"/>
        <w:jc w:val="left"/>
        <w:rPr>
          <w:rFonts w:ascii="微软雅黑" w:hAnsi="微软雅黑" w:eastAsia="微软雅黑" w:cs="微软雅黑"/>
          <w:b/>
          <w:bCs/>
          <w:color w:val="333333"/>
          <w:kern w:val="0"/>
          <w:sz w:val="24"/>
        </w:rPr>
      </w:pPr>
    </w:p>
    <w:p>
      <w:pPr>
        <w:widowControl/>
        <w:shd w:val="clear" w:color="auto" w:fill="FFFFFF"/>
        <w:snapToGrid w:val="0"/>
        <w:spacing w:line="560" w:lineRule="atLeast"/>
        <w:ind w:firstLine="240" w:firstLineChars="100"/>
        <w:jc w:val="left"/>
        <w:rPr>
          <w:rFonts w:ascii="微软雅黑" w:hAnsi="微软雅黑" w:eastAsia="微软雅黑" w:cs="微软雅黑"/>
          <w:b/>
          <w:bCs/>
          <w:color w:val="333333"/>
          <w:kern w:val="0"/>
          <w:sz w:val="24"/>
        </w:rPr>
      </w:pPr>
      <w:r>
        <w:rPr>
          <w:rFonts w:ascii="微软雅黑" w:hAnsi="微软雅黑" w:eastAsia="微软雅黑" w:cs="微软雅黑"/>
          <w:b/>
          <w:bCs/>
          <w:color w:val="333333"/>
          <w:kern w:val="0"/>
          <w:sz w:val="24"/>
        </w:rPr>
        <w:t xml:space="preserve"> </w:t>
      </w:r>
      <w:r>
        <w:rPr>
          <w:rFonts w:hint="eastAsia" w:ascii="微软雅黑" w:hAnsi="微软雅黑" w:eastAsia="微软雅黑" w:cs="微软雅黑"/>
          <w:b/>
          <w:bCs/>
          <w:color w:val="333333"/>
          <w:kern w:val="0"/>
          <w:sz w:val="24"/>
        </w:rPr>
        <w:t>第四部分</w:t>
      </w:r>
      <w:r>
        <w:rPr>
          <w:rFonts w:ascii="微软雅黑" w:hAnsi="微软雅黑" w:eastAsia="微软雅黑" w:cs="微软雅黑"/>
          <w:b/>
          <w:bCs/>
          <w:color w:val="333333"/>
          <w:kern w:val="0"/>
          <w:sz w:val="24"/>
        </w:rPr>
        <w:t xml:space="preserve"> </w:t>
      </w:r>
      <w:r>
        <w:rPr>
          <w:rFonts w:hint="eastAsia" w:ascii="微软雅黑" w:hAnsi="微软雅黑" w:eastAsia="微软雅黑" w:cs="微软雅黑"/>
          <w:b/>
          <w:bCs/>
          <w:color w:val="333333"/>
          <w:kern w:val="0"/>
          <w:sz w:val="24"/>
        </w:rPr>
        <w:t>名词解释</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一、财政补助收入：指县级财政当年拨付的资金。</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二、其他收入：指除“财政拨款收入”、“上级补助收入”、“事业收入”、“经营收入”等以外的收入。主要是存款利息收入等。</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三、年初结转和结余：指以前年度尚未完成、结转到本年按有关规定继续使用的资金。</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四、一般公共服务（类）行政运行（项）：指县行政单位及参照公务员管理事业单位用于保障机构正常运行、开展日常工作的基本支出。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六、一般公共服务（类）机关服务（项）：指黄石港区政法委服务中心为机关提供办公楼日常维修、维护等后勤保障服务的支出。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七、一般公共服务（类）其他一般公共服务支出（款）其他一般公共服务支出（项）：指黄石港区政法委用于其他一般公共服务方面的支出。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八、教育（类）普通教育（款）高等教育（项）：指黄石港区政法委支持地方高校的重点发展和特色办学，组织专家对省属院校申报的建设规划和项目预算进行评审等相关工作的支出。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九、社会保障和就业</w:t>
      </w:r>
      <w:r>
        <w:rPr>
          <w:rFonts w:ascii="宋体" w:hAnsi="宋体" w:cs="宋体"/>
          <w:color w:val="333333"/>
          <w:kern w:val="0"/>
          <w:sz w:val="28"/>
          <w:szCs w:val="28"/>
        </w:rPr>
        <w:t>(</w:t>
      </w:r>
      <w:r>
        <w:rPr>
          <w:rFonts w:hint="eastAsia" w:ascii="宋体" w:hAnsi="宋体" w:cs="宋体"/>
          <w:color w:val="333333"/>
          <w:kern w:val="0"/>
          <w:sz w:val="28"/>
          <w:szCs w:val="28"/>
        </w:rPr>
        <w:t>类</w:t>
      </w:r>
      <w:r>
        <w:rPr>
          <w:rFonts w:ascii="宋体" w:hAnsi="宋体" w:cs="宋体"/>
          <w:color w:val="333333"/>
          <w:kern w:val="0"/>
          <w:sz w:val="28"/>
          <w:szCs w:val="28"/>
        </w:rPr>
        <w:t>)</w:t>
      </w:r>
      <w:r>
        <w:rPr>
          <w:rFonts w:hint="eastAsia" w:ascii="宋体" w:hAnsi="宋体" w:cs="宋体"/>
          <w:color w:val="333333"/>
          <w:kern w:val="0"/>
          <w:sz w:val="28"/>
          <w:szCs w:val="28"/>
        </w:rPr>
        <w:t>行政事业单位离退休（款）归口管理的行政单位离退休（项）：指黄石港区政法委用于离退休人员的支出、退休人员支出，以及提供管理服务工作的离退休干部处的支出。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十、社会保障和就业</w:t>
      </w:r>
      <w:r>
        <w:rPr>
          <w:rFonts w:ascii="宋体" w:hAnsi="宋体" w:cs="宋体"/>
          <w:color w:val="333333"/>
          <w:kern w:val="0"/>
          <w:sz w:val="28"/>
          <w:szCs w:val="28"/>
        </w:rPr>
        <w:t>(</w:t>
      </w:r>
      <w:r>
        <w:rPr>
          <w:rFonts w:hint="eastAsia" w:ascii="宋体" w:hAnsi="宋体" w:cs="宋体"/>
          <w:color w:val="333333"/>
          <w:kern w:val="0"/>
          <w:sz w:val="28"/>
          <w:szCs w:val="28"/>
        </w:rPr>
        <w:t>类</w:t>
      </w:r>
      <w:r>
        <w:rPr>
          <w:rFonts w:ascii="宋体" w:hAnsi="宋体" w:cs="宋体"/>
          <w:color w:val="333333"/>
          <w:kern w:val="0"/>
          <w:sz w:val="28"/>
          <w:szCs w:val="28"/>
        </w:rPr>
        <w:t>)</w:t>
      </w:r>
      <w:r>
        <w:rPr>
          <w:rFonts w:hint="eastAsia" w:ascii="宋体" w:hAnsi="宋体" w:cs="宋体"/>
          <w:color w:val="333333"/>
          <w:kern w:val="0"/>
          <w:sz w:val="28"/>
          <w:szCs w:val="28"/>
        </w:rPr>
        <w:t>行政事业单位离退休（款）其他行政事业单位离退休支出（项）：指黄石港区政法委用于离退休方面的其他支出。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十一、医疗卫生与计划生育（类）医疗保障（款）行政单位医疗（项）：指黄石港区政法委用于机关干部职工及离退休人员医疗方面的支出。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十二、住房保障（类）住房改革支出（款）购房补贴（项）：指按照相关住房分配货币化改革的政策规定和标准，对无房和住房未达标职工发放的住房分配货币化补贴资金。</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十三、年末结转和结余：指本年度或以前年度预算安排、因客观条件发生变化无法按原计划实施，需要延迟到以后年度按有关规定继续使用的资金。</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十四、基本支出：指为保障机构正常运转、完成日常工作任务而发生的人员支出（包括基本工资、津贴补贴等）和公用支出（包括办公费、水电费、邮电费、交通费、差旅费等）。</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十五、项目支出：指在基本支出之外为完成特定行政任务和事业发展目标所发生的支出。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十六、“三公”经费：是指用财政拨款安排的因公出国（境）费、公务用车购置及运行维护费、公务接待费。</w:t>
      </w:r>
    </w:p>
    <w:p>
      <w:pPr>
        <w:widowControl/>
        <w:shd w:val="clear" w:color="auto" w:fill="FFFFFF"/>
        <w:snapToGrid w:val="0"/>
        <w:spacing w:line="560" w:lineRule="atLeast"/>
        <w:ind w:firstLine="562"/>
        <w:jc w:val="left"/>
        <w:rPr>
          <w:rFonts w:ascii="宋体" w:cs="宋体"/>
          <w:color w:val="333333"/>
          <w:kern w:val="0"/>
          <w:sz w:val="28"/>
          <w:szCs w:val="28"/>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645A19"/>
    <w:multiLevelType w:val="singleLevel"/>
    <w:tmpl w:val="8A645A19"/>
    <w:lvl w:ilvl="0" w:tentative="0">
      <w:start w:val="2"/>
      <w:numFmt w:val="chineseCounting"/>
      <w:suff w:val="nothing"/>
      <w:lvlText w:val="（%1）"/>
      <w:lvlJc w:val="left"/>
      <w:rPr>
        <w:rFonts w:hint="eastAsia" w:cs="Times New Roman"/>
      </w:rPr>
    </w:lvl>
  </w:abstractNum>
  <w:abstractNum w:abstractNumId="1">
    <w:nsid w:val="5B62DE74"/>
    <w:multiLevelType w:val="singleLevel"/>
    <w:tmpl w:val="5B62DE74"/>
    <w:lvl w:ilvl="0" w:tentative="0">
      <w:start w:val="6"/>
      <w:numFmt w:val="chineseCounting"/>
      <w:suff w:val="nothing"/>
      <w:lvlText w:val="（%1）"/>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Y0MjZhZWQxZDJkN2Q1OTIxZTI5MTJlYjM0YzA0NjQifQ=="/>
  </w:docVars>
  <w:rsids>
    <w:rsidRoot w:val="00797D43"/>
    <w:rsid w:val="00015271"/>
    <w:rsid w:val="000861C8"/>
    <w:rsid w:val="000B0CAC"/>
    <w:rsid w:val="000D52B5"/>
    <w:rsid w:val="000E1EE2"/>
    <w:rsid w:val="000F459D"/>
    <w:rsid w:val="000F4E37"/>
    <w:rsid w:val="00143692"/>
    <w:rsid w:val="00190271"/>
    <w:rsid w:val="0019041E"/>
    <w:rsid w:val="001A4983"/>
    <w:rsid w:val="001A4AEC"/>
    <w:rsid w:val="001B6965"/>
    <w:rsid w:val="00235044"/>
    <w:rsid w:val="00262A46"/>
    <w:rsid w:val="00304A58"/>
    <w:rsid w:val="0033474C"/>
    <w:rsid w:val="00344524"/>
    <w:rsid w:val="003516F2"/>
    <w:rsid w:val="0036206E"/>
    <w:rsid w:val="0038317B"/>
    <w:rsid w:val="003A04CF"/>
    <w:rsid w:val="00405658"/>
    <w:rsid w:val="00447AEB"/>
    <w:rsid w:val="0049793E"/>
    <w:rsid w:val="004A16E5"/>
    <w:rsid w:val="004D59FE"/>
    <w:rsid w:val="004E0995"/>
    <w:rsid w:val="0051648F"/>
    <w:rsid w:val="0051733C"/>
    <w:rsid w:val="00575D2D"/>
    <w:rsid w:val="00580A70"/>
    <w:rsid w:val="00585136"/>
    <w:rsid w:val="0058551B"/>
    <w:rsid w:val="00592984"/>
    <w:rsid w:val="00626A62"/>
    <w:rsid w:val="00631839"/>
    <w:rsid w:val="00632DCC"/>
    <w:rsid w:val="006421FF"/>
    <w:rsid w:val="00652EBA"/>
    <w:rsid w:val="00671ECC"/>
    <w:rsid w:val="00684B63"/>
    <w:rsid w:val="006B0F1A"/>
    <w:rsid w:val="006E2A9A"/>
    <w:rsid w:val="006E6276"/>
    <w:rsid w:val="00707F63"/>
    <w:rsid w:val="00736D07"/>
    <w:rsid w:val="00767BBB"/>
    <w:rsid w:val="00792DD1"/>
    <w:rsid w:val="00793D08"/>
    <w:rsid w:val="00797D43"/>
    <w:rsid w:val="007A0E68"/>
    <w:rsid w:val="007A66FF"/>
    <w:rsid w:val="007E2C2B"/>
    <w:rsid w:val="007F56D6"/>
    <w:rsid w:val="00807128"/>
    <w:rsid w:val="008400F6"/>
    <w:rsid w:val="00842F9D"/>
    <w:rsid w:val="00851F58"/>
    <w:rsid w:val="0085273F"/>
    <w:rsid w:val="00872D28"/>
    <w:rsid w:val="00881B04"/>
    <w:rsid w:val="008B48A0"/>
    <w:rsid w:val="0091005C"/>
    <w:rsid w:val="00915C9A"/>
    <w:rsid w:val="00936E9C"/>
    <w:rsid w:val="00943325"/>
    <w:rsid w:val="00945DC2"/>
    <w:rsid w:val="009675CE"/>
    <w:rsid w:val="00997399"/>
    <w:rsid w:val="009C0AD6"/>
    <w:rsid w:val="009E7397"/>
    <w:rsid w:val="009F1FE1"/>
    <w:rsid w:val="009F2490"/>
    <w:rsid w:val="00A314C1"/>
    <w:rsid w:val="00A64248"/>
    <w:rsid w:val="00A74052"/>
    <w:rsid w:val="00A91E27"/>
    <w:rsid w:val="00AA4182"/>
    <w:rsid w:val="00AE449B"/>
    <w:rsid w:val="00B032BC"/>
    <w:rsid w:val="00B25E78"/>
    <w:rsid w:val="00B52AD9"/>
    <w:rsid w:val="00B60E74"/>
    <w:rsid w:val="00BC26A4"/>
    <w:rsid w:val="00C32A21"/>
    <w:rsid w:val="00C4137B"/>
    <w:rsid w:val="00C54ECA"/>
    <w:rsid w:val="00C72B8B"/>
    <w:rsid w:val="00C73D2E"/>
    <w:rsid w:val="00C81817"/>
    <w:rsid w:val="00C83537"/>
    <w:rsid w:val="00CB7C14"/>
    <w:rsid w:val="00CC4AD4"/>
    <w:rsid w:val="00CE7F03"/>
    <w:rsid w:val="00CF11B0"/>
    <w:rsid w:val="00D04E64"/>
    <w:rsid w:val="00D2711C"/>
    <w:rsid w:val="00D335A9"/>
    <w:rsid w:val="00D37A0F"/>
    <w:rsid w:val="00D40FE9"/>
    <w:rsid w:val="00D467CC"/>
    <w:rsid w:val="00D50AC1"/>
    <w:rsid w:val="00D76866"/>
    <w:rsid w:val="00E149C8"/>
    <w:rsid w:val="00E50020"/>
    <w:rsid w:val="00E95B53"/>
    <w:rsid w:val="00EC65F6"/>
    <w:rsid w:val="00EE2134"/>
    <w:rsid w:val="00F131CA"/>
    <w:rsid w:val="00F30914"/>
    <w:rsid w:val="00F609D4"/>
    <w:rsid w:val="00F70CBA"/>
    <w:rsid w:val="00F855FB"/>
    <w:rsid w:val="00FA2BFF"/>
    <w:rsid w:val="00FB4E64"/>
    <w:rsid w:val="00FC5D7B"/>
    <w:rsid w:val="00FF116B"/>
    <w:rsid w:val="00FF7907"/>
    <w:rsid w:val="01956809"/>
    <w:rsid w:val="0664587B"/>
    <w:rsid w:val="09FF39B4"/>
    <w:rsid w:val="0B821CB6"/>
    <w:rsid w:val="0F3B500C"/>
    <w:rsid w:val="10157CA5"/>
    <w:rsid w:val="11411182"/>
    <w:rsid w:val="13FA6E94"/>
    <w:rsid w:val="14B81A97"/>
    <w:rsid w:val="1BB829BA"/>
    <w:rsid w:val="1D3216D7"/>
    <w:rsid w:val="219E41B4"/>
    <w:rsid w:val="255E033E"/>
    <w:rsid w:val="27272230"/>
    <w:rsid w:val="27390172"/>
    <w:rsid w:val="2CCE2491"/>
    <w:rsid w:val="2F081AB6"/>
    <w:rsid w:val="32401A38"/>
    <w:rsid w:val="337A54E2"/>
    <w:rsid w:val="347E0E20"/>
    <w:rsid w:val="37DF7B42"/>
    <w:rsid w:val="3D734EFC"/>
    <w:rsid w:val="401A2F36"/>
    <w:rsid w:val="408F5EDF"/>
    <w:rsid w:val="435836A0"/>
    <w:rsid w:val="44064590"/>
    <w:rsid w:val="457D21A1"/>
    <w:rsid w:val="49D83A19"/>
    <w:rsid w:val="4A187DA8"/>
    <w:rsid w:val="4AB165D4"/>
    <w:rsid w:val="4FCC39E6"/>
    <w:rsid w:val="507C1CF5"/>
    <w:rsid w:val="539F04C4"/>
    <w:rsid w:val="57193076"/>
    <w:rsid w:val="5C0D412B"/>
    <w:rsid w:val="5D946FAB"/>
    <w:rsid w:val="5EF27DB1"/>
    <w:rsid w:val="61773BFF"/>
    <w:rsid w:val="621B3808"/>
    <w:rsid w:val="67E4782B"/>
    <w:rsid w:val="6A4B2223"/>
    <w:rsid w:val="6A5F0092"/>
    <w:rsid w:val="6ADC51FD"/>
    <w:rsid w:val="6FC62DF1"/>
    <w:rsid w:val="746766E2"/>
    <w:rsid w:val="74BF68F9"/>
    <w:rsid w:val="74EA7B66"/>
    <w:rsid w:val="78186405"/>
    <w:rsid w:val="784C1E5B"/>
    <w:rsid w:val="78A95A88"/>
    <w:rsid w:val="7B920EA6"/>
    <w:rsid w:val="7D417A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11"/>
    <w:qFormat/>
    <w:uiPriority w:val="99"/>
    <w:pPr>
      <w:spacing w:beforeAutospacing="1" w:afterAutospacing="1"/>
      <w:jc w:val="left"/>
      <w:outlineLvl w:val="4"/>
    </w:pPr>
    <w:rPr>
      <w:rFonts w:ascii="宋体" w:hAnsi="宋体"/>
      <w:b/>
      <w:kern w:val="0"/>
      <w:sz w:val="20"/>
      <w:szCs w:val="20"/>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qFormat/>
    <w:uiPriority w:val="99"/>
    <w:pPr>
      <w:spacing w:line="500" w:lineRule="exact"/>
      <w:ind w:firstLine="640" w:firstLineChars="200"/>
    </w:pPr>
    <w:rPr>
      <w:rFonts w:ascii="宋体"/>
      <w:sz w:val="32"/>
    </w:rPr>
  </w:style>
  <w:style w:type="paragraph" w:styleId="4">
    <w:name w:val="Plain Text"/>
    <w:basedOn w:val="1"/>
    <w:link w:val="13"/>
    <w:qFormat/>
    <w:uiPriority w:val="99"/>
    <w:rPr>
      <w:rFonts w:ascii="宋体" w:hAnsi="Courier New" w:cs="Courier New"/>
      <w:szCs w:val="21"/>
    </w:rPr>
  </w:style>
  <w:style w:type="paragraph" w:styleId="5">
    <w:name w:val="footer"/>
    <w:basedOn w:val="1"/>
    <w:link w:val="14"/>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10">
    <w:name w:val="Strong"/>
    <w:basedOn w:val="9"/>
    <w:qFormat/>
    <w:uiPriority w:val="99"/>
    <w:rPr>
      <w:rFonts w:cs="Times New Roman"/>
      <w:b/>
    </w:rPr>
  </w:style>
  <w:style w:type="character" w:customStyle="1" w:styleId="11">
    <w:name w:val="Heading 5 Char"/>
    <w:basedOn w:val="9"/>
    <w:link w:val="2"/>
    <w:semiHidden/>
    <w:qFormat/>
    <w:locked/>
    <w:uiPriority w:val="99"/>
    <w:rPr>
      <w:rFonts w:ascii="Calibri" w:hAnsi="Calibri" w:cs="Times New Roman"/>
      <w:b/>
      <w:bCs/>
      <w:sz w:val="28"/>
      <w:szCs w:val="28"/>
    </w:rPr>
  </w:style>
  <w:style w:type="character" w:customStyle="1" w:styleId="12">
    <w:name w:val="Body Text Indent Char"/>
    <w:basedOn w:val="9"/>
    <w:link w:val="3"/>
    <w:semiHidden/>
    <w:qFormat/>
    <w:locked/>
    <w:uiPriority w:val="99"/>
    <w:rPr>
      <w:rFonts w:ascii="Calibri" w:hAnsi="Calibri" w:cs="Times New Roman"/>
      <w:sz w:val="24"/>
      <w:szCs w:val="24"/>
    </w:rPr>
  </w:style>
  <w:style w:type="character" w:customStyle="1" w:styleId="13">
    <w:name w:val="Plain Text Char"/>
    <w:basedOn w:val="9"/>
    <w:link w:val="4"/>
    <w:semiHidden/>
    <w:qFormat/>
    <w:locked/>
    <w:uiPriority w:val="99"/>
    <w:rPr>
      <w:rFonts w:ascii="宋体" w:hAnsi="Courier New" w:cs="Courier New"/>
      <w:sz w:val="21"/>
      <w:szCs w:val="21"/>
    </w:rPr>
  </w:style>
  <w:style w:type="character" w:customStyle="1" w:styleId="14">
    <w:name w:val="Footer Char"/>
    <w:basedOn w:val="9"/>
    <w:link w:val="5"/>
    <w:semiHidden/>
    <w:qFormat/>
    <w:locked/>
    <w:uiPriority w:val="99"/>
    <w:rPr>
      <w:rFonts w:ascii="Calibri" w:hAnsi="Calibri" w:cs="Times New Roman"/>
      <w:sz w:val="18"/>
      <w:szCs w:val="18"/>
    </w:rPr>
  </w:style>
  <w:style w:type="character" w:customStyle="1" w:styleId="15">
    <w:name w:val="Header Char"/>
    <w:basedOn w:val="9"/>
    <w:link w:val="6"/>
    <w:semiHidden/>
    <w:qFormat/>
    <w:locked/>
    <w:uiPriority w:val="99"/>
    <w:rPr>
      <w:rFonts w:ascii="Calibri" w:hAnsi="Calibri" w:cs="Times New Roman"/>
      <w:sz w:val="18"/>
      <w:szCs w:val="18"/>
    </w:rPr>
  </w:style>
  <w:style w:type="paragraph" w:customStyle="1" w:styleId="16">
    <w:name w:val="正文缩进 + 首行缩进:  2 字符"/>
    <w:basedOn w:val="1"/>
    <w:qFormat/>
    <w:uiPriority w:val="99"/>
    <w:pPr>
      <w:spacing w:line="560" w:lineRule="exact"/>
      <w:ind w:firstLine="640"/>
    </w:pPr>
    <w:rPr>
      <w:rFonts w:ascii="仿宋" w:hAnsi="仿宋" w:cs="宋体"/>
      <w:sz w:val="32"/>
      <w:szCs w:val="32"/>
    </w:rPr>
  </w:style>
  <w:style w:type="character" w:customStyle="1" w:styleId="17">
    <w:name w:val="ca-2"/>
    <w:basedOn w:val="9"/>
    <w:qFormat/>
    <w:uiPriority w:val="99"/>
    <w:rPr>
      <w:rFonts w:cs="Times New Roman"/>
    </w:rPr>
  </w:style>
  <w:style w:type="paragraph" w:customStyle="1" w:styleId="18">
    <w:name w:val="Normal (Web)1"/>
    <w:basedOn w:val="1"/>
    <w:qFormat/>
    <w:uiPriority w:val="99"/>
    <w:pPr>
      <w:widowControl/>
      <w:spacing w:before="100" w:beforeAutospacing="1" w:after="100" w:afterAutospacing="1"/>
      <w:jc w:val="left"/>
    </w:pPr>
    <w:rPr>
      <w:rFonts w:ascii="宋体" w:hAnsi="宋体" w:cs="宋体"/>
      <w:kern w:val="0"/>
      <w:sz w:val="24"/>
    </w:rPr>
  </w:style>
  <w:style w:type="character" w:customStyle="1" w:styleId="19">
    <w:name w:val="ca-3"/>
    <w:basedOn w:val="9"/>
    <w:qFormat/>
    <w:uiPriority w:val="99"/>
    <w:rPr>
      <w:rFonts w:cs="Times New Roman"/>
    </w:rPr>
  </w:style>
  <w:style w:type="character" w:customStyle="1" w:styleId="20">
    <w:name w:val="apple-converted-space"/>
    <w:basedOn w:val="9"/>
    <w:qFormat/>
    <w:uiPriority w:val="99"/>
    <w:rPr>
      <w:rFonts w:cs="Times New Roman"/>
    </w:rPr>
  </w:style>
  <w:style w:type="paragraph" w:customStyle="1" w:styleId="21">
    <w:name w:val="pa-1"/>
    <w:basedOn w:val="1"/>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20</Pages>
  <Words>3718</Words>
  <Characters>4205</Characters>
  <Lines>0</Lines>
  <Paragraphs>0</Paragraphs>
  <TotalTime>93</TotalTime>
  <ScaleCrop>false</ScaleCrop>
  <LinksUpToDate>false</LinksUpToDate>
  <CharactersWithSpaces>4217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南有乔木</cp:lastModifiedBy>
  <dcterms:modified xsi:type="dcterms:W3CDTF">2023-08-23T07:24:21Z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65231C966D4E407B95BDBCDF81108B19</vt:lpwstr>
  </property>
</Properties>
</file>