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42" w:tblpY="2613"/>
        <w:tblOverlap w:val="never"/>
        <w:tblW w:w="88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130"/>
        <w:gridCol w:w="1115"/>
        <w:gridCol w:w="1830"/>
        <w:gridCol w:w="2918"/>
        <w:gridCol w:w="18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文体项目专项经费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其中：当年区级财政资金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区文旅局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区文旅局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确保全区各预算单位在财务核算系统中顺利进行财务核算，无重大信息安全事故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指标标准或依据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举办各级各类群体活动次数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30次以上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经常参加锻炼人数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1万人以上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公园建设维护费用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增强人民的体育意识，提高人民素质。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一、黄石港区文体项目专项经费支出绩效目标表</w:t>
      </w:r>
    </w:p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二、黄石港区社会保障专项资金项目支出绩效目标表</w:t>
      </w:r>
    </w:p>
    <w:p/>
    <w:tbl>
      <w:tblPr>
        <w:tblStyle w:val="2"/>
        <w:tblW w:w="93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396"/>
        <w:gridCol w:w="925"/>
        <w:gridCol w:w="1745"/>
        <w:gridCol w:w="3026"/>
        <w:gridCol w:w="19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黄石港区社会保障专项资金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其中：当年区级财政资金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持续性项目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确保辖区内符合条件的困难群众全部享受规定待遇，无一遗漏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指标标准或依据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应保尽保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保障及时性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按时发放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促进社会和谐稳定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计划标准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631CD"/>
    <w:rsid w:val="5F775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</dc:creator>
  <cp:lastModifiedBy>侒靜啲喧嘩</cp:lastModifiedBy>
  <dcterms:modified xsi:type="dcterms:W3CDTF">2020-07-15T09:24:05Z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