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黄石港区20</w:t>
      </w:r>
      <w:r>
        <w:rPr>
          <w:rFonts w:hint="eastAsia" w:asciiTheme="minorEastAsia" w:hAnsiTheme="minorEastAsia" w:cstheme="minorEastAsia"/>
          <w:b/>
          <w:bCs/>
          <w:sz w:val="44"/>
          <w:szCs w:val="44"/>
          <w:lang w:val="en-US" w:eastAsia="zh-CN"/>
        </w:rPr>
        <w:t>21</w:t>
      </w:r>
      <w:r>
        <w:rPr>
          <w:rFonts w:hint="eastAsia" w:asciiTheme="minorEastAsia" w:hAnsiTheme="minorEastAsia" w:eastAsiaTheme="minorEastAsia" w:cstheme="minorEastAsia"/>
          <w:b/>
          <w:bCs/>
          <w:sz w:val="44"/>
          <w:szCs w:val="44"/>
          <w:lang w:val="en-US" w:eastAsia="zh-CN"/>
        </w:rPr>
        <w:t>年</w:t>
      </w:r>
      <w:r>
        <w:rPr>
          <w:rFonts w:hint="eastAsia" w:asciiTheme="minorEastAsia" w:hAnsiTheme="minorEastAsia" w:cstheme="minorEastAsia"/>
          <w:b/>
          <w:bCs/>
          <w:sz w:val="44"/>
          <w:szCs w:val="44"/>
          <w:lang w:val="en-US" w:eastAsia="zh-CN"/>
        </w:rPr>
        <w:t>禁捕</w:t>
      </w:r>
      <w:r>
        <w:rPr>
          <w:rFonts w:hint="eastAsia" w:asciiTheme="minorEastAsia" w:hAnsiTheme="minorEastAsia" w:eastAsiaTheme="minorEastAsia" w:cstheme="minorEastAsia"/>
          <w:b/>
          <w:bCs/>
          <w:sz w:val="44"/>
          <w:szCs w:val="44"/>
          <w:lang w:val="en-US" w:eastAsia="zh-CN"/>
        </w:rPr>
        <w:t>资金</w:t>
      </w:r>
      <w:r>
        <w:rPr>
          <w:rFonts w:hint="eastAsia" w:asciiTheme="minorEastAsia" w:hAnsiTheme="minorEastAsia" w:cstheme="minorEastAsia"/>
          <w:b/>
          <w:bCs/>
          <w:sz w:val="44"/>
          <w:szCs w:val="44"/>
          <w:lang w:val="en-US" w:eastAsia="zh-CN"/>
        </w:rPr>
        <w:t>情况</w:t>
      </w:r>
    </w:p>
    <w:p>
      <w:pPr>
        <w:jc w:val="center"/>
        <w:rPr>
          <w:rFonts w:hint="eastAsia" w:asciiTheme="minorEastAsia" w:hAnsiTheme="minorEastAsia" w:eastAsiaTheme="minorEastAsia" w:cstheme="minorEastAsia"/>
          <w:b/>
          <w:bCs/>
          <w:sz w:val="30"/>
          <w:szCs w:val="30"/>
          <w:lang w:val="en-US" w:eastAsia="zh-CN"/>
        </w:rPr>
      </w:pPr>
    </w:p>
    <w:p>
      <w:pPr>
        <w:ind w:firstLine="602" w:firstLineChars="200"/>
        <w:jc w:val="both"/>
        <w:rPr>
          <w:rFonts w:hint="eastAsia" w:asciiTheme="minorEastAsia" w:hAnsiTheme="minorEastAsia" w:cstheme="minorEastAsia"/>
          <w:b/>
          <w:bCs/>
          <w:sz w:val="30"/>
          <w:szCs w:val="30"/>
          <w:lang w:val="en-US" w:eastAsia="zh-CN"/>
        </w:rPr>
      </w:pPr>
      <w:r>
        <w:rPr>
          <w:rFonts w:hint="eastAsia" w:asciiTheme="minorEastAsia" w:hAnsiTheme="minorEastAsia" w:cstheme="minorEastAsia"/>
          <w:b/>
          <w:bCs/>
          <w:sz w:val="30"/>
          <w:szCs w:val="30"/>
          <w:lang w:val="en-US" w:eastAsia="zh-CN"/>
        </w:rPr>
        <w:t>一、禁捕资金安排情况</w:t>
      </w:r>
    </w:p>
    <w:p>
      <w:pPr>
        <w:keepNext w:val="0"/>
        <w:keepLines w:val="0"/>
        <w:widowControl/>
        <w:suppressLineNumbers w:val="0"/>
        <w:ind w:firstLine="600" w:firstLineChars="200"/>
        <w:jc w:val="both"/>
        <w:textAlignment w:val="center"/>
        <w:rPr>
          <w:rFonts w:hint="eastAsia" w:ascii="宋体" w:hAnsi="宋体" w:eastAsia="宋体" w:cs="宋体"/>
          <w:i w:val="0"/>
          <w:color w:val="333333"/>
          <w:kern w:val="0"/>
          <w:sz w:val="30"/>
          <w:szCs w:val="30"/>
          <w:u w:val="none"/>
          <w:lang w:val="en-US" w:eastAsia="zh-CN" w:bidi="ar"/>
        </w:rPr>
      </w:pPr>
      <w:r>
        <w:rPr>
          <w:rFonts w:hint="eastAsia" w:ascii="宋体" w:hAnsi="宋体" w:eastAsia="宋体" w:cs="宋体"/>
          <w:i w:val="0"/>
          <w:color w:val="333333"/>
          <w:kern w:val="0"/>
          <w:sz w:val="30"/>
          <w:szCs w:val="30"/>
          <w:u w:val="none"/>
          <w:lang w:val="en-US" w:eastAsia="zh-CN" w:bidi="ar"/>
        </w:rPr>
        <w:t>黄石港区2021</w:t>
      </w:r>
      <w:bookmarkStart w:id="0" w:name="_GoBack"/>
      <w:bookmarkEnd w:id="0"/>
      <w:r>
        <w:rPr>
          <w:rFonts w:hint="eastAsia" w:ascii="宋体" w:hAnsi="宋体" w:eastAsia="宋体" w:cs="宋体"/>
          <w:i w:val="0"/>
          <w:color w:val="333333"/>
          <w:kern w:val="0"/>
          <w:sz w:val="30"/>
          <w:szCs w:val="30"/>
          <w:u w:val="none"/>
          <w:lang w:val="en-US" w:eastAsia="zh-CN" w:bidi="ar"/>
        </w:rPr>
        <w:t>年无禁捕资金。</w:t>
      </w:r>
    </w:p>
    <w:p>
      <w:pPr>
        <w:keepNext w:val="0"/>
        <w:keepLines w:val="0"/>
        <w:widowControl/>
        <w:suppressLineNumbers w:val="0"/>
        <w:ind w:firstLine="600" w:firstLineChars="200"/>
        <w:jc w:val="both"/>
        <w:textAlignment w:val="center"/>
        <w:rPr>
          <w:rFonts w:hint="eastAsia" w:ascii="宋体" w:hAnsi="宋体" w:eastAsia="宋体" w:cs="宋体"/>
          <w:i w:val="0"/>
          <w:color w:val="333333"/>
          <w:kern w:val="0"/>
          <w:sz w:val="30"/>
          <w:szCs w:val="30"/>
          <w:u w:val="none"/>
          <w:lang w:val="en-US" w:eastAsia="zh-CN" w:bidi="ar"/>
        </w:rPr>
      </w:pPr>
    </w:p>
    <w:p>
      <w:pPr>
        <w:keepNext w:val="0"/>
        <w:keepLines w:val="0"/>
        <w:widowControl/>
        <w:numPr>
          <w:ilvl w:val="0"/>
          <w:numId w:val="1"/>
        </w:numPr>
        <w:suppressLineNumbers w:val="0"/>
        <w:ind w:firstLine="602" w:firstLineChars="200"/>
        <w:jc w:val="both"/>
        <w:textAlignment w:val="center"/>
        <w:rPr>
          <w:rFonts w:hint="eastAsia" w:asciiTheme="minorEastAsia" w:hAnsiTheme="minorEastAsia" w:cstheme="minorEastAsia"/>
          <w:b/>
          <w:bCs/>
          <w:sz w:val="30"/>
          <w:szCs w:val="30"/>
          <w:lang w:val="en-US" w:eastAsia="zh-CN"/>
        </w:rPr>
      </w:pPr>
      <w:r>
        <w:rPr>
          <w:rFonts w:hint="eastAsia" w:asciiTheme="minorEastAsia" w:hAnsiTheme="minorEastAsia" w:cstheme="minorEastAsia"/>
          <w:b/>
          <w:bCs/>
          <w:sz w:val="30"/>
          <w:szCs w:val="30"/>
          <w:lang w:val="en-US" w:eastAsia="zh-CN"/>
        </w:rPr>
        <w:t>禁捕资金相关政策办法</w:t>
      </w:r>
    </w:p>
    <w:p>
      <w:pPr>
        <w:keepNext w:val="0"/>
        <w:keepLines w:val="0"/>
        <w:widowControl/>
        <w:numPr>
          <w:ilvl w:val="0"/>
          <w:numId w:val="0"/>
        </w:numPr>
        <w:suppressLineNumbers w:val="0"/>
        <w:jc w:val="both"/>
        <w:textAlignment w:val="center"/>
        <w:rPr>
          <w:rFonts w:hint="eastAsia" w:asciiTheme="minorEastAsia" w:hAnsiTheme="minorEastAsia" w:cstheme="minorEastAsia"/>
          <w:b/>
          <w:bCs/>
          <w:sz w:val="30"/>
          <w:szCs w:val="30"/>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Arial" w:hAnsi="Arial" w:cs="Arial"/>
          <w:i w:val="0"/>
          <w:caps w:val="0"/>
          <w:color w:val="003366"/>
          <w:spacing w:val="0"/>
          <w:sz w:val="36"/>
          <w:szCs w:val="36"/>
        </w:rPr>
      </w:pPr>
      <w:r>
        <w:rPr>
          <w:rFonts w:hint="default" w:ascii="Arial" w:hAnsi="Arial" w:cs="Arial"/>
          <w:i w:val="0"/>
          <w:caps w:val="0"/>
          <w:color w:val="003366"/>
          <w:spacing w:val="0"/>
          <w:sz w:val="36"/>
          <w:szCs w:val="36"/>
          <w:shd w:val="clear" w:fill="FFFFFF"/>
        </w:rPr>
        <w:t>湖北省水产局办公室关于进一步加强长江禁捕资金使用管理的意见</w:t>
      </w:r>
    </w:p>
    <w:p>
      <w:pPr>
        <w:keepNext w:val="0"/>
        <w:keepLines w:val="0"/>
        <w:widowControl/>
        <w:numPr>
          <w:ilvl w:val="0"/>
          <w:numId w:val="0"/>
        </w:numPr>
        <w:suppressLineNumbers w:val="0"/>
        <w:jc w:val="center"/>
        <w:textAlignment w:val="center"/>
        <w:rPr>
          <w:rFonts w:hint="eastAsia" w:asciiTheme="minorEastAsia" w:hAnsiTheme="minorEastAsia" w:cstheme="minorEastAsia"/>
          <w:b/>
          <w:bCs/>
          <w:sz w:val="30"/>
          <w:szCs w:val="30"/>
          <w:lang w:val="en-US" w:eastAsia="zh-CN"/>
        </w:rPr>
      </w:pPr>
      <w:r>
        <w:rPr>
          <w:rFonts w:hint="eastAsia" w:ascii="Arial" w:hAnsi="Arial" w:eastAsia="宋体" w:cs="Arial"/>
          <w:b w:val="0"/>
          <w:i w:val="0"/>
          <w:caps w:val="0"/>
          <w:color w:val="000000"/>
          <w:spacing w:val="0"/>
          <w:sz w:val="21"/>
          <w:szCs w:val="21"/>
          <w:shd w:val="clear" w:fill="FFFFFF"/>
        </w:rPr>
        <w:t>鄂渔办发〔2019〕10号</w:t>
      </w:r>
    </w:p>
    <w:p>
      <w:pPr>
        <w:keepNext w:val="0"/>
        <w:keepLines w:val="0"/>
        <w:widowControl/>
        <w:numPr>
          <w:ilvl w:val="0"/>
          <w:numId w:val="0"/>
        </w:numPr>
        <w:suppressLineNumbers w:val="0"/>
        <w:jc w:val="both"/>
        <w:textAlignment w:val="center"/>
        <w:rPr>
          <w:rFonts w:hint="eastAsia" w:asciiTheme="minorEastAsia" w:hAnsiTheme="minorEastAsia" w:cstheme="minorEastAsia"/>
          <w:b/>
          <w:bCs/>
          <w:sz w:val="30"/>
          <w:szCs w:val="30"/>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为推进长江流域重点水域禁捕工作，中央及省级财政以奖代补形式，统筹并分批次下达补助资金。为加强和规范补助资金管理，提高资金使用效益，保障退捕渔民合法权益，根据《财政部关于印发&lt;中央对地方专项转移支付管理办法&gt;的通知》《农业资源及生态保护补助资金管理办法》等文件精神，现就资金使用管理提出如下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一、分清资金来源和批次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补助资金分省级统筹部分和中央转移支付部分。其中：中央转移支付资金已三批次下达：《省农业农村厅关于下达2018年中央财政农业（渔业）资源及生态保护补助资金及实施方案的通知》（鄂农计发〔2019〕5号）（第一批次）《省农业农村厅关于实施2019年部分中央财政农业转移支付项目的通知》（鄂农计发〔2019〕19号）（第二批次）、《省财政厅关于下达农业转移支付资金预算的通知》（鄂财农发〔2019〕74号）（第三批次）。第四批次资金即将下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省级统筹资金已两批次下达：《省水产局关于下达2018年渔业成品油价格改革财政补贴资金的通知》（鄂渔计发〔2018〕1号）（第一批次）、《省水产局关于下达2019年渔业成品油价格改革财政补贴资金的通知》（鄂渔计发〔2019〕1号）（第二批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二、严格资金使用方向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按照《农业农村部财政部人力资源社会保障部关于印发&lt;长江流域重点水域禁捕和建立补偿制度实施方案&gt;的通知》（农长渔发〔2019〕1号），第一、二、四批次中央转移支付资金属于中央财政一次性补助资金，由各地方政府结合当地实际统筹用于回收渔民捕捞权和专用生产设备报废，以及直接发放到符合条件的退捕渔民。第三批次中央转移支付资金属于中央财政过渡期补助资金，由各地统筹用于禁捕宣传动员、提前退捕奖励、加强渔政执法、突发事件应急处置等与禁捕直接相关的工作，不得挪作其他与长江禁捕不直接相关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中央财政过渡期补助资金优先用于加强本地渔政执法队伍和装备能力建设，鼓励健全完善“护鱼员”协助管护机制，支持推广应用无人机、视频监控等现代信息技术手段，推动由人防为主向专管群管结合、人防技防并重转变，提高监管能力和执法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省级统筹资金由各市县政府用于推动本地禁捕退捕渔船减船转产奖补。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三、建立工作管理台账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请各地及时与当地财政部门联系沟通，并主动向地方政府汇报争取，按照禁捕工作实施方案，加快推进禁捕工作。按照《省农业农村厅办公室关于做好我省长江流域重点水域禁捕相关工作的通知》（鄂农办函〔2019〕53号）要求，建立退捕渔船渔民信息档案等工作台账，以及资金使用台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四、严格资金使用管理纪律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禁捕资金专款专用，不得用于单位人员经费、各种奖金津贴和福利补助、“三公”经费、会议费、培训费、办公费，以及弥补项目单位亏损等与禁捕工作无关的支出，严格按照规定用途使用资金。按照《农业资源及生态保护补助资金管理办法》，加强资金使用监督管理，明确资金的申请、分配、拨付、使用、考核等内容，组织绩效考评，并自觉接受、配合审计等部门的监督检查。</w:t>
      </w:r>
    </w:p>
    <w:p>
      <w:pPr>
        <w:keepNext w:val="0"/>
        <w:keepLines w:val="0"/>
        <w:widowControl/>
        <w:numPr>
          <w:ilvl w:val="0"/>
          <w:numId w:val="0"/>
        </w:numPr>
        <w:suppressLineNumbers w:val="0"/>
        <w:jc w:val="both"/>
        <w:textAlignment w:val="center"/>
        <w:rPr>
          <w:rFonts w:hint="eastAsia" w:asciiTheme="minorEastAsia" w:hAnsiTheme="minorEastAsia" w:cstheme="minorEastAsia"/>
          <w:b/>
          <w:bCs/>
          <w:sz w:val="30"/>
          <w:szCs w:val="30"/>
          <w:lang w:val="en-US" w:eastAsia="zh-CN"/>
        </w:rPr>
      </w:pPr>
    </w:p>
    <w:p>
      <w:pPr>
        <w:jc w:val="both"/>
        <w:rPr>
          <w:rFonts w:hint="default" w:asciiTheme="minorEastAsia" w:hAnsiTheme="minorEastAsia" w:cstheme="minorEastAsia"/>
          <w:b w:val="0"/>
          <w:bCs w:val="0"/>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CCBB"/>
    <w:multiLevelType w:val="singleLevel"/>
    <w:tmpl w:val="01A5CCB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827AE4"/>
    <w:rsid w:val="1C586C13"/>
    <w:rsid w:val="2EB92D80"/>
    <w:rsid w:val="33824E79"/>
    <w:rsid w:val="366B514D"/>
    <w:rsid w:val="384C259D"/>
    <w:rsid w:val="3A9C324F"/>
    <w:rsid w:val="4125534F"/>
    <w:rsid w:val="4651546E"/>
    <w:rsid w:val="4D4B2034"/>
    <w:rsid w:val="5B07542E"/>
    <w:rsid w:val="5B2B29C9"/>
    <w:rsid w:val="600C6766"/>
    <w:rsid w:val="68CC3E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7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gg</cp:lastModifiedBy>
  <dcterms:modified xsi:type="dcterms:W3CDTF">2021-03-03T01:22:08Z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