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val="en-US" w:eastAsia="zh-CN"/>
        </w:rPr>
        <w:t>区政数局2020</w:t>
      </w:r>
      <w:r>
        <w:rPr>
          <w:rFonts w:hint="eastAsia" w:ascii="微软雅黑" w:hAnsi="微软雅黑" w:eastAsia="微软雅黑" w:cs="微软雅黑"/>
          <w:b/>
          <w:i w:val="0"/>
          <w:caps w:val="0"/>
          <w:color w:val="BC1010"/>
          <w:spacing w:val="0"/>
          <w:sz w:val="40"/>
          <w:szCs w:val="40"/>
          <w:shd w:val="clear" w:fill="FFFFFF"/>
        </w:rPr>
        <w:t>年决算公开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8"/>
          <w:szCs w:val="28"/>
        </w:rPr>
      </w:pPr>
      <w:r>
        <w:rPr>
          <w:rStyle w:val="5"/>
          <w:rFonts w:hint="eastAsia" w:ascii="微软雅黑" w:hAnsi="微软雅黑" w:eastAsia="微软雅黑" w:cs="微软雅黑"/>
          <w:i w:val="0"/>
          <w:caps w:val="0"/>
          <w:color w:val="333333"/>
          <w:spacing w:val="0"/>
          <w:sz w:val="28"/>
          <w:szCs w:val="28"/>
          <w:shd w:val="clear" w:fill="FFFFFF"/>
          <w:lang w:eastAsia="zh-CN"/>
        </w:rPr>
        <w:t>黄石港区</w:t>
      </w:r>
      <w:r>
        <w:rPr>
          <w:rStyle w:val="5"/>
          <w:rFonts w:hint="eastAsia" w:ascii="微软雅黑" w:hAnsi="微软雅黑" w:eastAsia="微软雅黑" w:cs="微软雅黑"/>
          <w:i w:val="0"/>
          <w:caps w:val="0"/>
          <w:color w:val="333333"/>
          <w:spacing w:val="0"/>
          <w:sz w:val="28"/>
          <w:szCs w:val="28"/>
          <w:shd w:val="clear" w:fill="FFFFFF"/>
          <w:lang w:val="en-US" w:eastAsia="zh-CN"/>
        </w:rPr>
        <w:t>政数局2020</w:t>
      </w:r>
      <w:r>
        <w:rPr>
          <w:rStyle w:val="5"/>
          <w:rFonts w:hint="eastAsia" w:ascii="微软雅黑" w:hAnsi="微软雅黑" w:eastAsia="微软雅黑" w:cs="微软雅黑"/>
          <w:i w:val="0"/>
          <w:caps w:val="0"/>
          <w:color w:val="333333"/>
          <w:spacing w:val="0"/>
          <w:sz w:val="28"/>
          <w:szCs w:val="28"/>
          <w:shd w:val="clear" w:fill="FFFFFF"/>
        </w:rPr>
        <w:t>年决算公开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b/>
          <w:bCs/>
          <w:color w:val="333333"/>
          <w:sz w:val="24"/>
          <w:szCs w:val="24"/>
        </w:rPr>
      </w:pPr>
      <w:r>
        <w:rPr>
          <w:rFonts w:hint="eastAsia" w:ascii="微软雅黑" w:hAnsi="微软雅黑" w:eastAsia="微软雅黑" w:cs="微软雅黑"/>
          <w:b/>
          <w:bCs/>
          <w:i w:val="0"/>
          <w:caps w:val="0"/>
          <w:color w:val="333333"/>
          <w:spacing w:val="0"/>
          <w:sz w:val="24"/>
          <w:szCs w:val="24"/>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三、</w:t>
      </w:r>
      <w:r>
        <w:rPr>
          <w:rFonts w:hint="eastAsia" w:ascii="微软雅黑" w:hAnsi="微软雅黑" w:eastAsia="微软雅黑" w:cs="微软雅黑"/>
          <w:b w:val="0"/>
          <w:i w:val="0"/>
          <w:caps w:val="0"/>
          <w:color w:val="333333"/>
          <w:spacing w:val="0"/>
          <w:sz w:val="24"/>
          <w:szCs w:val="24"/>
          <w:shd w:val="clear" w:fill="FFFFFF"/>
        </w:rPr>
        <w:t>当年取得的主要事业成效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w:t>
      </w:r>
      <w:r>
        <w:rPr>
          <w:rFonts w:hint="eastAsia" w:ascii="微软雅黑" w:hAnsi="微软雅黑" w:eastAsia="微软雅黑" w:cs="微软雅黑"/>
          <w:b w:val="0"/>
          <w:i w:val="0"/>
          <w:caps w:val="0"/>
          <w:color w:val="333333"/>
          <w:spacing w:val="0"/>
          <w:sz w:val="24"/>
          <w:szCs w:val="24"/>
          <w:shd w:val="clear" w:fill="FFFFFF"/>
          <w:lang w:val="en-US" w:eastAsia="zh-CN"/>
        </w:rPr>
        <w:t>2020</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w:t>
      </w:r>
      <w:r>
        <w:rPr>
          <w:rFonts w:hint="eastAsia" w:ascii="微软雅黑" w:hAnsi="微软雅黑" w:eastAsia="微软雅黑" w:cs="微软雅黑"/>
          <w:b w:val="0"/>
          <w:i w:val="0"/>
          <w:caps w:val="0"/>
          <w:color w:val="333333"/>
          <w:spacing w:val="0"/>
          <w:sz w:val="24"/>
          <w:szCs w:val="24"/>
          <w:shd w:val="clear" w:fill="FFFFFF"/>
          <w:lang w:val="en-US" w:eastAsia="zh-CN"/>
        </w:rPr>
        <w:t>2020</w:t>
      </w:r>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5523" w:firstLineChars="2300"/>
        <w:jc w:val="both"/>
        <w:rPr>
          <w:rStyle w:val="5"/>
          <w:rFonts w:hint="eastAsia" w:ascii="微软雅黑" w:hAnsi="微软雅黑" w:eastAsia="微软雅黑" w:cs="微软雅黑"/>
          <w:i w:val="0"/>
          <w:caps w:val="0"/>
          <w:color w:val="333333"/>
          <w:spacing w:val="0"/>
          <w:sz w:val="24"/>
          <w:szCs w:val="24"/>
          <w:shd w:val="clear" w:fill="FFFFFF"/>
        </w:rPr>
      </w:pPr>
      <w:r>
        <w:rPr>
          <w:rStyle w:val="5"/>
          <w:rFonts w:hint="eastAsia" w:ascii="微软雅黑" w:hAnsi="微软雅黑" w:eastAsia="微软雅黑" w:cs="微软雅黑"/>
          <w:i w:val="0"/>
          <w:caps w:val="0"/>
          <w:color w:val="333333"/>
          <w:spacing w:val="0"/>
          <w:sz w:val="24"/>
          <w:szCs w:val="24"/>
          <w:shd w:val="clear" w:fill="FFFFFF"/>
          <w:lang w:val="en-US" w:eastAsia="zh-CN"/>
        </w:rPr>
        <w:t>2020</w:t>
      </w:r>
      <w:r>
        <w:rPr>
          <w:rStyle w:val="5"/>
          <w:rFonts w:hint="eastAsia" w:ascii="微软雅黑" w:hAnsi="微软雅黑" w:eastAsia="微软雅黑" w:cs="微软雅黑"/>
          <w:i w:val="0"/>
          <w:caps w:val="0"/>
          <w:color w:val="333333"/>
          <w:spacing w:val="0"/>
          <w:sz w:val="24"/>
          <w:szCs w:val="24"/>
          <w:shd w:val="clear" w:fill="FFFFFF"/>
        </w:rPr>
        <w:t>年部门决算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5"/>
          <w:rFonts w:hint="eastAsia" w:ascii="微软雅黑" w:hAnsi="微软雅黑" w:eastAsia="微软雅黑" w:cs="微软雅黑"/>
          <w:i w:val="0"/>
          <w:caps w:val="0"/>
          <w:color w:val="333333"/>
          <w:spacing w:val="0"/>
          <w:sz w:val="24"/>
          <w:szCs w:val="24"/>
          <w:shd w:val="clear" w:fill="FFFFFF"/>
        </w:rPr>
      </w:pP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一、部门情况</w:t>
      </w:r>
    </w:p>
    <w:p>
      <w:pPr>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(一)基本情况</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 xml:space="preserve">   1、主要职能</w:t>
      </w:r>
    </w:p>
    <w:p>
      <w:p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第一条 根据《中共黄石市委、黄石市人民政府关于印发&lt;黄石市黄石港区机构改革方案&gt;的通知》（黄文〈2020〉17号），制定本规定。</w:t>
      </w:r>
    </w:p>
    <w:p>
      <w:pPr>
        <w:ind w:firstLine="56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第二条 黄石港区政务服务和大数据管理局管理局作为区政府工作部门，为正科级。</w:t>
      </w:r>
    </w:p>
    <w:p>
      <w:pPr>
        <w:ind w:firstLine="56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黄石港区政务服务和大数据管理局对外加挂区公共资源交易监督管理局牌子。</w:t>
      </w:r>
    </w:p>
    <w:p>
      <w:pPr>
        <w:numPr>
          <w:ilvl w:val="0"/>
          <w:numId w:val="1"/>
        </w:numPr>
        <w:ind w:firstLine="56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黄石港区政务服务和大数据管理局贯彻落实党中央关于政务服务和大数据管理工作的方针政策和决策部署，落实区委工作要求，在履行职责过程中坚持和加强党对政务服务和大数据管理工作的集中统一领导。主要职责是：</w:t>
      </w:r>
    </w:p>
    <w:p>
      <w:pPr>
        <w:numPr>
          <w:ilvl w:val="0"/>
          <w:numId w:val="2"/>
        </w:num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 xml:space="preserve">负责本级政务服务大厅日常管理工作，检查、指导、考评下级政务服务机构便民服务机构的工作。 </w:t>
      </w:r>
    </w:p>
    <w:p>
      <w:pPr>
        <w:numPr>
          <w:ilvl w:val="0"/>
          <w:numId w:val="2"/>
        </w:num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研究制定本级政务服务大厅各项规章制度。</w:t>
      </w:r>
    </w:p>
    <w:p>
      <w:pPr>
        <w:numPr>
          <w:ilvl w:val="0"/>
          <w:numId w:val="2"/>
        </w:num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审核本级政府部门进入或退出本级政务服务大厅的政务服务事项，组织协调、监督指导进驻部门开展行政审批等政务服务工作，并根据上级要求和实际调整服务事项。</w:t>
      </w:r>
    </w:p>
    <w:p>
      <w:pPr>
        <w:numPr>
          <w:ilvl w:val="0"/>
          <w:numId w:val="2"/>
        </w:num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对本级政务服务大厅各办事岗位及工作人员进行日常监督、管理和考评，并将考评结果及建议通报派驻部门。</w:t>
      </w:r>
    </w:p>
    <w:p>
      <w:pPr>
        <w:numPr>
          <w:ilvl w:val="0"/>
          <w:numId w:val="2"/>
        </w:num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受理对本级政务服务大厅工作人员的投诉，并及时向投诉人反馈调查、处理情况。</w:t>
      </w:r>
    </w:p>
    <w:p>
      <w:pPr>
        <w:numPr>
          <w:ilvl w:val="0"/>
          <w:numId w:val="2"/>
        </w:num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承担本级政务服务大厅电子政务平台的建设管理、运行维护等工作。</w:t>
      </w:r>
    </w:p>
    <w:p>
      <w:pPr>
        <w:numPr>
          <w:ilvl w:val="0"/>
          <w:numId w:val="2"/>
        </w:num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组织本级政务服务大厅工作人员进行行政审批业务、规范化服务和电子政务技能等培训工作。</w:t>
      </w:r>
    </w:p>
    <w:p>
      <w:pPr>
        <w:numPr>
          <w:ilvl w:val="0"/>
          <w:numId w:val="2"/>
        </w:num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统筹管理全区大数据相关工作，推进智慧城市建设；推动全区社会大数据库建设，组织大数据采集、管理、开发、交易、应用等工作，推动大数据开发利用。</w:t>
      </w:r>
    </w:p>
    <w:p>
      <w:pPr>
        <w:numPr>
          <w:ilvl w:val="0"/>
          <w:numId w:val="2"/>
        </w:num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负责全区政务公开和政务服务、政务信息化管理相关职责。</w:t>
      </w:r>
    </w:p>
    <w:p>
      <w:pPr>
        <w:numPr>
          <w:ilvl w:val="0"/>
          <w:numId w:val="2"/>
        </w:num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贯彻执行公共资源交易的方针政策和法律法规，负责全区公共资源招标投标交易管理，建立和完善公共资源交易社会监督机制；推进全区公共资源交易信息化工作，建立完善公共资源交易，服务，监督信息系统。</w:t>
      </w:r>
    </w:p>
    <w:p>
      <w:pPr>
        <w:numPr>
          <w:ilvl w:val="0"/>
          <w:numId w:val="2"/>
        </w:num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完成上级交办的其他任务。</w:t>
      </w:r>
    </w:p>
    <w:p>
      <w:pPr>
        <w:numPr>
          <w:ilvl w:val="0"/>
          <w:numId w:val="2"/>
        </w:numPr>
        <w:ind w:firstLine="480" w:firstLineChars="200"/>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职能转变：将区人民政府办公室的政务信息管理、大数据管理、公共资源交易监督管理等职责，原区机构编制委员会办公室的行政审批制度改革职责整合，划入区政务服务和大数据管理局。</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5"/>
          <w:rFonts w:hint="eastAsia" w:ascii="微软雅黑" w:hAnsi="微软雅黑" w:eastAsia="微软雅黑" w:cs="微软雅黑"/>
          <w:b/>
          <w:bCs w:val="0"/>
          <w:i w:val="0"/>
          <w:caps w:val="0"/>
          <w:color w:val="333333"/>
          <w:spacing w:val="0"/>
          <w:sz w:val="24"/>
          <w:szCs w:val="24"/>
          <w:shd w:val="clear" w:fill="FFFFFF"/>
          <w:lang w:eastAsia="zh-CN"/>
        </w:rPr>
      </w:pPr>
      <w:r>
        <w:rPr>
          <w:rStyle w:val="5"/>
          <w:rFonts w:hint="eastAsia" w:ascii="微软雅黑" w:hAnsi="微软雅黑" w:eastAsia="微软雅黑" w:cs="微软雅黑"/>
          <w:b/>
          <w:bCs w:val="0"/>
          <w:i w:val="0"/>
          <w:caps w:val="0"/>
          <w:color w:val="333333"/>
          <w:spacing w:val="0"/>
          <w:sz w:val="24"/>
          <w:szCs w:val="24"/>
          <w:shd w:val="clear" w:fill="FFFFFF"/>
          <w:lang w:eastAsia="zh-CN"/>
        </w:rPr>
        <w:t>部门预算单位人员构成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480" w:firstLineChars="200"/>
        <w:rPr>
          <w:rStyle w:val="5"/>
          <w:rFonts w:hint="eastAsia" w:ascii="微软雅黑" w:hAnsi="微软雅黑" w:eastAsia="微软雅黑" w:cs="微软雅黑"/>
          <w:b w:val="0"/>
          <w:bCs/>
          <w:i w:val="0"/>
          <w:caps w:val="0"/>
          <w:color w:val="333333"/>
          <w:spacing w:val="0"/>
          <w:sz w:val="24"/>
          <w:szCs w:val="24"/>
          <w:shd w:val="clear" w:fill="FFFFFF"/>
          <w:lang w:val="en-US" w:eastAsia="zh-CN"/>
        </w:rPr>
      </w:pPr>
      <w:r>
        <w:rPr>
          <w:rStyle w:val="5"/>
          <w:rFonts w:hint="eastAsia" w:ascii="微软雅黑" w:hAnsi="微软雅黑" w:eastAsia="微软雅黑" w:cs="微软雅黑"/>
          <w:b w:val="0"/>
          <w:bCs/>
          <w:i w:val="0"/>
          <w:caps w:val="0"/>
          <w:color w:val="333333"/>
          <w:spacing w:val="0"/>
          <w:sz w:val="24"/>
          <w:szCs w:val="24"/>
          <w:shd w:val="clear" w:fill="FFFFFF"/>
          <w:lang w:eastAsia="zh-CN"/>
        </w:rPr>
        <w:t>2019年3月，根据《中共黄石市委、黄石市人民政府关于印发&lt;黄石市黄石港区机构该给方案&gt;的通知》，黄石港区政务服务和大数据管理局核定行政编制2名，核定领导职数1正1副，设局长1名，副局长1名。</w:t>
      </w:r>
      <w:r>
        <w:rPr>
          <w:rStyle w:val="5"/>
          <w:rFonts w:hint="eastAsia" w:ascii="微软雅黑" w:hAnsi="微软雅黑" w:eastAsia="微软雅黑" w:cs="微软雅黑"/>
          <w:b w:val="0"/>
          <w:bCs/>
          <w:i w:val="0"/>
          <w:caps w:val="0"/>
          <w:color w:val="333333"/>
          <w:spacing w:val="0"/>
          <w:sz w:val="24"/>
          <w:szCs w:val="24"/>
          <w:shd w:val="clear" w:fill="FFFFFF"/>
          <w:lang w:val="en-US" w:eastAsia="zh-CN"/>
        </w:rPr>
        <w:t>2020年我单位在职人员行政编制1人，事业部3人，三支一扶1人，政府雇员10人。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2020年部门决算表</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7675880" cy="5548630"/>
            <wp:effectExtent l="0" t="0" r="1270" b="139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675880" cy="5548630"/>
                    </a:xfrm>
                    <a:prstGeom prst="rect">
                      <a:avLst/>
                    </a:prstGeom>
                    <a:noFill/>
                    <a:ln w="9525">
                      <a:noFill/>
                    </a:ln>
                  </pic:spPr>
                </pic:pic>
              </a:graphicData>
            </a:graphic>
          </wp:inline>
        </w:drawing>
      </w:r>
    </w:p>
    <w:p>
      <w:pPr>
        <w:keepNext w:val="0"/>
        <w:keepLines w:val="0"/>
        <w:widowControl/>
        <w:suppressLineNumbers w:val="0"/>
        <w:jc w:val="left"/>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480" w:firstLineChars="200"/>
        <w:jc w:val="left"/>
        <w:textAlignment w:val="auto"/>
        <w:rPr>
          <w:rFonts w:hint="eastAsia" w:ascii="微软雅黑" w:hAnsi="微软雅黑" w:eastAsia="微软雅黑" w:cs="微软雅黑"/>
          <w:b/>
          <w:bCs/>
          <w:lang w:val="en-US" w:eastAsia="zh-CN"/>
        </w:rPr>
      </w:pPr>
    </w:p>
    <w:p>
      <w:pPr>
        <w:numPr>
          <w:ilvl w:val="0"/>
          <w:numId w:val="0"/>
        </w:numPr>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numPr>
          <w:ilvl w:val="0"/>
          <w:numId w:val="0"/>
        </w:numPr>
        <w:jc w:val="left"/>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16340" cy="1838325"/>
            <wp:effectExtent l="0" t="0" r="381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8816340" cy="1838325"/>
                    </a:xfrm>
                    <a:prstGeom prst="rect">
                      <a:avLst/>
                    </a:prstGeom>
                    <a:noFill/>
                    <a:ln w="9525">
                      <a:noFill/>
                    </a:ln>
                  </pic:spPr>
                </pic:pic>
              </a:graphicData>
            </a:graphic>
          </wp:inline>
        </w:drawing>
      </w:r>
    </w:p>
    <w:p>
      <w:pPr>
        <w:keepNext w:val="0"/>
        <w:keepLines w:val="0"/>
        <w:widowControl/>
        <w:suppressLineNumbers w:val="0"/>
        <w:jc w:val="left"/>
      </w:pP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522335" cy="1966595"/>
            <wp:effectExtent l="0" t="0" r="12065" b="1460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8522335" cy="1966595"/>
                    </a:xfrm>
                    <a:prstGeom prst="rect">
                      <a:avLst/>
                    </a:prstGeom>
                    <a:noFill/>
                    <a:ln w="9525">
                      <a:noFill/>
                    </a:ln>
                  </pic:spPr>
                </pic:pic>
              </a:graphicData>
            </a:graphic>
          </wp:inline>
        </w:drawing>
      </w: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032240" cy="5753735"/>
            <wp:effectExtent l="0" t="0" r="16510" b="1841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9032240" cy="5753735"/>
                    </a:xfrm>
                    <a:prstGeom prst="rect">
                      <a:avLst/>
                    </a:prstGeom>
                    <a:noFill/>
                    <a:ln w="9525">
                      <a:noFill/>
                    </a:ln>
                  </pic:spPr>
                </pic:pic>
              </a:graphicData>
            </a:graphic>
          </wp:inline>
        </w:drawing>
      </w:r>
    </w:p>
    <w:p>
      <w:pPr>
        <w:keepNext w:val="0"/>
        <w:keepLines w:val="0"/>
        <w:widowControl/>
        <w:suppressLineNumbers w:val="0"/>
        <w:jc w:val="left"/>
      </w:pPr>
    </w:p>
    <w:p>
      <w:pPr>
        <w:keepNext w:val="0"/>
        <w:keepLines w:val="0"/>
        <w:widowControl/>
        <w:suppressLineNumbers w:val="0"/>
        <w:jc w:val="left"/>
        <w:rPr>
          <w:rFonts w:ascii="宋体" w:hAnsi="宋体" w:eastAsia="宋体" w:cs="宋体"/>
          <w:kern w:val="0"/>
          <w:sz w:val="24"/>
          <w:szCs w:val="24"/>
          <w:lang w:val="en-US" w:eastAsia="zh-CN" w:bidi="ar"/>
        </w:rPr>
      </w:pP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324850" cy="23526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8324850" cy="2352675"/>
                    </a:xfrm>
                    <a:prstGeom prst="rect">
                      <a:avLst/>
                    </a:prstGeom>
                    <a:noFill/>
                    <a:ln w="9525">
                      <a:noFill/>
                    </a:ln>
                  </pic:spPr>
                </pic:pic>
              </a:graphicData>
            </a:graphic>
          </wp:inline>
        </w:drawing>
      </w:r>
    </w:p>
    <w:p>
      <w:pPr>
        <w:keepNext w:val="0"/>
        <w:keepLines w:val="0"/>
        <w:widowControl/>
        <w:suppressLineNumbers w:val="0"/>
        <w:jc w:val="left"/>
      </w:pPr>
    </w:p>
    <w:p>
      <w:pPr>
        <w:keepNext w:val="0"/>
        <w:keepLines w:val="0"/>
        <w:widowControl/>
        <w:suppressLineNumbers w:val="0"/>
        <w:jc w:val="left"/>
      </w:pP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926195" cy="5406390"/>
            <wp:effectExtent l="0" t="0" r="8255" b="381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8926195" cy="5406390"/>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440420" cy="1475105"/>
            <wp:effectExtent l="0" t="0" r="17780" b="1079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0"/>
                    <a:stretch>
                      <a:fillRect/>
                    </a:stretch>
                  </pic:blipFill>
                  <pic:spPr>
                    <a:xfrm>
                      <a:off x="0" y="0"/>
                      <a:ext cx="8440420" cy="1475105"/>
                    </a:xfrm>
                    <a:prstGeom prst="rect">
                      <a:avLst/>
                    </a:prstGeom>
                    <a:noFill/>
                    <a:ln w="9525">
                      <a:noFill/>
                    </a:ln>
                  </pic:spPr>
                </pic:pic>
              </a:graphicData>
            </a:graphic>
          </wp:inline>
        </w:drawing>
      </w:r>
    </w:p>
    <w:p>
      <w:pPr>
        <w:keepNext w:val="0"/>
        <w:keepLines w:val="0"/>
        <w:widowControl/>
        <w:suppressLineNumbers w:val="0"/>
        <w:jc w:val="left"/>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tbl>
      <w:tblPr>
        <w:tblStyle w:val="6"/>
        <w:tblpPr w:leftFromText="180" w:rightFromText="180" w:vertAnchor="text" w:horzAnchor="page" w:tblpX="1423" w:tblpY="1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cs="宋体" w:eastAsiaTheme="minorEastAsia"/>
                <w:i w:val="0"/>
                <w:color w:val="000000"/>
                <w:kern w:val="2"/>
                <w:sz w:val="15"/>
                <w:szCs w:val="15"/>
                <w:u w:val="none"/>
                <w:lang w:val="en-US" w:eastAsia="zh-CN" w:bidi="ar-SA"/>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黄石市黄石港区政务服务和大数据管理局</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16"/>
                <w:szCs w:val="16"/>
                <w:u w:val="none"/>
                <w:lang w:val="en-US" w:eastAsia="zh-CN"/>
              </w:rPr>
            </w:pPr>
            <w:r>
              <w:rPr>
                <w:rFonts w:hint="eastAsia" w:ascii="宋体" w:hAnsi="宋体" w:eastAsia="宋体" w:cs="宋体"/>
                <w:i w:val="0"/>
                <w:color w:val="000000"/>
                <w:kern w:val="0"/>
                <w:sz w:val="20"/>
                <w:szCs w:val="20"/>
                <w:u w:val="none"/>
                <w:lang w:val="en-US" w:eastAsia="zh-CN" w:bidi="ar"/>
              </w:rPr>
              <w:t>2020年度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6"/>
                <w:szCs w:val="16"/>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6"/>
                <w:szCs w:val="16"/>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6"/>
                <w:szCs w:val="16"/>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金额单位：元</w:t>
            </w:r>
          </w:p>
        </w:tc>
      </w:tr>
      <w:tr>
        <w:tblPrEx>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8"/>
                <w:szCs w:val="18"/>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hint="eastAsia" w:ascii="宋体" w:hAnsi="宋体" w:eastAsia="宋体" w:cs="宋体"/>
          <w:kern w:val="0"/>
          <w:sz w:val="24"/>
          <w:szCs w:val="24"/>
          <w:lang w:val="en-US" w:eastAsia="zh-CN" w:bidi="ar"/>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5"/>
          <w:rFonts w:hint="eastAsia" w:ascii="微软雅黑" w:hAnsi="微软雅黑" w:eastAsia="微软雅黑" w:cs="微软雅黑"/>
          <w:i w:val="0"/>
          <w:caps w:val="0"/>
          <w:color w:val="333333"/>
          <w:spacing w:val="0"/>
          <w:sz w:val="24"/>
          <w:szCs w:val="24"/>
          <w:shd w:val="clear" w:fill="FFFFFF"/>
        </w:rPr>
      </w:pPr>
      <w:r>
        <w:rPr>
          <w:rStyle w:val="5"/>
          <w:rFonts w:hint="eastAsia" w:ascii="微软雅黑" w:hAnsi="微软雅黑" w:eastAsia="微软雅黑" w:cs="微软雅黑"/>
          <w:i w:val="0"/>
          <w:caps w:val="0"/>
          <w:color w:val="333333"/>
          <w:spacing w:val="0"/>
          <w:sz w:val="24"/>
          <w:szCs w:val="24"/>
          <w:shd w:val="clear" w:fill="FFFFFF"/>
        </w:rPr>
        <w:t>20</w:t>
      </w:r>
      <w:r>
        <w:rPr>
          <w:rStyle w:val="5"/>
          <w:rFonts w:hint="eastAsia" w:ascii="微软雅黑" w:hAnsi="微软雅黑" w:eastAsia="微软雅黑" w:cs="微软雅黑"/>
          <w:i w:val="0"/>
          <w:caps w:val="0"/>
          <w:color w:val="333333"/>
          <w:spacing w:val="0"/>
          <w:sz w:val="24"/>
          <w:szCs w:val="24"/>
          <w:shd w:val="clear" w:fill="FFFFFF"/>
          <w:lang w:val="en-US" w:eastAsia="zh-CN"/>
        </w:rPr>
        <w:t>20</w:t>
      </w:r>
      <w:r>
        <w:rPr>
          <w:rStyle w:val="5"/>
          <w:rFonts w:hint="eastAsia" w:ascii="微软雅黑" w:hAnsi="微软雅黑" w:eastAsia="微软雅黑" w:cs="微软雅黑"/>
          <w:i w:val="0"/>
          <w:caps w:val="0"/>
          <w:color w:val="333333"/>
          <w:spacing w:val="0"/>
          <w:sz w:val="24"/>
          <w:szCs w:val="24"/>
          <w:shd w:val="clear" w:fill="FFFFFF"/>
        </w:rPr>
        <w:t>年部门决算情况说明</w:t>
      </w:r>
    </w:p>
    <w:p>
      <w:pPr>
        <w:widowControl/>
        <w:numPr>
          <w:ilvl w:val="0"/>
          <w:numId w:val="0"/>
        </w:numPr>
        <w:shd w:val="clear" w:color="auto" w:fill="FFFFFF"/>
        <w:jc w:val="left"/>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rPr>
        <w:t>预算执行情况分析</w:t>
      </w:r>
    </w:p>
    <w:p>
      <w:pPr>
        <w:widowControl/>
        <w:numPr>
          <w:ilvl w:val="0"/>
          <w:numId w:val="0"/>
        </w:numPr>
        <w:shd w:val="clear" w:color="auto" w:fill="FFFFFF"/>
        <w:jc w:val="left"/>
        <w:rPr>
          <w:rFonts w:hint="eastAsia" w:asciiTheme="minorEastAsia" w:hAnsiTheme="minorEastAsia" w:eastAsiaTheme="minorEastAsia" w:cstheme="minorEastAsia"/>
          <w:b/>
          <w:bCs/>
          <w:sz w:val="28"/>
          <w:szCs w:val="28"/>
        </w:rPr>
      </w:pPr>
      <w:r>
        <w:rPr>
          <w:rFonts w:hint="eastAsia" w:ascii="微软雅黑" w:hAnsi="微软雅黑" w:eastAsia="微软雅黑" w:cs="微软雅黑"/>
          <w:b w:val="0"/>
          <w:bCs w:val="0"/>
          <w:color w:val="000000"/>
          <w:spacing w:val="2"/>
          <w:sz w:val="24"/>
          <w:szCs w:val="24"/>
          <w:lang w:val="en-US" w:eastAsia="zh-CN"/>
        </w:rPr>
        <w:t xml:space="preserve"> 1. </w:t>
      </w:r>
      <w:r>
        <w:rPr>
          <w:rFonts w:hint="eastAsia" w:ascii="微软雅黑" w:hAnsi="微软雅黑" w:eastAsia="微软雅黑" w:cs="微软雅黑"/>
          <w:b w:val="0"/>
          <w:bCs w:val="0"/>
          <w:color w:val="000000"/>
          <w:spacing w:val="2"/>
          <w:sz w:val="24"/>
          <w:szCs w:val="24"/>
        </w:rPr>
        <w:t>收入支出预算安排情况</w:t>
      </w:r>
    </w:p>
    <w:p>
      <w:pPr>
        <w:widowControl/>
        <w:ind w:firstLine="360" w:firstLineChars="15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2020年财政收入预算数334558元，其中人员经费276736元，公用经费57822元, 2020年财政支出预算数334558元，其中人员经费276736元，公用经费57822元。</w:t>
      </w:r>
    </w:p>
    <w:p>
      <w:pPr>
        <w:widowControl/>
        <w:ind w:firstLine="244" w:firstLineChars="100"/>
        <w:rPr>
          <w:rFonts w:hint="eastAsia" w:ascii="微软雅黑" w:hAnsi="微软雅黑" w:eastAsia="微软雅黑" w:cs="微软雅黑"/>
          <w:b w:val="0"/>
          <w:bCs w:val="0"/>
          <w:color w:val="000000"/>
          <w:spacing w:val="2"/>
          <w:sz w:val="24"/>
          <w:szCs w:val="24"/>
          <w:lang w:val="en-US" w:eastAsia="zh-CN"/>
        </w:rPr>
      </w:pPr>
      <w:r>
        <w:rPr>
          <w:rFonts w:hint="eastAsia" w:ascii="微软雅黑" w:hAnsi="微软雅黑" w:eastAsia="微软雅黑" w:cs="微软雅黑"/>
          <w:b w:val="0"/>
          <w:bCs w:val="0"/>
          <w:color w:val="000000"/>
          <w:spacing w:val="2"/>
          <w:sz w:val="24"/>
          <w:szCs w:val="24"/>
          <w:lang w:val="en-US" w:eastAsia="zh-CN"/>
        </w:rPr>
        <w:t>2.收入支出预算执行情况</w:t>
      </w:r>
    </w:p>
    <w:p>
      <w:pPr>
        <w:widowControl/>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2020年财政收入预算执行数334558元，其中人员经费276736元，公用经费57822元, 2020年财政支出预算执行数334558元，其中人员经费276736元，公用经费57822元</w:t>
      </w:r>
    </w:p>
    <w:p>
      <w:pPr>
        <w:widowControl/>
        <w:ind w:firstLine="360" w:firstLineChars="15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2019年财政收入预算执行数407143.61元，其中人员经费131408.5元，公用经费275735.11元, 2019年财政支出预算执行数407143.61元，其中人员经费131408.5元，公用经费275735.11元.</w:t>
      </w:r>
    </w:p>
    <w:p>
      <w:pPr>
        <w:widowControl/>
        <w:ind w:firstLine="360" w:firstLineChars="15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2020年收入预算数执行比上年减少72585.61元， 2020年支出预算数执行比上年减少72585.61元。</w:t>
      </w:r>
    </w:p>
    <w:p>
      <w:pPr>
        <w:widowControl/>
        <w:ind w:firstLine="360" w:firstLineChars="15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1、收入支出与预算对比分析</w:t>
      </w:r>
    </w:p>
    <w:p>
      <w:pPr>
        <w:spacing w:line="440" w:lineRule="exact"/>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2020年全年总收入1132823.09元,其中财拨款决算收入1071910.09元,其它收入60913元, 2020年全年决算总支出1132823.09元,其中财拨款决算支出1071910.09元,其它资金支出60913元,2020年财政预算数334558元，财拨款决算比预算多737352.09元,幅度为220.4%。</w:t>
      </w:r>
    </w:p>
    <w:p>
      <w:pPr>
        <w:spacing w:line="440" w:lineRule="exact"/>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2、收入支出结构分析</w:t>
      </w:r>
    </w:p>
    <w:p>
      <w:pPr>
        <w:spacing w:line="440" w:lineRule="exact"/>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1、2020年全年总收入1132823.09元,其中财拨款决算收入1071910.09元,其它收入60913元</w:t>
      </w:r>
    </w:p>
    <w:p>
      <w:pPr>
        <w:spacing w:line="440" w:lineRule="exact"/>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2、2020年全年决算总支出1132823.09元,其中财拨款决算支出1071910.09元,其它资金支出60913元，支出按以下分类说明：</w:t>
      </w:r>
    </w:p>
    <w:p>
      <w:pPr>
        <w:spacing w:line="440" w:lineRule="exact"/>
        <w:ind w:firstLine="240" w:firstLineChars="1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（1）支出功能分类：决算总支1132823.09出元;其中社会保障和就业支出1132823.09元，</w:t>
      </w:r>
    </w:p>
    <w:p>
      <w:pPr>
        <w:spacing w:line="440" w:lineRule="exact"/>
        <w:ind w:firstLine="240" w:firstLineChars="1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 xml:space="preserve">（2）支出性质分类：决算总支出1132823.09元，其中人员经费556274.71元，公用经费576548.38元; </w:t>
      </w:r>
    </w:p>
    <w:p>
      <w:pPr>
        <w:spacing w:line="440" w:lineRule="exact"/>
        <w:ind w:firstLine="600" w:firstLineChars="25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(3)支出经济分类：决算总支出1132823.09元，其中工资福利支出556274.71元，商品服务支出561948.38元，对个人和家庭的补助支出0元，资本性支出14600元。</w:t>
      </w:r>
    </w:p>
    <w:p>
      <w:pPr>
        <w:spacing w:line="440" w:lineRule="exact"/>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3、支出按经济分类科目分析</w:t>
      </w:r>
    </w:p>
    <w:p>
      <w:pPr>
        <w:spacing w:line="440" w:lineRule="exact"/>
        <w:ind w:firstLine="600" w:firstLineChars="25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2020年全年总支出1132823.09元，其中工资福利支出556274.71元，商品服务支出561948.38元，对个人和家庭的补助支出0元，资本性支出14600元。</w:t>
      </w:r>
    </w:p>
    <w:p>
      <w:pPr>
        <w:widowControl/>
        <w:shd w:val="clear" w:color="auto" w:fill="FFFFFF"/>
        <w:jc w:val="left"/>
        <w:rPr>
          <w:rStyle w:val="5"/>
          <w:rFonts w:hint="eastAsia" w:ascii="宋体" w:hAnsi="宋体" w:eastAsia="宋体" w:cs="宋体"/>
          <w:b/>
          <w:bCs w:val="0"/>
          <w:i w:val="0"/>
          <w:caps w:val="0"/>
          <w:color w:val="333333"/>
          <w:spacing w:val="0"/>
          <w:kern w:val="0"/>
          <w:sz w:val="28"/>
          <w:szCs w:val="28"/>
          <w:shd w:val="clear" w:fill="FFFFFF"/>
          <w:lang w:val="en-US" w:eastAsia="zh-CN" w:bidi="ar"/>
        </w:rPr>
      </w:pPr>
      <w:r>
        <w:rPr>
          <w:rStyle w:val="5"/>
          <w:rFonts w:hint="eastAsia" w:ascii="宋体" w:hAnsi="宋体" w:eastAsia="宋体" w:cs="宋体"/>
          <w:b/>
          <w:bCs w:val="0"/>
          <w:i w:val="0"/>
          <w:caps w:val="0"/>
          <w:color w:val="333333"/>
          <w:spacing w:val="0"/>
          <w:kern w:val="0"/>
          <w:sz w:val="28"/>
          <w:szCs w:val="28"/>
          <w:shd w:val="clear" w:fill="FFFFFF"/>
          <w:lang w:val="en-US" w:eastAsia="zh-CN" w:bidi="ar"/>
        </w:rPr>
        <w:t>二、关于“三公”经费支出说明</w:t>
      </w:r>
    </w:p>
    <w:p>
      <w:pPr>
        <w:spacing w:line="440" w:lineRule="exact"/>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2020年“三公”经费决算总支出0元，其中：</w:t>
      </w:r>
    </w:p>
    <w:p>
      <w:pPr>
        <w:spacing w:line="440" w:lineRule="exact"/>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公务车运行维护费0元，年初预算数0元，决算数比预算数减少0元，减少幅度为0%；</w:t>
      </w:r>
    </w:p>
    <w:p>
      <w:pPr>
        <w:spacing w:line="440" w:lineRule="exact"/>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公务接待费0元，年初预算数0元，决算数比预算数增加0元，增长幅度为0%；</w:t>
      </w:r>
    </w:p>
    <w:p>
      <w:pPr>
        <w:spacing w:line="440" w:lineRule="exact"/>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因公出国（境）费0元，预算数0元，决算数比预算数增加0元，增长幅度为0%；</w:t>
      </w:r>
    </w:p>
    <w:p>
      <w:pPr>
        <w:spacing w:line="440" w:lineRule="exact"/>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2019年“三公”经费决算总支出0元，其中：</w:t>
      </w:r>
    </w:p>
    <w:p>
      <w:pPr>
        <w:spacing w:line="440" w:lineRule="exact"/>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公务车运行维护费0元，年初预算数0元，决算数比预算数减少0元，减少幅度为0%；</w:t>
      </w:r>
    </w:p>
    <w:p>
      <w:pPr>
        <w:spacing w:line="440" w:lineRule="exact"/>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公务接待费0元，年初预算数0元，决算数比预算数增加0元，增长幅度为0%；</w:t>
      </w:r>
    </w:p>
    <w:p>
      <w:pPr>
        <w:spacing w:line="440" w:lineRule="exact"/>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因公出国（境）费0元，预算数0元，决算数比预算数增加0元，增长幅度为0%；</w:t>
      </w:r>
    </w:p>
    <w:p>
      <w:pPr>
        <w:widowControl/>
        <w:shd w:val="clear" w:color="auto" w:fill="FFFFFF"/>
        <w:jc w:val="left"/>
        <w:rPr>
          <w:rStyle w:val="5"/>
          <w:rFonts w:hint="eastAsia" w:ascii="宋体" w:hAnsi="宋体" w:eastAsia="宋体" w:cs="宋体"/>
          <w:b/>
          <w:bCs w:val="0"/>
          <w:i w:val="0"/>
          <w:caps w:val="0"/>
          <w:color w:val="333333"/>
          <w:spacing w:val="0"/>
          <w:kern w:val="0"/>
          <w:sz w:val="28"/>
          <w:szCs w:val="28"/>
          <w:shd w:val="clear" w:fill="FFFFFF"/>
          <w:lang w:val="en-US" w:eastAsia="zh-CN" w:bidi="ar"/>
        </w:rPr>
      </w:pPr>
      <w:r>
        <w:rPr>
          <w:rStyle w:val="5"/>
          <w:rFonts w:hint="eastAsia" w:ascii="宋体" w:hAnsi="宋体" w:eastAsia="宋体" w:cs="宋体"/>
          <w:b/>
          <w:bCs w:val="0"/>
          <w:i w:val="0"/>
          <w:caps w:val="0"/>
          <w:color w:val="333333"/>
          <w:spacing w:val="0"/>
          <w:kern w:val="0"/>
          <w:sz w:val="28"/>
          <w:szCs w:val="28"/>
          <w:shd w:val="clear" w:fill="FFFFFF"/>
          <w:lang w:val="en-US" w:eastAsia="zh-CN" w:bidi="ar"/>
        </w:rPr>
        <w:t>三、关于机关运行经费支出说明</w:t>
      </w:r>
    </w:p>
    <w:p>
      <w:pPr>
        <w:pStyle w:val="7"/>
        <w:ind w:firstLine="568"/>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2020年机关运行经费支出554885.38元, 2019年机关运行经费支出275735.11元,同比上年增加279150.27元，同比上年增加101.24%，原因是今年的业务量增加。</w:t>
      </w:r>
    </w:p>
    <w:p>
      <w:pPr>
        <w:widowControl/>
        <w:rPr>
          <w:rStyle w:val="5"/>
          <w:rFonts w:hint="eastAsia" w:ascii="宋体" w:hAnsi="宋体" w:eastAsia="宋体" w:cs="宋体"/>
          <w:b/>
          <w:bCs w:val="0"/>
          <w:i w:val="0"/>
          <w:caps w:val="0"/>
          <w:color w:val="333333"/>
          <w:spacing w:val="0"/>
          <w:kern w:val="0"/>
          <w:sz w:val="28"/>
          <w:szCs w:val="28"/>
          <w:shd w:val="clear" w:fill="FFFFFF"/>
          <w:lang w:val="en-US" w:eastAsia="zh-CN" w:bidi="ar"/>
        </w:rPr>
      </w:pPr>
      <w:r>
        <w:rPr>
          <w:rStyle w:val="5"/>
          <w:rFonts w:hint="eastAsia" w:ascii="宋体" w:hAnsi="宋体" w:eastAsia="宋体" w:cs="宋体"/>
          <w:b/>
          <w:bCs w:val="0"/>
          <w:i w:val="0"/>
          <w:caps w:val="0"/>
          <w:color w:val="333333"/>
          <w:spacing w:val="0"/>
          <w:kern w:val="0"/>
          <w:sz w:val="28"/>
          <w:szCs w:val="28"/>
          <w:shd w:val="clear" w:fill="FFFFFF"/>
          <w:lang w:val="en-US" w:eastAsia="zh-CN" w:bidi="ar"/>
        </w:rPr>
        <w:t>四、关于政府采购支出说明</w:t>
      </w:r>
    </w:p>
    <w:p>
      <w:pPr>
        <w:pStyle w:val="7"/>
        <w:ind w:firstLine="480" w:firstLineChars="2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2020年政府采购总支出617600元，其中政府采购货物支出14600元，政府采购工程支出603000元，政府采购服务支出0元。</w:t>
      </w:r>
    </w:p>
    <w:p>
      <w:pPr>
        <w:widowControl/>
        <w:shd w:val="clear" w:color="auto" w:fill="FFFFFF"/>
        <w:jc w:val="left"/>
        <w:rPr>
          <w:rStyle w:val="5"/>
          <w:rFonts w:hint="eastAsia" w:ascii="宋体" w:hAnsi="宋体" w:eastAsia="宋体" w:cs="宋体"/>
          <w:b/>
          <w:bCs w:val="0"/>
          <w:i w:val="0"/>
          <w:caps w:val="0"/>
          <w:color w:val="333333"/>
          <w:spacing w:val="0"/>
          <w:kern w:val="0"/>
          <w:sz w:val="28"/>
          <w:szCs w:val="28"/>
          <w:shd w:val="clear" w:fill="FFFFFF"/>
          <w:lang w:val="en-US" w:eastAsia="zh-CN" w:bidi="ar"/>
        </w:rPr>
      </w:pPr>
      <w:r>
        <w:rPr>
          <w:rStyle w:val="5"/>
          <w:rFonts w:hint="eastAsia" w:ascii="宋体" w:hAnsi="宋体" w:eastAsia="宋体" w:cs="宋体"/>
          <w:b/>
          <w:bCs w:val="0"/>
          <w:i w:val="0"/>
          <w:caps w:val="0"/>
          <w:color w:val="333333"/>
          <w:spacing w:val="0"/>
          <w:kern w:val="0"/>
          <w:sz w:val="28"/>
          <w:szCs w:val="28"/>
          <w:shd w:val="clear" w:fill="FFFFFF"/>
          <w:lang w:val="en-US" w:eastAsia="zh-CN" w:bidi="ar"/>
        </w:rPr>
        <w:t>五、关于国有资产占用情况说明</w:t>
      </w:r>
    </w:p>
    <w:p>
      <w:pPr>
        <w:pStyle w:val="7"/>
        <w:ind w:firstLine="720" w:firstLineChars="3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截至2020年12月31日，本单位共有车辆0辆，其中领导干部用车0辆，一般公务用车0辆，一般执法执勤用车0辆，特种专业技术用车0辆，其它用车0辆。</w:t>
      </w:r>
    </w:p>
    <w:p>
      <w:pPr>
        <w:widowControl/>
        <w:numPr>
          <w:ilvl w:val="0"/>
          <w:numId w:val="5"/>
        </w:numPr>
        <w:shd w:val="clear" w:color="auto" w:fill="FFFFFF"/>
        <w:jc w:val="left"/>
        <w:rPr>
          <w:rStyle w:val="5"/>
          <w:rFonts w:hint="eastAsia" w:ascii="宋体" w:hAnsi="宋体" w:eastAsia="宋体" w:cs="宋体"/>
          <w:b/>
          <w:bCs w:val="0"/>
          <w:i w:val="0"/>
          <w:caps w:val="0"/>
          <w:color w:val="333333"/>
          <w:spacing w:val="0"/>
          <w:kern w:val="0"/>
          <w:sz w:val="28"/>
          <w:szCs w:val="28"/>
          <w:shd w:val="clear" w:fill="FFFFFF"/>
          <w:lang w:val="en-US" w:eastAsia="zh-CN" w:bidi="ar"/>
        </w:rPr>
      </w:pPr>
      <w:r>
        <w:rPr>
          <w:rStyle w:val="5"/>
          <w:rFonts w:hint="eastAsia" w:ascii="宋体" w:hAnsi="宋体" w:eastAsia="宋体" w:cs="宋体"/>
          <w:b/>
          <w:bCs w:val="0"/>
          <w:i w:val="0"/>
          <w:caps w:val="0"/>
          <w:color w:val="333333"/>
          <w:spacing w:val="0"/>
          <w:kern w:val="0"/>
          <w:sz w:val="28"/>
          <w:szCs w:val="28"/>
          <w:shd w:val="clear" w:fill="FFFFFF"/>
          <w:lang w:val="en-US" w:eastAsia="zh-CN" w:bidi="ar"/>
        </w:rPr>
        <w:t>重点绩效评价结果等预算绩效情况说明</w:t>
      </w:r>
    </w:p>
    <w:p>
      <w:pPr>
        <w:pStyle w:val="7"/>
        <w:spacing w:line="540" w:lineRule="exact"/>
        <w:ind w:firstLine="560" w:firstLineChars="200"/>
        <w:rPr>
          <w:rFonts w:hint="eastAsia" w:asciiTheme="minorEastAsia" w:hAnsiTheme="minorEastAsia" w:cstheme="minorEastAsia"/>
          <w:kern w:val="0"/>
          <w:sz w:val="28"/>
          <w:szCs w:val="28"/>
          <w:highlight w:val="none"/>
          <w:lang w:val="en-US" w:eastAsia="zh-CN" w:bidi="ar"/>
        </w:rPr>
      </w:pPr>
      <w:r>
        <w:rPr>
          <w:rFonts w:hint="eastAsia" w:asciiTheme="minorEastAsia" w:hAnsiTheme="minorEastAsia" w:cstheme="minorEastAsia"/>
          <w:kern w:val="0"/>
          <w:sz w:val="28"/>
          <w:szCs w:val="28"/>
          <w:highlight w:val="none"/>
          <w:lang w:val="en-US" w:eastAsia="zh-CN" w:bidi="ar"/>
        </w:rPr>
        <w:t>2020</w:t>
      </w:r>
      <w:r>
        <w:rPr>
          <w:rFonts w:hint="eastAsia" w:asciiTheme="minorEastAsia" w:hAnsiTheme="minorEastAsia" w:eastAsiaTheme="minorEastAsia" w:cstheme="minorEastAsia"/>
          <w:kern w:val="0"/>
          <w:sz w:val="28"/>
          <w:szCs w:val="28"/>
          <w:highlight w:val="none"/>
          <w:lang w:val="en-US" w:eastAsia="zh-CN" w:bidi="ar"/>
        </w:rPr>
        <w:t>年</w:t>
      </w:r>
      <w:r>
        <w:rPr>
          <w:rFonts w:hint="eastAsia" w:asciiTheme="minorEastAsia" w:hAnsiTheme="minorEastAsia" w:cstheme="minorEastAsia"/>
          <w:kern w:val="0"/>
          <w:sz w:val="28"/>
          <w:szCs w:val="28"/>
          <w:highlight w:val="none"/>
          <w:lang w:val="en-US" w:eastAsia="zh-CN" w:bidi="ar"/>
        </w:rPr>
        <w:t>，我单位本年度没有重点项目，因此未展开绩效评价。</w:t>
      </w:r>
    </w:p>
    <w:p>
      <w:pPr>
        <w:widowControl/>
        <w:numPr>
          <w:ilvl w:val="0"/>
          <w:numId w:val="5"/>
        </w:numPr>
        <w:shd w:val="clear" w:color="auto" w:fill="FFFFFF"/>
        <w:jc w:val="left"/>
        <w:rPr>
          <w:rStyle w:val="5"/>
          <w:rFonts w:hint="eastAsia" w:ascii="宋体" w:hAnsi="宋体" w:eastAsia="宋体" w:cs="宋体"/>
          <w:b/>
          <w:bCs w:val="0"/>
          <w:i w:val="0"/>
          <w:caps w:val="0"/>
          <w:color w:val="333333"/>
          <w:spacing w:val="0"/>
          <w:kern w:val="0"/>
          <w:sz w:val="28"/>
          <w:szCs w:val="28"/>
          <w:shd w:val="clear" w:fill="FFFFFF"/>
          <w:lang w:val="en-US" w:eastAsia="zh-CN" w:bidi="ar"/>
        </w:rPr>
      </w:pPr>
      <w:r>
        <w:rPr>
          <w:rStyle w:val="5"/>
          <w:rFonts w:hint="eastAsia" w:ascii="宋体" w:hAnsi="宋体" w:eastAsia="宋体" w:cs="宋体"/>
          <w:b/>
          <w:bCs w:val="0"/>
          <w:i w:val="0"/>
          <w:caps w:val="0"/>
          <w:color w:val="333333"/>
          <w:spacing w:val="0"/>
          <w:kern w:val="0"/>
          <w:sz w:val="28"/>
          <w:szCs w:val="28"/>
          <w:shd w:val="clear" w:fill="FFFFFF"/>
          <w:lang w:val="en-US" w:eastAsia="zh-CN" w:bidi="ar"/>
        </w:rPr>
        <w:t>决算收支增减变化情况</w:t>
      </w:r>
    </w:p>
    <w:p>
      <w:pPr>
        <w:pStyle w:val="7"/>
        <w:ind w:firstLine="720" w:firstLineChars="3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1、收入增减变化情况</w:t>
      </w:r>
    </w:p>
    <w:p>
      <w:pPr>
        <w:pStyle w:val="7"/>
        <w:ind w:firstLine="720" w:firstLineChars="3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2019年全年总收入40.96万元,2020年全年总收入113.28万元，同比上年增加72.32万元，原因是业务量增加。</w:t>
      </w:r>
    </w:p>
    <w:p>
      <w:pPr>
        <w:pStyle w:val="7"/>
        <w:ind w:firstLine="720" w:firstLineChars="3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2、支出增减变化情况</w:t>
      </w:r>
    </w:p>
    <w:p>
      <w:pPr>
        <w:pStyle w:val="7"/>
        <w:ind w:firstLine="720" w:firstLineChars="30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2019年全年总支出40.96万元,2020年全年总支出113.28万元，同比上年增加72.32万元，原因是业务量增加</w:t>
      </w:r>
    </w:p>
    <w:p>
      <w:pPr>
        <w:pStyle w:val="7"/>
        <w:spacing w:line="540" w:lineRule="exact"/>
        <w:ind w:firstLine="560" w:firstLineChars="200"/>
        <w:rPr>
          <w:rFonts w:hint="default" w:asciiTheme="minorEastAsia" w:hAnsiTheme="minorEastAsia" w:cstheme="minorEastAsia"/>
          <w:kern w:val="0"/>
          <w:sz w:val="28"/>
          <w:szCs w:val="28"/>
          <w:highlight w:val="none"/>
          <w:lang w:val="en-US" w:eastAsia="zh-CN" w:bidi="ar"/>
        </w:rPr>
      </w:pPr>
    </w:p>
    <w:p>
      <w:pPr>
        <w:widowControl/>
        <w:numPr>
          <w:ilvl w:val="0"/>
          <w:numId w:val="0"/>
        </w:numPr>
        <w:shd w:val="clear" w:color="auto" w:fill="FFFFFF"/>
        <w:jc w:val="left"/>
        <w:rPr>
          <w:rStyle w:val="5"/>
          <w:rFonts w:hint="eastAsia" w:ascii="宋体" w:hAnsi="宋体" w:eastAsia="宋体" w:cs="宋体"/>
          <w:b/>
          <w:bCs w:val="0"/>
          <w:i w:val="0"/>
          <w:caps w:val="0"/>
          <w:color w:val="333333"/>
          <w:spacing w:val="0"/>
          <w:kern w:val="0"/>
          <w:sz w:val="28"/>
          <w:szCs w:val="28"/>
          <w:shd w:val="clear" w:fill="FFFFFF"/>
          <w:lang w:val="en-US" w:eastAsia="zh-CN" w:bidi="ar"/>
        </w:rPr>
      </w:pPr>
      <w:bookmarkStart w:id="1" w:name="_GoBack"/>
      <w:bookmarkEnd w:id="1"/>
    </w:p>
    <w:p>
      <w:pPr>
        <w:widowControl/>
        <w:rPr>
          <w:rStyle w:val="5"/>
          <w:rFonts w:hint="eastAsia" w:ascii="宋体" w:hAnsi="宋体" w:eastAsia="宋体" w:cs="宋体"/>
          <w:b/>
          <w:bCs w:val="0"/>
          <w:i w:val="0"/>
          <w:caps w:val="0"/>
          <w:color w:val="333333"/>
          <w:spacing w:val="0"/>
          <w:kern w:val="0"/>
          <w:sz w:val="28"/>
          <w:szCs w:val="28"/>
          <w:shd w:val="clear" w:fill="FFFFFF"/>
          <w:lang w:val="en-US" w:eastAsia="zh-CN" w:bidi="ar"/>
        </w:rPr>
      </w:pPr>
      <w:r>
        <w:rPr>
          <w:rStyle w:val="5"/>
          <w:rFonts w:hint="eastAsia" w:ascii="宋体" w:hAnsi="宋体" w:eastAsia="宋体" w:cs="宋体"/>
          <w:b/>
          <w:bCs w:val="0"/>
          <w:i w:val="0"/>
          <w:caps w:val="0"/>
          <w:color w:val="333333"/>
          <w:spacing w:val="0"/>
          <w:kern w:val="0"/>
          <w:sz w:val="28"/>
          <w:szCs w:val="28"/>
          <w:shd w:val="clear" w:fill="FFFFFF"/>
          <w:lang w:val="en-US" w:eastAsia="zh-CN" w:bidi="ar"/>
        </w:rPr>
        <w:t>四、名词解释</w:t>
      </w:r>
    </w:p>
    <w:p>
      <w:pPr>
        <w:widowControl/>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（一）财政拨款（补助）：指省级财政当年拨付的资金。</w:t>
      </w:r>
    </w:p>
    <w:p>
      <w:pPr>
        <w:jc w:val="left"/>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 xml:space="preserve">（二）事业收入：指事业单位开展专业业务活动及其辅助活动取得的收入。 </w:t>
      </w: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br w:type="textWrapping"/>
      </w: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 xml:space="preserve">（三）其他收入：指预算单位在“财政拨款补助收入”、“事业收入”、“经营收入”以外取得的收入。 </w:t>
      </w: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br w:type="textWrapping"/>
      </w: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 xml:space="preserve">（四）上年结转：指以前年度尚未完成、结转到本年仍按原规定用途继续使用的资金。 </w:t>
      </w: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br w:type="textWrapping"/>
      </w: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 xml:space="preserve">（五）基本支出：指为保障机构正常运转、完成日常工作任务而发生的人员支出和公用支出。 </w:t>
      </w: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br w:type="textWrapping"/>
      </w: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（六）项目支出：指为完成特定的行政工作任务或事业发展目标，在基本支出之外发生的各项支出。</w:t>
      </w:r>
    </w:p>
    <w:p>
      <w:pPr>
        <w:jc w:val="left"/>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jc w:val="left"/>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t>（八）行政运行（项）：指机关和实行公务员法管理事业单位用于保障机构正常运转的基本支出。</w:t>
      </w:r>
    </w:p>
    <w:p>
      <w:pPr>
        <w:snapToGrid w:val="0"/>
        <w:rPr>
          <w:rStyle w:val="5"/>
          <w:rFonts w:hint="eastAsia" w:ascii="微软雅黑" w:hAnsi="微软雅黑" w:eastAsia="微软雅黑" w:cs="微软雅黑"/>
          <w:b w:val="0"/>
          <w:bCs/>
          <w:i w:val="0"/>
          <w:caps w:val="0"/>
          <w:color w:val="333333"/>
          <w:spacing w:val="0"/>
          <w:kern w:val="0"/>
          <w:sz w:val="24"/>
          <w:szCs w:val="24"/>
          <w:shd w:val="clear" w:fill="FFFFFF"/>
          <w:lang w:val="en-US" w:eastAsia="zh-CN" w:bidi="ar"/>
        </w:rPr>
      </w:pPr>
      <w:bookmarkStart w:id="0" w:name="YS060200"/>
    </w:p>
    <w:bookmarkEnd w:id="0"/>
    <w:p>
      <w:pPr>
        <w:rPr>
          <w:rFonts w:hint="eastAsia" w:ascii="微软雅黑" w:hAnsi="微软雅黑" w:eastAsia="微软雅黑" w:cs="微软雅黑"/>
          <w:b w:val="0"/>
          <w:i w:val="0"/>
          <w:caps w:val="0"/>
          <w:color w:val="333333"/>
          <w:spacing w:val="0"/>
          <w:kern w:val="0"/>
          <w:sz w:val="24"/>
          <w:szCs w:val="24"/>
          <w:shd w:val="clear" w:fill="FFFFFF"/>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41B36"/>
    <w:multiLevelType w:val="singleLevel"/>
    <w:tmpl w:val="80241B36"/>
    <w:lvl w:ilvl="0" w:tentative="0">
      <w:start w:val="1"/>
      <w:numFmt w:val="chineseCounting"/>
      <w:suff w:val="nothing"/>
      <w:lvlText w:val="（%1）"/>
      <w:lvlJc w:val="left"/>
      <w:rPr>
        <w:rFonts w:hint="eastAsia"/>
      </w:rPr>
    </w:lvl>
  </w:abstractNum>
  <w:abstractNum w:abstractNumId="1">
    <w:nsid w:val="B25429AC"/>
    <w:multiLevelType w:val="singleLevel"/>
    <w:tmpl w:val="B25429AC"/>
    <w:lvl w:ilvl="0" w:tentative="0">
      <w:start w:val="2"/>
      <w:numFmt w:val="chineseCounting"/>
      <w:suff w:val="nothing"/>
      <w:lvlText w:val="%1、"/>
      <w:lvlJc w:val="left"/>
      <w:rPr>
        <w:rFonts w:hint="eastAsia"/>
      </w:rPr>
    </w:lvl>
  </w:abstractNum>
  <w:abstractNum w:abstractNumId="2">
    <w:nsid w:val="C2581B60"/>
    <w:multiLevelType w:val="singleLevel"/>
    <w:tmpl w:val="C2581B60"/>
    <w:lvl w:ilvl="0" w:tentative="0">
      <w:start w:val="6"/>
      <w:numFmt w:val="chineseCounting"/>
      <w:suff w:val="nothing"/>
      <w:lvlText w:val="（%1）"/>
      <w:lvlJc w:val="left"/>
      <w:rPr>
        <w:rFonts w:hint="eastAsia"/>
      </w:rPr>
    </w:lvl>
  </w:abstractNum>
  <w:abstractNum w:abstractNumId="3">
    <w:nsid w:val="0BA17257"/>
    <w:multiLevelType w:val="singleLevel"/>
    <w:tmpl w:val="0BA17257"/>
    <w:lvl w:ilvl="0" w:tentative="0">
      <w:start w:val="3"/>
      <w:numFmt w:val="chineseCounting"/>
      <w:suff w:val="space"/>
      <w:lvlText w:val="第%1部分"/>
      <w:lvlJc w:val="left"/>
      <w:rPr>
        <w:rFonts w:hint="eastAsia"/>
      </w:rPr>
    </w:lvl>
  </w:abstractNum>
  <w:abstractNum w:abstractNumId="4">
    <w:nsid w:val="7E2D8452"/>
    <w:multiLevelType w:val="singleLevel"/>
    <w:tmpl w:val="7E2D8452"/>
    <w:lvl w:ilvl="0" w:tentative="0">
      <w:start w:val="3"/>
      <w:numFmt w:val="chineseCounting"/>
      <w:suff w:val="space"/>
      <w:lvlText w:val="第%1条"/>
      <w:lvlJc w:val="left"/>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30F86"/>
    <w:rsid w:val="036C4421"/>
    <w:rsid w:val="045D182D"/>
    <w:rsid w:val="046A1F96"/>
    <w:rsid w:val="07C61A2E"/>
    <w:rsid w:val="08D81488"/>
    <w:rsid w:val="09614F40"/>
    <w:rsid w:val="0F6A7958"/>
    <w:rsid w:val="10861DB5"/>
    <w:rsid w:val="114B11CA"/>
    <w:rsid w:val="12BF2EF1"/>
    <w:rsid w:val="14053102"/>
    <w:rsid w:val="14E37785"/>
    <w:rsid w:val="162818C5"/>
    <w:rsid w:val="178E6E98"/>
    <w:rsid w:val="17EB00B8"/>
    <w:rsid w:val="184B52FC"/>
    <w:rsid w:val="19F658B1"/>
    <w:rsid w:val="1BEC7AE0"/>
    <w:rsid w:val="1BED336B"/>
    <w:rsid w:val="1CA50654"/>
    <w:rsid w:val="1CE334B7"/>
    <w:rsid w:val="1F665E3F"/>
    <w:rsid w:val="218003F8"/>
    <w:rsid w:val="21EC4CEB"/>
    <w:rsid w:val="22D01949"/>
    <w:rsid w:val="25AA49B8"/>
    <w:rsid w:val="27CF5B42"/>
    <w:rsid w:val="2B2759CE"/>
    <w:rsid w:val="2ECB3191"/>
    <w:rsid w:val="2EE81ADB"/>
    <w:rsid w:val="308930A3"/>
    <w:rsid w:val="31097519"/>
    <w:rsid w:val="31B077F1"/>
    <w:rsid w:val="34370B4D"/>
    <w:rsid w:val="35E80E33"/>
    <w:rsid w:val="37DF656E"/>
    <w:rsid w:val="39C37FEC"/>
    <w:rsid w:val="3D550AE7"/>
    <w:rsid w:val="3D90237A"/>
    <w:rsid w:val="3F077472"/>
    <w:rsid w:val="40AB0B98"/>
    <w:rsid w:val="45B420D6"/>
    <w:rsid w:val="47151520"/>
    <w:rsid w:val="474509A8"/>
    <w:rsid w:val="47EB092D"/>
    <w:rsid w:val="4E130F86"/>
    <w:rsid w:val="52D64222"/>
    <w:rsid w:val="52E90F52"/>
    <w:rsid w:val="535355C7"/>
    <w:rsid w:val="56775DEA"/>
    <w:rsid w:val="56E718E7"/>
    <w:rsid w:val="56EE25B0"/>
    <w:rsid w:val="5BB84B8D"/>
    <w:rsid w:val="5BBD372C"/>
    <w:rsid w:val="5BD765BE"/>
    <w:rsid w:val="5CA263DD"/>
    <w:rsid w:val="5F4D295D"/>
    <w:rsid w:val="602B7984"/>
    <w:rsid w:val="61385956"/>
    <w:rsid w:val="625D034D"/>
    <w:rsid w:val="6414086B"/>
    <w:rsid w:val="64693DAB"/>
    <w:rsid w:val="67DC6269"/>
    <w:rsid w:val="6D321F54"/>
    <w:rsid w:val="7117767E"/>
    <w:rsid w:val="71DC669E"/>
    <w:rsid w:val="733B4640"/>
    <w:rsid w:val="73C10C19"/>
    <w:rsid w:val="743E138A"/>
    <w:rsid w:val="7AC134F1"/>
    <w:rsid w:val="7B5A3A13"/>
    <w:rsid w:val="7C46072D"/>
    <w:rsid w:val="7D6C2B18"/>
    <w:rsid w:val="7EE8354D"/>
    <w:rsid w:val="7FE6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7">
    <w:name w:val="正文缩进 + 首行缩进:  2 字符"/>
    <w:basedOn w:val="1"/>
    <w:qFormat/>
    <w:uiPriority w:val="0"/>
    <w:pPr>
      <w:spacing w:line="560" w:lineRule="exact"/>
      <w:ind w:firstLine="640"/>
    </w:pPr>
    <w:rPr>
      <w:rFonts w:ascii="仿宋" w:hAnsi="仿宋"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2021-09-06T06:52:00Z</dcterms:created>
  <dc:creator>英甾</dc:creator>
  <cp:lastModifiedBy>Administrator</cp:lastModifiedBy>
  <dcterms:modified xsi:type="dcterms:W3CDTF">2021-09-15T02:25:34Z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