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招商局</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黄石港区招商局</w:t>
      </w:r>
      <w:r>
        <w:rPr>
          <w:rStyle w:val="6"/>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bookmarkStart w:id="0" w:name="_GoBack"/>
      <w:bookmarkEnd w:id="0"/>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6"/>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6"/>
          <w:rFonts w:hint="eastAsia" w:ascii="微软雅黑" w:hAnsi="微软雅黑" w:eastAsia="微软雅黑" w:cs="微软雅黑"/>
          <w:i w:val="0"/>
          <w:caps w:val="0"/>
          <w:color w:val="333333"/>
          <w:spacing w:val="0"/>
          <w:sz w:val="24"/>
          <w:szCs w:val="24"/>
          <w:bdr w:val="none" w:color="auto" w:sz="0" w:space="0"/>
          <w:shd w:val="clear" w:fill="FFFFFF"/>
        </w:rPr>
        <w:t>部门概况</w:t>
      </w:r>
    </w:p>
    <w:p>
      <w:pPr>
        <w:widowControl/>
        <w:shd w:val="clear" w:color="auto" w:fill="FFFFFF"/>
        <w:spacing w:line="580" w:lineRule="exact"/>
        <w:ind w:firstLine="480"/>
        <w:jc w:val="left"/>
        <w:rPr>
          <w:rFonts w:hint="eastAsia" w:ascii="仿宋" w:hAnsi="仿宋" w:eastAsia="仿宋" w:cs="仿宋"/>
          <w:b/>
          <w:bCs/>
          <w:sz w:val="28"/>
          <w:szCs w:val="28"/>
        </w:rPr>
      </w:pPr>
      <w:r>
        <w:rPr>
          <w:rFonts w:hint="eastAsia" w:ascii="仿宋" w:hAnsi="仿宋" w:eastAsia="仿宋" w:cs="仿宋"/>
          <w:b/>
          <w:bCs/>
          <w:color w:val="333333"/>
          <w:kern w:val="0"/>
          <w:sz w:val="28"/>
          <w:szCs w:val="28"/>
        </w:rPr>
        <w:t>（</w:t>
      </w:r>
      <w:r>
        <w:rPr>
          <w:rFonts w:hint="eastAsia" w:ascii="仿宋" w:hAnsi="仿宋" w:eastAsia="仿宋" w:cs="仿宋"/>
          <w:b/>
          <w:bCs/>
          <w:sz w:val="28"/>
          <w:szCs w:val="28"/>
        </w:rPr>
        <w:t>一）主要职能</w:t>
      </w:r>
    </w:p>
    <w:p>
      <w:pPr>
        <w:widowControl/>
        <w:spacing w:line="580" w:lineRule="exact"/>
        <w:ind w:firstLine="568" w:firstLineChars="200"/>
        <w:jc w:val="left"/>
        <w:rPr>
          <w:rFonts w:hint="eastAsia" w:ascii="仿宋" w:hAnsi="仿宋" w:eastAsia="仿宋" w:cs="仿宋"/>
          <w:color w:val="000000"/>
          <w:spacing w:val="2"/>
          <w:sz w:val="28"/>
          <w:szCs w:val="28"/>
        </w:rPr>
      </w:pPr>
      <w:r>
        <w:rPr>
          <w:rFonts w:hint="eastAsia" w:ascii="仿宋" w:hAnsi="仿宋" w:eastAsia="仿宋" w:cs="仿宋"/>
          <w:color w:val="000000"/>
          <w:spacing w:val="2"/>
          <w:sz w:val="28"/>
          <w:szCs w:val="28"/>
        </w:rPr>
        <w:t>1、贯彻执行国家、省、市区关于对外开放的方针政策，认真落实区委、区政府关于发展经济的工作部署，拟订全区招商引资、经济合作、投资服务的政策；负责编制全区招商引资、经济合作的中、长期规划；汇总编报全区年度招商引资、经济合作责任目标计划。</w:t>
      </w:r>
    </w:p>
    <w:p>
      <w:pPr>
        <w:widowControl/>
        <w:spacing w:line="580" w:lineRule="exact"/>
        <w:jc w:val="left"/>
        <w:rPr>
          <w:rFonts w:hint="eastAsia" w:ascii="仿宋" w:hAnsi="仿宋" w:eastAsia="仿宋" w:cs="仿宋"/>
          <w:color w:val="000000"/>
          <w:spacing w:val="2"/>
          <w:sz w:val="28"/>
          <w:szCs w:val="28"/>
        </w:rPr>
      </w:pPr>
      <w:r>
        <w:rPr>
          <w:rFonts w:hint="eastAsia" w:ascii="仿宋" w:hAnsi="仿宋" w:eastAsia="仿宋" w:cs="仿宋"/>
          <w:color w:val="000000"/>
          <w:spacing w:val="2"/>
          <w:sz w:val="28"/>
          <w:szCs w:val="28"/>
        </w:rPr>
        <w:t>负责策划、组织和承办上级决定开展的重大国内外招商引资活动，宣传、推介投资环境；协调和组织企业开展国内外招商引资活动、经济社会合作、区域经济合作的活动；承办区领导对外开展招商引资、经济社会合作交往的一系列重要活动及相关工作事宜。抓好全区招商引资基础工作和全区对国内国外重点招商引资项目库的建设工作；负责跟踪、督办和协调落实全区签约项目的审批、注册和开工建设工作；负责已批内外资项目资金到位的督促工作。  负责省外、市外来区投资企业认证工作，协调落实相关优惠政策；协调有关部门依法保护省外、市外来区投资企业和投资者的合法权益。对符合条件的国内外投资经济合作项目进行认定，提出使用省、市支持联合协作项目资金扶持政策的意见和建议，并对项目执行情况进行跟踪、检查和监督。负责全区外商投资审批、备案工作，依法审批限额内的外商投资企业的设立、合同、章程及变更事项。监督检查外商投资企业执行有关法规和合同、章程的情况，协调解决外商投资企业运行过程中的问题，负责全区外商投资统计和综合分析工作；</w:t>
      </w:r>
    </w:p>
    <w:p>
      <w:pPr>
        <w:pStyle w:val="4"/>
        <w:spacing w:before="0" w:beforeAutospacing="0" w:after="0" w:afterAutospacing="0" w:line="580" w:lineRule="exact"/>
        <w:rPr>
          <w:rFonts w:hint="eastAsia" w:ascii="仿宋" w:hAnsi="仿宋" w:eastAsia="仿宋" w:cs="仿宋"/>
          <w:color w:val="000000"/>
          <w:spacing w:val="2"/>
          <w:sz w:val="28"/>
          <w:szCs w:val="28"/>
        </w:rPr>
      </w:pPr>
      <w:r>
        <w:rPr>
          <w:rFonts w:hint="eastAsia" w:ascii="仿宋" w:hAnsi="仿宋" w:eastAsia="仿宋" w:cs="仿宋"/>
          <w:color w:val="000000"/>
          <w:spacing w:val="2"/>
          <w:kern w:val="2"/>
          <w:sz w:val="28"/>
          <w:szCs w:val="28"/>
        </w:rPr>
        <w:t>指导和管理全区吸引外商投资工作，分析、研究跨国投资趋势和外商投资发展趋势，提出吸引外商投资的建议，参与制定全区利用外资的计划和规划；</w:t>
      </w:r>
      <w:r>
        <w:rPr>
          <w:rFonts w:hint="eastAsia" w:ascii="仿宋" w:hAnsi="仿宋" w:eastAsia="仿宋" w:cs="仿宋"/>
          <w:color w:val="000000"/>
          <w:spacing w:val="2"/>
          <w:sz w:val="28"/>
          <w:szCs w:val="28"/>
        </w:rPr>
        <w:t>指导、督促、检查和统计全区年度招商引资、经济合作工作任务指标的完成情况，负责全县招商引资的考核和奖励事宜。承办区委、区政府和上级机关交办的其他事项。</w:t>
      </w:r>
    </w:p>
    <w:p>
      <w:pPr>
        <w:widowControl/>
        <w:shd w:val="clear" w:color="auto" w:fill="FFFFFF"/>
        <w:spacing w:line="580" w:lineRule="exact"/>
        <w:ind w:firstLine="480"/>
        <w:jc w:val="left"/>
        <w:rPr>
          <w:rFonts w:hint="eastAsia" w:ascii="仿宋" w:hAnsi="仿宋" w:eastAsia="仿宋" w:cs="仿宋"/>
          <w:color w:val="000000"/>
          <w:spacing w:val="2"/>
          <w:sz w:val="28"/>
          <w:szCs w:val="28"/>
        </w:rPr>
      </w:pPr>
      <w:r>
        <w:rPr>
          <w:rFonts w:hint="eastAsia" w:ascii="仿宋" w:hAnsi="仿宋" w:eastAsia="仿宋" w:cs="仿宋"/>
          <w:b/>
          <w:bCs/>
          <w:color w:val="333333"/>
          <w:kern w:val="0"/>
          <w:sz w:val="28"/>
          <w:szCs w:val="28"/>
        </w:rPr>
        <w:t>（二</w:t>
      </w:r>
      <w:r>
        <w:rPr>
          <w:rFonts w:hint="eastAsia" w:ascii="仿宋" w:hAnsi="仿宋" w:eastAsia="仿宋" w:cs="仿宋"/>
          <w:b/>
          <w:bCs/>
          <w:sz w:val="28"/>
          <w:szCs w:val="28"/>
        </w:rPr>
        <w:t>）单位基本信息(机构设置等</w:t>
      </w:r>
      <w:r>
        <w:rPr>
          <w:rFonts w:hint="eastAsia" w:ascii="仿宋" w:hAnsi="仿宋" w:eastAsia="仿宋" w:cs="仿宋"/>
          <w:b/>
          <w:bCs/>
          <w:color w:val="333333"/>
          <w:kern w:val="0"/>
          <w:sz w:val="28"/>
          <w:szCs w:val="28"/>
        </w:rPr>
        <w:t>)</w:t>
      </w:r>
      <w:r>
        <w:rPr>
          <w:rFonts w:hint="eastAsia" w:ascii="仿宋" w:hAnsi="仿宋" w:eastAsia="仿宋" w:cs="仿宋"/>
          <w:color w:val="333333"/>
          <w:kern w:val="0"/>
          <w:sz w:val="28"/>
          <w:szCs w:val="28"/>
        </w:rPr>
        <w:t>　</w:t>
      </w:r>
    </w:p>
    <w:p>
      <w:pPr>
        <w:widowControl/>
        <w:spacing w:line="580" w:lineRule="exact"/>
        <w:ind w:firstLine="695" w:firstLineChars="245"/>
        <w:rPr>
          <w:rFonts w:hint="eastAsia" w:ascii="仿宋" w:hAnsi="仿宋" w:eastAsia="仿宋" w:cs="仿宋"/>
          <w:color w:val="000000"/>
          <w:spacing w:val="2"/>
          <w:sz w:val="28"/>
          <w:szCs w:val="28"/>
        </w:rPr>
      </w:pPr>
      <w:r>
        <w:rPr>
          <w:rFonts w:hint="eastAsia" w:ascii="仿宋" w:hAnsi="仿宋" w:eastAsia="仿宋" w:cs="仿宋"/>
          <w:color w:val="000000"/>
          <w:spacing w:val="2"/>
          <w:sz w:val="28"/>
          <w:szCs w:val="28"/>
        </w:rPr>
        <w:t>现有机关工作人员5人，其中，行政编制3人，事业编制1人，政府雇员1人。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i w:val="0"/>
          <w:caps w:val="0"/>
          <w:color w:val="333333"/>
          <w:spacing w:val="0"/>
          <w:sz w:val="24"/>
          <w:szCs w:val="24"/>
          <w:bdr w:val="none" w:color="auto" w:sz="0" w:space="0"/>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6"/>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6"/>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5939155" cy="5272405"/>
            <wp:effectExtent l="0" t="0" r="4445" b="444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4"/>
                    <a:stretch>
                      <a:fillRect/>
                    </a:stretch>
                  </pic:blipFill>
                  <pic:spPr>
                    <a:xfrm>
                      <a:off x="0" y="0"/>
                      <a:ext cx="5939155" cy="5272405"/>
                    </a:xfrm>
                    <a:prstGeom prst="rect">
                      <a:avLst/>
                    </a:prstGeom>
                    <a:noFill/>
                    <a:ln w="9525">
                      <a:noFill/>
                    </a:ln>
                  </pic:spPr>
                </pic:pic>
              </a:graphicData>
            </a:graphic>
          </wp:inline>
        </w:drawing>
      </w:r>
      <w:r>
        <w:drawing>
          <wp:inline distT="0" distB="0" distL="114300" distR="114300">
            <wp:extent cx="8860155" cy="2051685"/>
            <wp:effectExtent l="0" t="0" r="17145" b="571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5"/>
                    <a:stretch>
                      <a:fillRect/>
                    </a:stretch>
                  </pic:blipFill>
                  <pic:spPr>
                    <a:xfrm>
                      <a:off x="0" y="0"/>
                      <a:ext cx="8860155" cy="2051685"/>
                    </a:xfrm>
                    <a:prstGeom prst="rect">
                      <a:avLst/>
                    </a:prstGeom>
                    <a:noFill/>
                    <a:ln w="9525">
                      <a:noFill/>
                    </a:ln>
                  </pic:spPr>
                </pic:pic>
              </a:graphicData>
            </a:graphic>
          </wp:inline>
        </w:drawing>
      </w:r>
      <w:r>
        <w:drawing>
          <wp:inline distT="0" distB="0" distL="114300" distR="114300">
            <wp:extent cx="8858250" cy="2494915"/>
            <wp:effectExtent l="0" t="0" r="0" b="63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6"/>
                    <a:stretch>
                      <a:fillRect/>
                    </a:stretch>
                  </pic:blipFill>
                  <pic:spPr>
                    <a:xfrm>
                      <a:off x="0" y="0"/>
                      <a:ext cx="8858250" cy="2494915"/>
                    </a:xfrm>
                    <a:prstGeom prst="rect">
                      <a:avLst/>
                    </a:prstGeom>
                    <a:noFill/>
                    <a:ln w="9525">
                      <a:noFill/>
                    </a:ln>
                  </pic:spPr>
                </pic:pic>
              </a:graphicData>
            </a:graphic>
          </wp:inline>
        </w:drawing>
      </w:r>
      <w:r>
        <w:drawing>
          <wp:inline distT="0" distB="0" distL="114300" distR="114300">
            <wp:extent cx="6438900" cy="5248275"/>
            <wp:effectExtent l="0" t="0" r="0" b="952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7"/>
                    <a:stretch>
                      <a:fillRect/>
                    </a:stretch>
                  </pic:blipFill>
                  <pic:spPr>
                    <a:xfrm>
                      <a:off x="0" y="0"/>
                      <a:ext cx="6438900" cy="5248275"/>
                    </a:xfrm>
                    <a:prstGeom prst="rect">
                      <a:avLst/>
                    </a:prstGeom>
                    <a:noFill/>
                    <a:ln w="9525">
                      <a:noFill/>
                    </a:ln>
                  </pic:spPr>
                </pic:pic>
              </a:graphicData>
            </a:graphic>
          </wp:inline>
        </w:drawing>
      </w:r>
      <w:r>
        <w:drawing>
          <wp:inline distT="0" distB="0" distL="114300" distR="114300">
            <wp:extent cx="5991225" cy="2886075"/>
            <wp:effectExtent l="0" t="0" r="9525"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8"/>
                    <a:stretch>
                      <a:fillRect/>
                    </a:stretch>
                  </pic:blipFill>
                  <pic:spPr>
                    <a:xfrm>
                      <a:off x="0" y="0"/>
                      <a:ext cx="5991225" cy="2886075"/>
                    </a:xfrm>
                    <a:prstGeom prst="rect">
                      <a:avLst/>
                    </a:prstGeom>
                    <a:noFill/>
                    <a:ln w="9525">
                      <a:noFill/>
                    </a:ln>
                  </pic:spPr>
                </pic:pic>
              </a:graphicData>
            </a:graphic>
          </wp:inline>
        </w:drawing>
      </w:r>
      <w:r>
        <w:drawing>
          <wp:inline distT="0" distB="0" distL="114300" distR="114300">
            <wp:extent cx="8861425" cy="4885690"/>
            <wp:effectExtent l="0" t="0" r="15875" b="1016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9"/>
                    <a:stretch>
                      <a:fillRect/>
                    </a:stretch>
                  </pic:blipFill>
                  <pic:spPr>
                    <a:xfrm>
                      <a:off x="0" y="0"/>
                      <a:ext cx="8861425" cy="4885690"/>
                    </a:xfrm>
                    <a:prstGeom prst="rect">
                      <a:avLst/>
                    </a:prstGeom>
                    <a:noFill/>
                    <a:ln w="9525">
                      <a:noFill/>
                    </a:ln>
                  </pic:spPr>
                </pic:pic>
              </a:graphicData>
            </a:graphic>
          </wp:inline>
        </w:drawing>
      </w:r>
      <w:r>
        <w:drawing>
          <wp:inline distT="0" distB="0" distL="114300" distR="114300">
            <wp:extent cx="8856345" cy="1736725"/>
            <wp:effectExtent l="0" t="0" r="1905" b="1587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10"/>
                    <a:stretch>
                      <a:fillRect/>
                    </a:stretch>
                  </pic:blipFill>
                  <pic:spPr>
                    <a:xfrm>
                      <a:off x="0" y="0"/>
                      <a:ext cx="8856345" cy="1736725"/>
                    </a:xfrm>
                    <a:prstGeom prst="rect">
                      <a:avLst/>
                    </a:prstGeom>
                    <a:noFill/>
                    <a:ln w="9525">
                      <a:noFill/>
                    </a:ln>
                  </pic:spPr>
                </pic:pic>
              </a:graphicData>
            </a:graphic>
          </wp:inline>
        </w:drawing>
      </w:r>
      <w:r>
        <w:drawing>
          <wp:inline distT="0" distB="0" distL="114300" distR="114300">
            <wp:extent cx="8862695" cy="2156460"/>
            <wp:effectExtent l="0" t="0" r="14605" b="1524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11"/>
                    <a:stretch>
                      <a:fillRect/>
                    </a:stretch>
                  </pic:blipFill>
                  <pic:spPr>
                    <a:xfrm>
                      <a:off x="0" y="0"/>
                      <a:ext cx="8862695" cy="215646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6"/>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6"/>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widowControl/>
        <w:shd w:val="clear" w:color="auto" w:fill="FFFFFF"/>
        <w:spacing w:line="580" w:lineRule="exact"/>
        <w:ind w:firstLine="480"/>
        <w:jc w:val="left"/>
        <w:rPr>
          <w:rFonts w:hint="eastAsia" w:ascii="仿宋" w:hAnsi="仿宋" w:eastAsia="仿宋" w:cs="仿宋"/>
          <w:b/>
          <w:bCs/>
          <w:sz w:val="28"/>
          <w:szCs w:val="28"/>
        </w:rPr>
      </w:pPr>
      <w:r>
        <w:rPr>
          <w:rFonts w:hint="eastAsia" w:ascii="仿宋" w:hAnsi="仿宋" w:eastAsia="仿宋" w:cs="仿宋"/>
          <w:b/>
          <w:bCs/>
          <w:sz w:val="28"/>
          <w:szCs w:val="28"/>
        </w:rPr>
        <w:t>（一）预算执行情况分析</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当年收入支出预算执行75.22万元，与上年度132.88万元，对比减少57.66万元，减幅43.39%，增减变动主要原因：区招商局2017年4月合并到区经信局。</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1．收入支出与预算对比分析。</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（1）预、决算差异情况，本年度收入收入预算34.22万元，上年度收入预算21.57万元。本年度支出预算34.22万元，上年度支出预算21.57万元。</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（2）本年度比上年度增加12.65万元，差异原因分析：区招商局业务增加、人数有变动。</w:t>
      </w:r>
    </w:p>
    <w:p>
      <w:pPr>
        <w:widowControl/>
        <w:shd w:val="clear" w:color="auto" w:fill="FFFFFF"/>
        <w:spacing w:line="580" w:lineRule="exact"/>
        <w:ind w:firstLine="480"/>
        <w:jc w:val="left"/>
        <w:rPr>
          <w:rFonts w:hint="eastAsia" w:ascii="仿宋" w:hAnsi="仿宋" w:eastAsia="仿宋" w:cs="仿宋"/>
          <w:b/>
          <w:bCs/>
          <w:sz w:val="28"/>
          <w:szCs w:val="28"/>
        </w:rPr>
      </w:pPr>
      <w:r>
        <w:rPr>
          <w:rFonts w:hint="eastAsia" w:ascii="仿宋" w:hAnsi="仿宋" w:eastAsia="仿宋" w:cs="仿宋"/>
          <w:b/>
          <w:bCs/>
          <w:sz w:val="28"/>
          <w:szCs w:val="28"/>
        </w:rPr>
        <w:t>（二）关于“三公”经费支出说明</w:t>
      </w:r>
    </w:p>
    <w:p>
      <w:pPr>
        <w:spacing w:line="580" w:lineRule="exact"/>
        <w:ind w:firstLine="568" w:firstLineChars="200"/>
        <w:rPr>
          <w:rFonts w:hint="eastAsia" w:ascii="仿宋" w:hAnsi="仿宋" w:eastAsia="仿宋" w:cs="仿宋"/>
          <w:color w:val="000000"/>
          <w:spacing w:val="2"/>
          <w:sz w:val="28"/>
          <w:szCs w:val="28"/>
        </w:rPr>
      </w:pPr>
      <w:r>
        <w:rPr>
          <w:rFonts w:hint="eastAsia" w:ascii="仿宋" w:hAnsi="仿宋" w:eastAsia="仿宋" w:cs="仿宋"/>
          <w:color w:val="000000"/>
          <w:spacing w:val="2"/>
          <w:sz w:val="28"/>
          <w:szCs w:val="28"/>
        </w:rPr>
        <w:t>（1）公务车运行维护费： 2017年决算公务车运行维护费0元， 2016年决算公务车运行维护费2280.00元，下降100%。</w:t>
      </w:r>
    </w:p>
    <w:p>
      <w:pPr>
        <w:spacing w:line="580" w:lineRule="exact"/>
        <w:ind w:firstLine="568" w:firstLineChars="200"/>
        <w:rPr>
          <w:rFonts w:hint="eastAsia" w:ascii="仿宋" w:hAnsi="仿宋" w:eastAsia="仿宋" w:cs="仿宋"/>
          <w:color w:val="000000"/>
          <w:spacing w:val="2"/>
          <w:sz w:val="28"/>
          <w:szCs w:val="28"/>
        </w:rPr>
      </w:pPr>
      <w:r>
        <w:rPr>
          <w:rFonts w:hint="eastAsia" w:ascii="仿宋" w:hAnsi="仿宋" w:eastAsia="仿宋" w:cs="仿宋"/>
          <w:color w:val="000000"/>
          <w:spacing w:val="2"/>
          <w:sz w:val="28"/>
          <w:szCs w:val="28"/>
        </w:rPr>
        <w:t>（2）公务接待费：本年度和上年度公务接待费为0元。</w:t>
      </w:r>
    </w:p>
    <w:p>
      <w:pPr>
        <w:spacing w:line="580" w:lineRule="exact"/>
        <w:ind w:firstLine="568" w:firstLineChars="200"/>
        <w:rPr>
          <w:rFonts w:hint="eastAsia" w:ascii="仿宋" w:hAnsi="仿宋" w:eastAsia="仿宋" w:cs="仿宋"/>
          <w:color w:val="000000"/>
          <w:spacing w:val="2"/>
          <w:sz w:val="28"/>
          <w:szCs w:val="28"/>
        </w:rPr>
      </w:pPr>
      <w:r>
        <w:rPr>
          <w:rFonts w:hint="eastAsia" w:ascii="仿宋" w:hAnsi="仿宋" w:eastAsia="仿宋" w:cs="仿宋"/>
          <w:color w:val="000000"/>
          <w:spacing w:val="2"/>
          <w:sz w:val="28"/>
          <w:szCs w:val="28"/>
        </w:rPr>
        <w:t>（3）会议费支出情况: 本年度和上年度会议费为0元。</w:t>
      </w:r>
    </w:p>
    <w:p>
      <w:pPr>
        <w:spacing w:line="580" w:lineRule="exact"/>
        <w:ind w:firstLine="568" w:firstLineChars="200"/>
        <w:rPr>
          <w:rFonts w:hint="eastAsia" w:ascii="仿宋" w:hAnsi="仿宋" w:eastAsia="仿宋" w:cs="仿宋"/>
          <w:color w:val="000000"/>
          <w:spacing w:val="2"/>
          <w:sz w:val="28"/>
          <w:szCs w:val="28"/>
        </w:rPr>
      </w:pPr>
      <w:r>
        <w:rPr>
          <w:rFonts w:hint="eastAsia" w:ascii="仿宋" w:hAnsi="仿宋" w:eastAsia="仿宋" w:cs="仿宋"/>
          <w:color w:val="000000"/>
          <w:spacing w:val="2"/>
          <w:sz w:val="28"/>
          <w:szCs w:val="28"/>
        </w:rPr>
        <w:t>（4）培训费支出情况：2017年决算培训费为780元。</w:t>
      </w:r>
    </w:p>
    <w:p>
      <w:pPr>
        <w:widowControl/>
        <w:shd w:val="clear" w:color="auto" w:fill="FFFFFF"/>
        <w:spacing w:line="580" w:lineRule="exact"/>
        <w:jc w:val="left"/>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（三）关于机关运行经费支出说明</w:t>
      </w:r>
    </w:p>
    <w:p>
      <w:pPr>
        <w:pStyle w:val="8"/>
        <w:spacing w:line="580" w:lineRule="exact"/>
        <w:rPr>
          <w:rFonts w:hint="eastAsia" w:eastAsia="仿宋" w:cs="仿宋"/>
          <w:sz w:val="28"/>
          <w:szCs w:val="28"/>
        </w:rPr>
      </w:pPr>
      <w:r>
        <w:rPr>
          <w:rFonts w:hint="eastAsia" w:eastAsia="仿宋" w:cs="仿宋"/>
          <w:sz w:val="28"/>
          <w:szCs w:val="28"/>
        </w:rPr>
        <w:t>本部门2017年收入支出预算执行75.22万元，比上年度减少57.66万元，减幅43.39%，增减变动主要原因：区招商局2017年4月合并到区经信局。</w:t>
      </w:r>
    </w:p>
    <w:p>
      <w:pPr>
        <w:widowControl/>
        <w:shd w:val="clear" w:color="auto" w:fill="FFFFFF"/>
        <w:spacing w:line="580" w:lineRule="exact"/>
        <w:jc w:val="left"/>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（四）关于政府采购支出说明</w:t>
      </w:r>
    </w:p>
    <w:p>
      <w:pPr>
        <w:pStyle w:val="8"/>
        <w:spacing w:line="580" w:lineRule="exact"/>
        <w:ind w:firstLine="560" w:firstLineChars="200"/>
        <w:rPr>
          <w:rFonts w:hint="eastAsia" w:eastAsia="仿宋" w:cs="仿宋"/>
          <w:sz w:val="28"/>
          <w:szCs w:val="28"/>
        </w:rPr>
      </w:pPr>
      <w:r>
        <w:rPr>
          <w:rFonts w:hint="eastAsia" w:eastAsia="仿宋" w:cs="仿宋"/>
          <w:sz w:val="28"/>
          <w:szCs w:val="28"/>
        </w:rPr>
        <w:t>本部门2017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widowControl/>
        <w:shd w:val="clear" w:color="auto" w:fill="FFFFFF"/>
        <w:spacing w:line="580" w:lineRule="exact"/>
        <w:jc w:val="left"/>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（五）关于国有资产占用情况说明</w:t>
      </w:r>
    </w:p>
    <w:p>
      <w:pPr>
        <w:pStyle w:val="8"/>
        <w:spacing w:line="580" w:lineRule="exact"/>
        <w:rPr>
          <w:rFonts w:hint="eastAsia" w:eastAsia="仿宋" w:cs="仿宋"/>
          <w:b/>
          <w:sz w:val="28"/>
          <w:szCs w:val="28"/>
        </w:rPr>
      </w:pPr>
      <w:r>
        <w:rPr>
          <w:rFonts w:hint="eastAsia" w:eastAsia="仿宋" w:cs="仿宋"/>
          <w:sz w:val="28"/>
          <w:szCs w:val="28"/>
        </w:rPr>
        <w:t xml:space="preserve">截至2017年12月31日，本部门共有车辆0辆；单位价值50万元以上通用设备0台（套），单价100万元以上专用设备0台（套）。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6"/>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6"/>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黄石港区招商局</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黄石港区招商局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黄石港区招商局</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黄石港区招商局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黄石港区招商局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黄石港区招商局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FF39B4"/>
    <w:rsid w:val="255E033E"/>
    <w:rsid w:val="2CCE2491"/>
    <w:rsid w:val="746766E2"/>
    <w:rsid w:val="78186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8">
    <w:name w:val="正文缩进 + 首行缩进:  2 字符"/>
    <w:basedOn w:val="1"/>
    <w:uiPriority w:val="0"/>
    <w:pPr>
      <w:spacing w:line="560" w:lineRule="exact"/>
      <w:ind w:firstLine="640"/>
    </w:pPr>
    <w:rPr>
      <w:rFonts w:ascii="仿宋" w:hAnsi="仿宋" w:cs="宋体"/>
      <w:sz w:val="32"/>
      <w:szCs w:val="32"/>
    </w:rPr>
  </w:style>
  <w:style w:type="character" w:customStyle="1" w:styleId="9">
    <w:name w:val="ca-2"/>
    <w:basedOn w:val="5"/>
    <w:uiPriority w:val="0"/>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2019-02-27T08:55:57Z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