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招商</w:t>
      </w:r>
      <w:r>
        <w:rPr>
          <w:rFonts w:hint="eastAsia" w:ascii="微软雅黑" w:hAnsi="微软雅黑" w:eastAsia="微软雅黑" w:cs="微软雅黑"/>
          <w:b/>
          <w:i w:val="0"/>
          <w:caps w:val="0"/>
          <w:color w:val="BC1010"/>
          <w:spacing w:val="0"/>
          <w:sz w:val="40"/>
          <w:szCs w:val="40"/>
          <w:shd w:val="clear" w:fill="FFFFFF"/>
          <w:lang w:val="en-US" w:eastAsia="zh-CN"/>
        </w:rPr>
        <w:t>服务中心</w:t>
      </w:r>
      <w:r>
        <w:rPr>
          <w:rFonts w:hint="eastAsia" w:ascii="微软雅黑" w:hAnsi="微软雅黑" w:eastAsia="微软雅黑" w:cs="微软雅黑"/>
          <w:b/>
          <w:i w:val="0"/>
          <w:caps w:val="0"/>
          <w:color w:val="BC1010"/>
          <w:spacing w:val="0"/>
          <w:sz w:val="40"/>
          <w:szCs w:val="40"/>
          <w:shd w:val="clear" w:fill="FFFFFF"/>
          <w:lang w:eastAsia="zh-CN"/>
        </w:rPr>
        <w:t>2019年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黄石港区招商</w:t>
      </w:r>
      <w:r>
        <w:rPr>
          <w:rStyle w:val="8"/>
          <w:rFonts w:hint="eastAsia" w:ascii="微软雅黑" w:hAnsi="微软雅黑" w:eastAsia="微软雅黑" w:cs="微软雅黑"/>
          <w:i w:val="0"/>
          <w:caps w:val="0"/>
          <w:color w:val="333333"/>
          <w:spacing w:val="0"/>
          <w:sz w:val="24"/>
          <w:szCs w:val="24"/>
          <w:shd w:val="clear" w:fill="FFFFFF"/>
          <w:lang w:val="en-US" w:eastAsia="zh-CN"/>
        </w:rPr>
        <w:t>服务中心</w:t>
      </w:r>
      <w:r>
        <w:rPr>
          <w:rStyle w:val="8"/>
          <w:rFonts w:hint="eastAsia" w:ascii="微软雅黑" w:hAnsi="微软雅黑" w:eastAsia="微软雅黑" w:cs="微软雅黑"/>
          <w:i w:val="0"/>
          <w:caps w:val="0"/>
          <w:color w:val="333333"/>
          <w:spacing w:val="0"/>
          <w:sz w:val="24"/>
          <w:szCs w:val="24"/>
          <w:shd w:val="clear" w:fill="FFFFFF"/>
          <w:lang w:eastAsia="zh-CN"/>
        </w:rPr>
        <w:t>2019年</w:t>
      </w:r>
      <w:r>
        <w:rPr>
          <w:rStyle w:val="8"/>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2019年</w:t>
      </w:r>
      <w:r>
        <w:rPr>
          <w:rFonts w:hint="eastAsia" w:ascii="微软雅黑" w:hAnsi="微软雅黑" w:eastAsia="微软雅黑" w:cs="微软雅黑"/>
          <w:b w:val="0"/>
          <w:i w:val="0"/>
          <w:caps w:val="0"/>
          <w:color w:val="333333"/>
          <w:spacing w:val="0"/>
          <w:sz w:val="24"/>
          <w:szCs w:val="24"/>
          <w:shd w:val="clear" w:fill="FFFFFF"/>
        </w:rPr>
        <w:t>部门决算表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2019年</w:t>
      </w:r>
      <w:r>
        <w:rPr>
          <w:rFonts w:hint="eastAsia" w:ascii="微软雅黑" w:hAnsi="微软雅黑" w:eastAsia="微软雅黑" w:cs="微软雅黑"/>
          <w:b w:val="0"/>
          <w:i w:val="0"/>
          <w:caps w:val="0"/>
          <w:color w:val="333333"/>
          <w:spacing w:val="0"/>
          <w:sz w:val="24"/>
          <w:szCs w:val="24"/>
          <w:shd w:val="clear" w:fill="FFFFFF"/>
        </w:rPr>
        <w:t>部门决算情况说明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2019年</w:t>
      </w:r>
      <w:r>
        <w:rPr>
          <w:rStyle w:val="8"/>
          <w:rFonts w:hint="eastAsia" w:ascii="微软雅黑" w:hAnsi="微软雅黑" w:eastAsia="微软雅黑" w:cs="微软雅黑"/>
          <w:i w:val="0"/>
          <w:caps w:val="0"/>
          <w:color w:val="333333"/>
          <w:spacing w:val="0"/>
          <w:sz w:val="24"/>
          <w:szCs w:val="24"/>
          <w:shd w:val="clear" w:fill="FFFFFF"/>
        </w:rPr>
        <w:t>部门决算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color w:val="333333"/>
          <w:kern w:val="0"/>
          <w:sz w:val="28"/>
          <w:szCs w:val="28"/>
        </w:rPr>
        <w:t>（</w:t>
      </w:r>
      <w:r>
        <w:rPr>
          <w:rFonts w:hint="eastAsia" w:ascii="仿宋" w:hAnsi="仿宋" w:eastAsia="仿宋" w:cs="仿宋"/>
          <w:b/>
          <w:bCs/>
          <w:sz w:val="28"/>
          <w:szCs w:val="28"/>
        </w:rPr>
        <w:t>一）主要职能</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rPr>
        <w:t>黄石港区招商服务中心贯彻落实党中央关于招商服务工作的方针政策和决策部署，落实区委工作要求，在履行职责过程中坚持和加强党对招商服务工作的集中统一领导。主要职责是:</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1.</w:t>
      </w:r>
      <w:r>
        <w:rPr>
          <w:rFonts w:hint="eastAsia" w:ascii="仿宋" w:hAnsi="仿宋" w:eastAsia="仿宋" w:cs="仿宋"/>
          <w:b w:val="0"/>
          <w:bCs w:val="0"/>
          <w:color w:val="333333"/>
          <w:kern w:val="0"/>
          <w:sz w:val="28"/>
          <w:szCs w:val="28"/>
        </w:rPr>
        <w:t>负责招商引资相关政策的宣传推介，承担上级下达的各项招商引资任务。</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2.</w:t>
      </w:r>
      <w:r>
        <w:rPr>
          <w:rFonts w:hint="eastAsia" w:ascii="仿宋" w:hAnsi="仿宋" w:eastAsia="仿宋" w:cs="仿宋"/>
          <w:b w:val="0"/>
          <w:bCs w:val="0"/>
          <w:color w:val="333333"/>
          <w:kern w:val="0"/>
          <w:sz w:val="28"/>
          <w:szCs w:val="28"/>
        </w:rPr>
        <w:t>负责全区招商项目的信息收集与发布、全区招商载体资源的整合与协调，承担全区重要招商项目的商务要约、商务洽谈、对接联络、跟踪服务等招商引资相关工作。</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3.</w:t>
      </w:r>
      <w:r>
        <w:rPr>
          <w:rFonts w:hint="eastAsia" w:ascii="仿宋" w:hAnsi="仿宋" w:eastAsia="仿宋" w:cs="仿宋"/>
          <w:b w:val="0"/>
          <w:bCs w:val="0"/>
          <w:color w:val="333333"/>
          <w:kern w:val="0"/>
          <w:sz w:val="28"/>
          <w:szCs w:val="28"/>
        </w:rPr>
        <w:t>负责全区招商资源信息管理和运用，梳理和完善全区资源信息库，收集并发布招商信息，对招商信息实行网络共享、协调互通。</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4.</w:t>
      </w:r>
      <w:r>
        <w:rPr>
          <w:rFonts w:hint="eastAsia" w:ascii="仿宋" w:hAnsi="仿宋" w:eastAsia="仿宋" w:cs="仿宋"/>
          <w:b w:val="0"/>
          <w:bCs w:val="0"/>
          <w:color w:val="333333"/>
          <w:kern w:val="0"/>
          <w:sz w:val="28"/>
          <w:szCs w:val="28"/>
        </w:rPr>
        <w:t>负责全区重点招商项目的策划、宣传和推介工作。</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5.</w:t>
      </w:r>
      <w:r>
        <w:rPr>
          <w:rFonts w:hint="eastAsia" w:ascii="仿宋" w:hAnsi="仿宋" w:eastAsia="仿宋" w:cs="仿宋"/>
          <w:b w:val="0"/>
          <w:bCs w:val="0"/>
          <w:color w:val="333333"/>
          <w:kern w:val="0"/>
          <w:sz w:val="28"/>
          <w:szCs w:val="28"/>
        </w:rPr>
        <w:t>负责全面完成上级布置的各项招商引资目标任务。</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6.</w:t>
      </w:r>
      <w:r>
        <w:rPr>
          <w:rFonts w:hint="eastAsia" w:ascii="仿宋" w:hAnsi="仿宋" w:eastAsia="仿宋" w:cs="仿宋"/>
          <w:b w:val="0"/>
          <w:bCs w:val="0"/>
          <w:color w:val="333333"/>
          <w:kern w:val="0"/>
          <w:sz w:val="28"/>
          <w:szCs w:val="28"/>
        </w:rPr>
        <w:t>负责招商引资项目的落户受理认定及协调各项招商引资优惠政策的落实，配合有关单位或部门对涉及投资项目的投诉进行协调处理。</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7.</w:t>
      </w:r>
      <w:r>
        <w:rPr>
          <w:rFonts w:hint="eastAsia" w:ascii="仿宋" w:hAnsi="仿宋" w:eastAsia="仿宋" w:cs="仿宋"/>
          <w:b w:val="0"/>
          <w:bCs w:val="0"/>
          <w:color w:val="333333"/>
          <w:kern w:val="0"/>
          <w:sz w:val="28"/>
          <w:szCs w:val="28"/>
        </w:rPr>
        <w:t>完成上级交办的其他任务。</w:t>
      </w:r>
    </w:p>
    <w:p>
      <w:pPr>
        <w:widowControl/>
        <w:shd w:val="clear" w:color="auto" w:fill="FFFFFF"/>
        <w:spacing w:line="580" w:lineRule="exact"/>
        <w:ind w:firstLine="480"/>
        <w:jc w:val="left"/>
        <w:rPr>
          <w:rFonts w:hint="eastAsia" w:ascii="仿宋" w:hAnsi="仿宋" w:eastAsia="仿宋" w:cs="仿宋"/>
          <w:color w:val="000000"/>
          <w:spacing w:val="2"/>
          <w:sz w:val="28"/>
          <w:szCs w:val="28"/>
        </w:rPr>
      </w:pPr>
      <w:r>
        <w:rPr>
          <w:rFonts w:hint="eastAsia" w:ascii="仿宋" w:hAnsi="仿宋" w:eastAsia="仿宋" w:cs="仿宋"/>
          <w:b/>
          <w:bCs/>
          <w:color w:val="333333"/>
          <w:kern w:val="0"/>
          <w:sz w:val="28"/>
          <w:szCs w:val="28"/>
        </w:rPr>
        <w:t>（二</w:t>
      </w:r>
      <w:r>
        <w:rPr>
          <w:rFonts w:hint="eastAsia" w:ascii="仿宋" w:hAnsi="仿宋" w:eastAsia="仿宋" w:cs="仿宋"/>
          <w:b/>
          <w:bCs/>
          <w:sz w:val="28"/>
          <w:szCs w:val="28"/>
        </w:rPr>
        <w:t>）单位基本信息(机构设置等</w:t>
      </w:r>
      <w:r>
        <w:rPr>
          <w:rFonts w:hint="eastAsia" w:ascii="仿宋" w:hAnsi="仿宋" w:eastAsia="仿宋" w:cs="仿宋"/>
          <w:b/>
          <w:bCs/>
          <w:color w:val="333333"/>
          <w:kern w:val="0"/>
          <w:sz w:val="28"/>
          <w:szCs w:val="28"/>
        </w:rPr>
        <w:t>)</w:t>
      </w:r>
      <w:r>
        <w:rPr>
          <w:rFonts w:hint="eastAsia" w:ascii="仿宋" w:hAnsi="仿宋" w:eastAsia="仿宋" w:cs="仿宋"/>
          <w:color w:val="333333"/>
          <w:kern w:val="0"/>
          <w:sz w:val="28"/>
          <w:szCs w:val="28"/>
        </w:rPr>
        <w:t>　</w:t>
      </w:r>
    </w:p>
    <w:p>
      <w:pPr>
        <w:widowControl/>
        <w:spacing w:line="580" w:lineRule="exact"/>
        <w:ind w:firstLine="686" w:firstLineChars="245"/>
        <w:rPr>
          <w:rFonts w:hint="eastAsia" w:ascii="仿宋" w:hAnsi="仿宋" w:eastAsia="仿宋" w:cs="仿宋"/>
          <w:color w:val="000000"/>
          <w:spacing w:val="2"/>
          <w:sz w:val="28"/>
          <w:szCs w:val="28"/>
        </w:rPr>
      </w:pPr>
      <w:r>
        <w:rPr>
          <w:rFonts w:hint="eastAsia" w:ascii="仿宋" w:hAnsi="仿宋" w:eastAsia="仿宋" w:cs="仿宋"/>
          <w:b w:val="0"/>
          <w:bCs w:val="0"/>
          <w:color w:val="333333"/>
          <w:kern w:val="0"/>
          <w:sz w:val="28"/>
          <w:szCs w:val="28"/>
        </w:rPr>
        <w:t>黄石港区招商服务中心作为区政府直属事业单位，为正科级。归口区科学技术和经济信息化局领导。核定事业编制 8名。核定领导职数1正1副，设主任1名，副主任1名。</w:t>
      </w:r>
      <w:r>
        <w:rPr>
          <w:rFonts w:hint="eastAsia" w:ascii="仿宋" w:hAnsi="仿宋" w:eastAsia="仿宋" w:cs="仿宋"/>
          <w:color w:val="000000"/>
          <w:spacing w:val="2"/>
          <w:sz w:val="28"/>
          <w:szCs w:val="28"/>
        </w:rPr>
        <w:t>现有机关工作人员</w:t>
      </w:r>
      <w:r>
        <w:rPr>
          <w:rFonts w:hint="eastAsia" w:ascii="仿宋" w:hAnsi="仿宋" w:eastAsia="仿宋" w:cs="仿宋"/>
          <w:color w:val="000000"/>
          <w:spacing w:val="2"/>
          <w:sz w:val="28"/>
          <w:szCs w:val="28"/>
          <w:lang w:val="en-US" w:eastAsia="zh-CN"/>
        </w:rPr>
        <w:t>10</w:t>
      </w:r>
      <w:r>
        <w:rPr>
          <w:rFonts w:hint="eastAsia" w:ascii="仿宋" w:hAnsi="仿宋" w:eastAsia="仿宋" w:cs="仿宋"/>
          <w:color w:val="000000"/>
          <w:spacing w:val="2"/>
          <w:sz w:val="28"/>
          <w:szCs w:val="28"/>
        </w:rPr>
        <w:t>人，其中，事业编制</w:t>
      </w:r>
      <w:r>
        <w:rPr>
          <w:rFonts w:hint="eastAsia" w:ascii="仿宋" w:hAnsi="仿宋" w:eastAsia="仿宋" w:cs="仿宋"/>
          <w:color w:val="000000"/>
          <w:spacing w:val="2"/>
          <w:sz w:val="28"/>
          <w:szCs w:val="28"/>
          <w:lang w:val="en-US" w:eastAsia="zh-CN"/>
        </w:rPr>
        <w:t>3</w:t>
      </w:r>
      <w:r>
        <w:rPr>
          <w:rFonts w:hint="eastAsia" w:ascii="仿宋" w:hAnsi="仿宋" w:eastAsia="仿宋" w:cs="仿宋"/>
          <w:color w:val="000000"/>
          <w:spacing w:val="2"/>
          <w:sz w:val="28"/>
          <w:szCs w:val="28"/>
        </w:rPr>
        <w:t>人，</w:t>
      </w:r>
      <w:r>
        <w:rPr>
          <w:rFonts w:hint="eastAsia" w:ascii="仿宋" w:hAnsi="仿宋" w:eastAsia="仿宋" w:cs="仿宋"/>
          <w:color w:val="000000"/>
          <w:spacing w:val="2"/>
          <w:sz w:val="28"/>
          <w:szCs w:val="28"/>
          <w:lang w:val="en-US" w:eastAsia="zh-CN"/>
        </w:rPr>
        <w:t>借调1人，</w:t>
      </w:r>
      <w:r>
        <w:rPr>
          <w:rFonts w:hint="eastAsia" w:ascii="仿宋" w:hAnsi="仿宋" w:eastAsia="仿宋" w:cs="仿宋"/>
          <w:color w:val="000000"/>
          <w:spacing w:val="2"/>
          <w:sz w:val="28"/>
          <w:szCs w:val="28"/>
        </w:rPr>
        <w:t>政府雇员</w:t>
      </w:r>
      <w:r>
        <w:rPr>
          <w:rFonts w:hint="eastAsia" w:ascii="仿宋" w:hAnsi="仿宋" w:eastAsia="仿宋" w:cs="仿宋"/>
          <w:color w:val="000000"/>
          <w:spacing w:val="2"/>
          <w:sz w:val="28"/>
          <w:szCs w:val="28"/>
          <w:lang w:val="en-US" w:eastAsia="zh-CN"/>
        </w:rPr>
        <w:t>6</w:t>
      </w:r>
      <w:r>
        <w:rPr>
          <w:rFonts w:hint="eastAsia" w:ascii="仿宋" w:hAnsi="仿宋" w:eastAsia="仿宋" w:cs="仿宋"/>
          <w:color w:val="000000"/>
          <w:spacing w:val="2"/>
          <w:sz w:val="28"/>
          <w:szCs w:val="28"/>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第二部分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lang w:eastAsia="zh-CN"/>
        </w:rPr>
        <w:t>2019年</w:t>
      </w:r>
      <w:r>
        <w:rPr>
          <w:rStyle w:val="8"/>
          <w:rFonts w:hint="eastAsia" w:ascii="微软雅黑" w:hAnsi="微软雅黑" w:eastAsia="微软雅黑" w:cs="微软雅黑"/>
          <w:i w:val="0"/>
          <w:caps w:val="0"/>
          <w:color w:val="333333"/>
          <w:spacing w:val="0"/>
          <w:sz w:val="24"/>
          <w:szCs w:val="24"/>
          <w:shd w:val="clear" w:fill="FFFFFF"/>
        </w:rPr>
        <w:t>部门决算表</w:t>
      </w:r>
    </w:p>
    <w:tbl>
      <w:tblPr>
        <w:tblStyle w:val="9"/>
        <w:tblW w:w="13891" w:type="dxa"/>
        <w:tblInd w:w="0" w:type="dxa"/>
        <w:shd w:val="clear" w:color="auto" w:fill="auto"/>
        <w:tblLayout w:type="fixed"/>
        <w:tblCellMar>
          <w:top w:w="0" w:type="dxa"/>
          <w:left w:w="0" w:type="dxa"/>
          <w:bottom w:w="0" w:type="dxa"/>
          <w:right w:w="0" w:type="dxa"/>
        </w:tblCellMar>
      </w:tblPr>
      <w:tblGrid>
        <w:gridCol w:w="3812"/>
        <w:gridCol w:w="456"/>
        <w:gridCol w:w="2063"/>
        <w:gridCol w:w="2961"/>
        <w:gridCol w:w="437"/>
        <w:gridCol w:w="4162"/>
      </w:tblGrid>
      <w:tr>
        <w:tblPrEx>
          <w:shd w:val="clear" w:color="auto" w:fill="auto"/>
          <w:tblLayout w:type="fixed"/>
          <w:tblCellMar>
            <w:top w:w="0" w:type="dxa"/>
            <w:left w:w="0" w:type="dxa"/>
            <w:bottom w:w="0" w:type="dxa"/>
            <w:right w:w="0" w:type="dxa"/>
          </w:tblCellMar>
        </w:tblPrEx>
        <w:trPr>
          <w:trHeight w:val="375" w:hRule="atLeast"/>
        </w:trPr>
        <w:tc>
          <w:tcPr>
            <w:tcW w:w="13891" w:type="dxa"/>
            <w:gridSpan w:val="6"/>
            <w:vMerge w:val="restart"/>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13891" w:type="dxa"/>
            <w:gridSpan w:val="6"/>
            <w:vMerge w:val="continue"/>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81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6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96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162"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3812"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45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6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96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3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162"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331"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560"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06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416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6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16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12"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5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0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296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416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r>
      <w:tr>
        <w:tblPrEx>
          <w:tblLayout w:type="fixed"/>
          <w:tblCellMar>
            <w:top w:w="0" w:type="dxa"/>
            <w:left w:w="0" w:type="dxa"/>
            <w:bottom w:w="0" w:type="dxa"/>
            <w:right w:w="0" w:type="dxa"/>
          </w:tblCellMar>
        </w:tblPrEx>
        <w:trPr>
          <w:trHeight w:val="300" w:hRule="atLeast"/>
        </w:trPr>
        <w:tc>
          <w:tcPr>
            <w:tcW w:w="13891"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906" w:type="dxa"/>
        <w:tblInd w:w="0" w:type="dxa"/>
        <w:shd w:val="clear" w:color="auto" w:fill="auto"/>
        <w:tblLayout w:type="fixed"/>
        <w:tblCellMar>
          <w:top w:w="0" w:type="dxa"/>
          <w:left w:w="0" w:type="dxa"/>
          <w:bottom w:w="0" w:type="dxa"/>
          <w:right w:w="0" w:type="dxa"/>
        </w:tblCellMar>
      </w:tblPr>
      <w:tblGrid>
        <w:gridCol w:w="3544"/>
        <w:gridCol w:w="30"/>
        <w:gridCol w:w="30"/>
        <w:gridCol w:w="2562"/>
        <w:gridCol w:w="1708"/>
        <w:gridCol w:w="1457"/>
        <w:gridCol w:w="675"/>
        <w:gridCol w:w="855"/>
        <w:gridCol w:w="585"/>
        <w:gridCol w:w="840"/>
        <w:gridCol w:w="1620"/>
      </w:tblGrid>
      <w:tr>
        <w:tblPrEx>
          <w:shd w:val="clear" w:color="auto" w:fill="auto"/>
          <w:tblLayout w:type="fixed"/>
          <w:tblCellMar>
            <w:top w:w="0" w:type="dxa"/>
            <w:left w:w="0" w:type="dxa"/>
            <w:bottom w:w="0" w:type="dxa"/>
            <w:right w:w="0" w:type="dxa"/>
          </w:tblCellMar>
        </w:tblPrEx>
        <w:trPr>
          <w:trHeight w:val="375" w:hRule="atLeast"/>
        </w:trPr>
        <w:tc>
          <w:tcPr>
            <w:tcW w:w="13906" w:type="dxa"/>
            <w:gridSpan w:val="11"/>
            <w:vMerge w:val="restart"/>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00" w:hRule="atLeast"/>
        </w:trPr>
        <w:tc>
          <w:tcPr>
            <w:tcW w:w="13906" w:type="dxa"/>
            <w:gridSpan w:val="11"/>
            <w:vMerge w:val="continue"/>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6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70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5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7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5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8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4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20"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6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0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5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7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5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8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4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166"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0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5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67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85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58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84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62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trPr>
        <w:tc>
          <w:tcPr>
            <w:tcW w:w="3604"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562"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0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60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62"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60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62"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8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166"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0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5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7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4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2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trPr>
        <w:tc>
          <w:tcPr>
            <w:tcW w:w="6166"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0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45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2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0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56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0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6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8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2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0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256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70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4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67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8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2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0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2562"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0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145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67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5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2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06"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861" w:type="dxa"/>
        <w:tblInd w:w="0" w:type="dxa"/>
        <w:shd w:val="clear" w:color="auto" w:fill="auto"/>
        <w:tblLayout w:type="fixed"/>
        <w:tblCellMar>
          <w:top w:w="0" w:type="dxa"/>
          <w:left w:w="0" w:type="dxa"/>
          <w:bottom w:w="0" w:type="dxa"/>
          <w:right w:w="0" w:type="dxa"/>
        </w:tblCellMar>
      </w:tblPr>
      <w:tblGrid>
        <w:gridCol w:w="3544"/>
        <w:gridCol w:w="30"/>
        <w:gridCol w:w="240"/>
        <w:gridCol w:w="2826"/>
        <w:gridCol w:w="1316"/>
        <w:gridCol w:w="1316"/>
        <w:gridCol w:w="839"/>
        <w:gridCol w:w="1125"/>
        <w:gridCol w:w="1095"/>
        <w:gridCol w:w="1530"/>
      </w:tblGrid>
      <w:tr>
        <w:tblPrEx>
          <w:shd w:val="clear" w:color="auto" w:fill="auto"/>
          <w:tblLayout w:type="fixed"/>
          <w:tblCellMar>
            <w:top w:w="0" w:type="dxa"/>
            <w:left w:w="0" w:type="dxa"/>
            <w:bottom w:w="0" w:type="dxa"/>
            <w:right w:w="0" w:type="dxa"/>
          </w:tblCellMar>
        </w:tblPrEx>
        <w:trPr>
          <w:trHeight w:val="375" w:hRule="atLeast"/>
        </w:trPr>
        <w:tc>
          <w:tcPr>
            <w:tcW w:w="13861" w:type="dxa"/>
            <w:gridSpan w:val="10"/>
            <w:vMerge w:val="restart"/>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13861" w:type="dxa"/>
            <w:gridSpan w:val="10"/>
            <w:vMerge w:val="continue"/>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82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1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1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3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2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9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530"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44" w:hRule="atLeast"/>
        </w:trPr>
        <w:tc>
          <w:tcPr>
            <w:tcW w:w="35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4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2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16"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31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3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2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9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3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640"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1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31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83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12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9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53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00" w:hRule="atLeast"/>
        </w:trPr>
        <w:tc>
          <w:tcPr>
            <w:tcW w:w="3814"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826"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1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1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3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1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26"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1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1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3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1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26"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1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1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3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640"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1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1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2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95"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00" w:hRule="atLeast"/>
        </w:trPr>
        <w:tc>
          <w:tcPr>
            <w:tcW w:w="6640"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3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3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8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3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83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3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282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3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3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83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3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1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2826"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131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8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3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61" w:type="dxa"/>
            <w:gridSpan w:val="1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816" w:type="dxa"/>
        <w:tblInd w:w="0" w:type="dxa"/>
        <w:shd w:val="clear" w:color="auto" w:fill="auto"/>
        <w:tblLayout w:type="fixed"/>
        <w:tblCellMar>
          <w:top w:w="0" w:type="dxa"/>
          <w:left w:w="0" w:type="dxa"/>
          <w:bottom w:w="0" w:type="dxa"/>
          <w:right w:w="0" w:type="dxa"/>
        </w:tblCellMar>
      </w:tblPr>
      <w:tblGrid>
        <w:gridCol w:w="3544"/>
        <w:gridCol w:w="257"/>
        <w:gridCol w:w="1339"/>
        <w:gridCol w:w="3144"/>
        <w:gridCol w:w="257"/>
        <w:gridCol w:w="1224"/>
        <w:gridCol w:w="2086"/>
        <w:gridCol w:w="1965"/>
      </w:tblGrid>
      <w:tr>
        <w:tblPrEx>
          <w:shd w:val="clear" w:color="auto" w:fill="auto"/>
          <w:tblLayout w:type="fixed"/>
          <w:tblCellMar>
            <w:top w:w="0" w:type="dxa"/>
            <w:left w:w="0" w:type="dxa"/>
            <w:bottom w:w="0" w:type="dxa"/>
            <w:right w:w="0" w:type="dxa"/>
          </w:tblCellMar>
        </w:tblPrEx>
        <w:trPr>
          <w:trHeight w:val="375" w:hRule="atLeast"/>
        </w:trPr>
        <w:tc>
          <w:tcPr>
            <w:tcW w:w="13816" w:type="dxa"/>
            <w:gridSpan w:val="8"/>
            <w:vMerge w:val="restart"/>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trPr>
        <w:tc>
          <w:tcPr>
            <w:tcW w:w="13816" w:type="dxa"/>
            <w:gridSpan w:val="8"/>
            <w:vMerge w:val="continue"/>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33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1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8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65"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35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25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3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1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5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8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965"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140"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676"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trPr>
        <w:tc>
          <w:tcPr>
            <w:tcW w:w="3544"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5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3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4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5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24"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8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96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trPr>
        <w:tc>
          <w:tcPr>
            <w:tcW w:w="3544"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2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3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jc w:val="both"/>
              <w:rPr>
                <w:rFonts w:hint="eastAsia" w:ascii="宋体" w:hAnsi="宋体" w:eastAsia="宋体" w:cs="宋体"/>
                <w:i w:val="0"/>
                <w:color w:val="000000"/>
                <w:sz w:val="20"/>
                <w:szCs w:val="20"/>
                <w:u w:val="none"/>
              </w:rPr>
            </w:pPr>
          </w:p>
        </w:tc>
        <w:tc>
          <w:tcPr>
            <w:tcW w:w="25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24"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8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6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3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8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6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44"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3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314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5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208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196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16"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r>
        <w:tblPrEx>
          <w:tblLayout w:type="fixed"/>
          <w:tblCellMar>
            <w:top w:w="0" w:type="dxa"/>
            <w:left w:w="0" w:type="dxa"/>
            <w:bottom w:w="0" w:type="dxa"/>
            <w:right w:w="0" w:type="dxa"/>
          </w:tblCellMar>
        </w:tblPrEx>
        <w:trPr>
          <w:trHeight w:val="300" w:hRule="atLeast"/>
        </w:trPr>
        <w:tc>
          <w:tcPr>
            <w:tcW w:w="13816" w:type="dxa"/>
            <w:gridSpan w:val="8"/>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784" w:type="dxa"/>
        <w:tblInd w:w="0" w:type="dxa"/>
        <w:shd w:val="clear" w:color="auto" w:fill="auto"/>
        <w:tblLayout w:type="fixed"/>
        <w:tblCellMar>
          <w:top w:w="0" w:type="dxa"/>
          <w:left w:w="0" w:type="dxa"/>
          <w:bottom w:w="0" w:type="dxa"/>
          <w:right w:w="0" w:type="dxa"/>
        </w:tblCellMar>
      </w:tblPr>
      <w:tblGrid>
        <w:gridCol w:w="3550"/>
        <w:gridCol w:w="36"/>
        <w:gridCol w:w="36"/>
        <w:gridCol w:w="4232"/>
        <w:gridCol w:w="2019"/>
        <w:gridCol w:w="1996"/>
        <w:gridCol w:w="1915"/>
      </w:tblGrid>
      <w:tr>
        <w:tblPrEx>
          <w:shd w:val="clear" w:color="auto" w:fill="auto"/>
          <w:tblLayout w:type="fixed"/>
          <w:tblCellMar>
            <w:top w:w="0" w:type="dxa"/>
            <w:left w:w="0" w:type="dxa"/>
            <w:bottom w:w="0" w:type="dxa"/>
            <w:right w:w="0" w:type="dxa"/>
          </w:tblCellMar>
        </w:tblPrEx>
        <w:trPr>
          <w:trHeight w:val="375" w:hRule="atLeast"/>
        </w:trPr>
        <w:tc>
          <w:tcPr>
            <w:tcW w:w="13784"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trPr>
        <w:tc>
          <w:tcPr>
            <w:tcW w:w="13784"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3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3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1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trPr>
        <w:tc>
          <w:tcPr>
            <w:tcW w:w="35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32"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0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9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1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85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93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trPr>
        <w:tc>
          <w:tcPr>
            <w:tcW w:w="36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232"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0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6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3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785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0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trPr>
        <w:tc>
          <w:tcPr>
            <w:tcW w:w="785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23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0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9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423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20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9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1,254,617.00</w:t>
            </w:r>
          </w:p>
        </w:tc>
        <w:tc>
          <w:tcPr>
            <w:tcW w:w="1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423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0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19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c>
          <w:tcPr>
            <w:tcW w:w="1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784"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982" w:type="dxa"/>
        <w:tblInd w:w="0" w:type="dxa"/>
        <w:shd w:val="clear" w:color="auto" w:fill="auto"/>
        <w:tblLayout w:type="fixed"/>
        <w:tblCellMar>
          <w:top w:w="0" w:type="dxa"/>
          <w:left w:w="0" w:type="dxa"/>
          <w:bottom w:w="0" w:type="dxa"/>
          <w:right w:w="0" w:type="dxa"/>
        </w:tblCellMar>
      </w:tblPr>
      <w:tblGrid>
        <w:gridCol w:w="916"/>
        <w:gridCol w:w="2873"/>
        <w:gridCol w:w="831"/>
        <w:gridCol w:w="623"/>
        <w:gridCol w:w="2474"/>
        <w:gridCol w:w="1610"/>
        <w:gridCol w:w="716"/>
        <w:gridCol w:w="3115"/>
        <w:gridCol w:w="824"/>
      </w:tblGrid>
      <w:tr>
        <w:tblPrEx>
          <w:shd w:val="clear" w:color="auto" w:fill="auto"/>
          <w:tblLayout w:type="fixed"/>
          <w:tblCellMar>
            <w:top w:w="0" w:type="dxa"/>
            <w:left w:w="0" w:type="dxa"/>
            <w:bottom w:w="0" w:type="dxa"/>
            <w:right w:w="0" w:type="dxa"/>
          </w:tblCellMar>
        </w:tblPrEx>
        <w:trPr>
          <w:trHeight w:val="375" w:hRule="atLeast"/>
        </w:trPr>
        <w:tc>
          <w:tcPr>
            <w:tcW w:w="13982" w:type="dxa"/>
            <w:gridSpan w:val="9"/>
            <w:vMerge w:val="restart"/>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13982" w:type="dxa"/>
            <w:gridSpan w:val="9"/>
            <w:vMerge w:val="continue"/>
            <w:tcBorders>
              <w:top w:val="nil"/>
              <w:left w:val="nil"/>
              <w:bottom w:val="nil"/>
              <w:right w:val="nil"/>
            </w:tcBorders>
            <w:shd w:val="clear" w:color="auto" w:fill="FFFFFF"/>
            <w:noWrap/>
            <w:tcMar>
              <w:top w:w="12" w:type="dxa"/>
              <w:left w:w="12" w:type="dxa"/>
              <w:right w:w="12"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91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87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2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7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1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1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939" w:type="dxa"/>
            <w:gridSpan w:val="2"/>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3789"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8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2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47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61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1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939"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4620"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62" w:type="dxa"/>
            <w:gridSpan w:val="6"/>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916"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87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3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2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7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1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1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11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2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916"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7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2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7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1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1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1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1,218,767.00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10,780.00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54,590.00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35,850.00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35,850.00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71,969.50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51,916.00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6,782.00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1,016,744.20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4,767.30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16"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87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47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61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1,182.00</w:t>
            </w:r>
          </w:p>
        </w:tc>
        <w:tc>
          <w:tcPr>
            <w:tcW w:w="71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1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789"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8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538"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8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1,254,617.00</w:t>
            </w:r>
          </w:p>
        </w:tc>
      </w:tr>
      <w:tr>
        <w:tblPrEx>
          <w:tblLayout w:type="fixed"/>
          <w:tblCellMar>
            <w:top w:w="0" w:type="dxa"/>
            <w:left w:w="0" w:type="dxa"/>
            <w:bottom w:w="0" w:type="dxa"/>
            <w:right w:w="0" w:type="dxa"/>
          </w:tblCellMar>
        </w:tblPrEx>
        <w:trPr>
          <w:trHeight w:val="300" w:hRule="atLeast"/>
        </w:trPr>
        <w:tc>
          <w:tcPr>
            <w:tcW w:w="13982"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911" w:type="dxa"/>
        <w:tblInd w:w="0" w:type="dxa"/>
        <w:shd w:val="clear" w:color="auto" w:fill="auto"/>
        <w:tblLayout w:type="fixed"/>
        <w:tblCellMar>
          <w:top w:w="0" w:type="dxa"/>
          <w:left w:w="0" w:type="dxa"/>
          <w:bottom w:w="0" w:type="dxa"/>
          <w:right w:w="0" w:type="dxa"/>
        </w:tblCellMar>
      </w:tblPr>
      <w:tblGrid>
        <w:gridCol w:w="2650"/>
        <w:gridCol w:w="1615"/>
        <w:gridCol w:w="571"/>
        <w:gridCol w:w="1068"/>
        <w:gridCol w:w="1050"/>
        <w:gridCol w:w="1153"/>
        <w:gridCol w:w="808"/>
        <w:gridCol w:w="900"/>
        <w:gridCol w:w="669"/>
        <w:gridCol w:w="1096"/>
        <w:gridCol w:w="1108"/>
        <w:gridCol w:w="1223"/>
      </w:tblGrid>
      <w:tr>
        <w:tblPrEx>
          <w:shd w:val="clear" w:color="auto" w:fill="auto"/>
          <w:tblLayout w:type="fixed"/>
          <w:tblCellMar>
            <w:top w:w="0" w:type="dxa"/>
            <w:left w:w="0" w:type="dxa"/>
            <w:bottom w:w="0" w:type="dxa"/>
            <w:right w:w="0" w:type="dxa"/>
          </w:tblCellMar>
        </w:tblPrEx>
        <w:trPr>
          <w:trHeight w:val="375" w:hRule="atLeast"/>
        </w:trPr>
        <w:tc>
          <w:tcPr>
            <w:tcW w:w="13911" w:type="dxa"/>
            <w:gridSpan w:val="12"/>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trPr>
        <w:tc>
          <w:tcPr>
            <w:tcW w:w="13911" w:type="dxa"/>
            <w:gridSpan w:val="12"/>
            <w:vMerge w:val="continue"/>
            <w:tcBorders>
              <w:top w:val="nil"/>
              <w:left w:val="nil"/>
              <w:bottom w:val="nil"/>
              <w:right w:val="nil"/>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2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trPr>
        <w:tc>
          <w:tcPr>
            <w:tcW w:w="426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57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80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31"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8107"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5804"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265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689"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8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873"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2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265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6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5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9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0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2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65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7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6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0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9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0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2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2650"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1"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6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51,916.00</w:t>
            </w:r>
          </w:p>
        </w:tc>
        <w:tc>
          <w:tcPr>
            <w:tcW w:w="9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51,916.00</w:t>
            </w:r>
          </w:p>
        </w:tc>
      </w:tr>
      <w:tr>
        <w:tblPrEx>
          <w:tblLayout w:type="fixed"/>
          <w:tblCellMar>
            <w:top w:w="0" w:type="dxa"/>
            <w:left w:w="0" w:type="dxa"/>
            <w:bottom w:w="0" w:type="dxa"/>
            <w:right w:w="0" w:type="dxa"/>
          </w:tblCellMar>
        </w:tblPrEx>
        <w:trPr>
          <w:trHeight w:val="600" w:hRule="atLeast"/>
        </w:trPr>
        <w:tc>
          <w:tcPr>
            <w:tcW w:w="13911"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黄石市黄石港区招商服务中心</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sectPr>
          <w:pgSz w:w="16838" w:h="11906" w:orient="landscape"/>
          <w:pgMar w:top="1800" w:right="1440" w:bottom="1800" w:left="1440" w:header="851" w:footer="992" w:gutter="0"/>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第三部分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lang w:eastAsia="zh-CN"/>
        </w:rPr>
        <w:t>2019年</w:t>
      </w:r>
      <w:r>
        <w:rPr>
          <w:rStyle w:val="8"/>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sz w:val="28"/>
          <w:szCs w:val="28"/>
        </w:rPr>
        <w:t>（一）预算执行情况分析</w:t>
      </w:r>
    </w:p>
    <w:p>
      <w:pPr>
        <w:widowControl/>
        <w:shd w:val="clear" w:color="auto" w:fill="FFFFFF"/>
        <w:spacing w:line="580" w:lineRule="exact"/>
        <w:ind w:firstLine="480"/>
        <w:jc w:val="left"/>
        <w:rPr>
          <w:rFonts w:hint="eastAsia" w:ascii="仿宋" w:hAnsi="仿宋" w:eastAsia="仿宋" w:cs="仿宋"/>
          <w:sz w:val="28"/>
          <w:szCs w:val="28"/>
          <w:lang w:eastAsia="zh-CN"/>
        </w:rPr>
      </w:pPr>
      <w:r>
        <w:rPr>
          <w:rFonts w:hint="eastAsia" w:ascii="仿宋" w:hAnsi="仿宋" w:eastAsia="仿宋" w:cs="仿宋"/>
          <w:sz w:val="28"/>
          <w:szCs w:val="28"/>
        </w:rPr>
        <w:t>2019年财政收入预算执行数1254617元，其中人员经费0元，公用经费1254617元</w:t>
      </w:r>
      <w:r>
        <w:rPr>
          <w:rFonts w:hint="eastAsia" w:ascii="仿宋" w:hAnsi="仿宋" w:eastAsia="仿宋" w:cs="仿宋"/>
          <w:sz w:val="28"/>
          <w:szCs w:val="28"/>
          <w:lang w:eastAsia="zh-CN"/>
        </w:rPr>
        <w:t>。</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1．收入支出与预算对比分析。</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2019年全年总收入1254617元,其中财拨款决算收入1254617元,其它收入0元, 2019年全年决算总支出1254617元,其中财拨款决算支出1254617元,其它资金支出0元,2019年财政预算数1254617，财拨款决算比预算多0元,幅度为0%。</w:t>
      </w:r>
    </w:p>
    <w:p>
      <w:pPr>
        <w:widowControl/>
        <w:numPr>
          <w:ilvl w:val="0"/>
          <w:numId w:val="1"/>
        </w:numPr>
        <w:shd w:val="clear" w:color="auto" w:fill="FFFFFF"/>
        <w:spacing w:line="580" w:lineRule="exact"/>
        <w:ind w:firstLine="48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收入支出结构分析</w:t>
      </w:r>
    </w:p>
    <w:p>
      <w:pPr>
        <w:widowControl/>
        <w:numPr>
          <w:ilvl w:val="0"/>
          <w:numId w:val="0"/>
        </w:numPr>
        <w:shd w:val="clear" w:color="auto" w:fill="FFFFFF"/>
        <w:spacing w:line="58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 xml:space="preserve">2019年全年总收入1254617元,其中财拨款决算收入1254617元,其它收入0元, </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2019年全年决算总支出1254617元,其中财拨款决算支1254617元,其它资金支出0元.支出按以下分类说明：</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支出功能分类：决算总支1254617出元;一般公共服务支出1254617元。</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 xml:space="preserve">支出性质分类：决算总支出1254617元，其中人员经费0元，公用经费1254617元; </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支出经济分类：决算总支出1254617元，其中工资福利支出0元，商品服务支出1218767元，对个人和家庭的补助支出0元，资本性支出35850元。</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sz w:val="28"/>
          <w:szCs w:val="28"/>
        </w:rPr>
        <w:t>（二）关于“三公”经费支出说明</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2019年“三公”经费决算总支出0元，其中：</w:t>
      </w:r>
      <w:r>
        <w:rPr>
          <w:rFonts w:hint="eastAsia" w:ascii="仿宋_GB2312" w:hAnsi="宋体" w:eastAsia="仿宋_GB2312"/>
          <w:color w:val="FF6600"/>
          <w:sz w:val="32"/>
          <w:szCs w:val="32"/>
        </w:rPr>
        <w:t xml:space="preserve"> </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公务车运行维护费0元，年初预算数0元，决算数比预算数减少0元，减少幅度为0；</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公务接待费51961元，年初预算数0元，决算数比预算数增加0元，增长幅度为100</w:t>
      </w:r>
      <w:r>
        <w:rPr>
          <w:rFonts w:hint="eastAsia" w:ascii="仿宋_GB2312" w:hAnsi="宋体" w:eastAsia="仿宋_GB2312"/>
          <w:sz w:val="32"/>
          <w:szCs w:val="32"/>
          <w:lang w:val="en-US" w:eastAsia="zh-CN"/>
        </w:rPr>
        <w:t>%</w:t>
      </w:r>
      <w:r>
        <w:rPr>
          <w:rFonts w:hint="eastAsia" w:ascii="仿宋_GB2312" w:hAnsi="宋体" w:eastAsia="仿宋_GB2312"/>
          <w:sz w:val="32"/>
          <w:szCs w:val="32"/>
        </w:rPr>
        <w:t>；商务接待45批次，269人。</w:t>
      </w:r>
    </w:p>
    <w:p>
      <w:pPr>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因公出国（境）费0元，预算数0元，决算数比预算数增加0元，增长幅度为0%；</w:t>
      </w:r>
    </w:p>
    <w:p>
      <w:pPr>
        <w:widowControl/>
        <w:shd w:val="clear" w:color="auto" w:fill="FFFFFF"/>
        <w:spacing w:line="580" w:lineRule="exact"/>
        <w:jc w:val="left"/>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（三）关于机关运行经费支出说明</w:t>
      </w:r>
    </w:p>
    <w:p>
      <w:pPr>
        <w:widowControl/>
        <w:ind w:firstLine="640" w:firstLineChars="200"/>
        <w:rPr>
          <w:rFonts w:hint="eastAsia" w:ascii="仿宋_GB2312" w:hAnsi="宋体" w:eastAsia="仿宋_GB2312"/>
          <w:spacing w:val="2"/>
          <w:sz w:val="32"/>
          <w:szCs w:val="32"/>
        </w:rPr>
      </w:pPr>
      <w:r>
        <w:rPr>
          <w:rFonts w:hint="eastAsia" w:ascii="仿宋_GB2312" w:hAnsi="宋体" w:eastAsia="仿宋_GB2312"/>
          <w:sz w:val="32"/>
          <w:szCs w:val="32"/>
        </w:rPr>
        <w:t>2019年机关运行经费支出</w:t>
      </w:r>
      <w:r>
        <w:rPr>
          <w:rFonts w:hint="eastAsia" w:ascii="仿宋_GB2312" w:hAnsi="宋体" w:eastAsia="仿宋_GB2312"/>
          <w:color w:val="000000"/>
          <w:spacing w:val="2"/>
          <w:sz w:val="32"/>
          <w:szCs w:val="32"/>
        </w:rPr>
        <w:t>1254617</w:t>
      </w:r>
      <w:r>
        <w:rPr>
          <w:rFonts w:hint="eastAsia" w:ascii="仿宋_GB2312" w:hAnsi="宋体" w:eastAsia="仿宋_GB2312"/>
          <w:sz w:val="32"/>
          <w:szCs w:val="32"/>
        </w:rPr>
        <w:t>元</w:t>
      </w:r>
      <w:r>
        <w:rPr>
          <w:rFonts w:hint="eastAsia" w:ascii="仿宋_GB2312" w:hAnsi="宋体" w:eastAsia="仿宋_GB2312"/>
          <w:spacing w:val="2"/>
          <w:sz w:val="32"/>
          <w:szCs w:val="32"/>
        </w:rPr>
        <w:t>。</w:t>
      </w:r>
    </w:p>
    <w:p>
      <w:pPr>
        <w:widowControl/>
        <w:shd w:val="clear" w:color="auto" w:fill="FFFFFF"/>
        <w:spacing w:line="580" w:lineRule="exact"/>
        <w:jc w:val="left"/>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（四）关于政府采购支出说明</w:t>
      </w:r>
    </w:p>
    <w:p>
      <w:pPr>
        <w:widowControl/>
        <w:shd w:val="clear" w:color="auto" w:fill="FFFFFF"/>
        <w:spacing w:line="580" w:lineRule="exact"/>
        <w:jc w:val="left"/>
        <w:rPr>
          <w:rFonts w:hint="eastAsia" w:ascii="仿宋" w:hAnsi="仿宋" w:eastAsia="仿宋" w:cs="仿宋"/>
          <w:sz w:val="28"/>
          <w:szCs w:val="28"/>
        </w:rPr>
      </w:pPr>
      <w:r>
        <w:rPr>
          <w:rFonts w:hint="eastAsia" w:ascii="仿宋" w:hAnsi="仿宋" w:eastAsia="仿宋" w:cs="仿宋"/>
          <w:sz w:val="28"/>
          <w:szCs w:val="28"/>
        </w:rPr>
        <w:t>2019年政府采购总支出35850元，其中政府采购货物支出35850元，政府采购工程支出0元，政府采购服务支出0元。</w:t>
      </w:r>
    </w:p>
    <w:p>
      <w:pPr>
        <w:widowControl/>
        <w:shd w:val="clear" w:color="auto" w:fill="FFFFFF"/>
        <w:spacing w:line="580" w:lineRule="exact"/>
        <w:jc w:val="left"/>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（五）关于国有资产占用情况说明</w:t>
      </w:r>
    </w:p>
    <w:p>
      <w:pPr>
        <w:pStyle w:val="10"/>
        <w:spacing w:line="580" w:lineRule="exact"/>
        <w:rPr>
          <w:rFonts w:hint="eastAsia" w:eastAsia="仿宋" w:cs="仿宋"/>
          <w:sz w:val="28"/>
          <w:szCs w:val="28"/>
        </w:rPr>
      </w:pPr>
      <w:r>
        <w:rPr>
          <w:rFonts w:hint="eastAsia" w:eastAsia="仿宋" w:cs="仿宋"/>
          <w:sz w:val="28"/>
          <w:szCs w:val="28"/>
        </w:rPr>
        <w:t xml:space="preserve">截至2019年12月31日，本单位共有车辆0辆，其中领导干部用车0辆，一般公务用车0辆，一般执法执勤用车0辆，特种专业技术用车0辆，其它用车0辆。  </w:t>
      </w:r>
    </w:p>
    <w:p>
      <w:pPr>
        <w:widowControl/>
        <w:shd w:val="clear" w:color="auto" w:fill="FFFFFF"/>
        <w:spacing w:line="580" w:lineRule="exact"/>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（六）重点绩效评价结果等预算绩效情况说明</w:t>
      </w:r>
    </w:p>
    <w:p>
      <w:pPr>
        <w:pStyle w:val="10"/>
        <w:spacing w:line="540" w:lineRule="exact"/>
        <w:ind w:firstLine="560" w:firstLineChars="200"/>
        <w:rPr>
          <w:rFonts w:hint="eastAsia" w:asciiTheme="minorEastAsia" w:hAnsiTheme="minorEastAsia" w:eastAsiaTheme="minorEastAsia" w:cstheme="minorEastAsia"/>
          <w:sz w:val="28"/>
          <w:szCs w:val="28"/>
          <w:highlight w:val="none"/>
          <w:lang w:eastAsia="zh-CN"/>
        </w:rPr>
      </w:pPr>
      <w:r>
        <w:rPr>
          <w:rFonts w:hint="eastAsia" w:eastAsia="仿宋" w:cs="仿宋"/>
          <w:sz w:val="28"/>
          <w:szCs w:val="28"/>
          <w:lang w:val="en-US" w:eastAsia="zh-CN"/>
        </w:rPr>
        <w:t>2019年， 根据预算绩效管理要求，我单位组织2019年度一般公共预算项目支出全面开展绩效自评，共涉及项目0个，资金0万元。 2019年项目资金投入0万元，已使用0万元。使用从评价结果看，项目立项程序完整、规范，预算执行及时、有效，绩效目标得到较好实现，绩效管理水平不断提高，绩效指标体系建设逐渐丰富和完善。</w:t>
      </w:r>
    </w:p>
    <w:p>
      <w:pPr>
        <w:pStyle w:val="10"/>
        <w:spacing w:line="580" w:lineRule="exact"/>
        <w:rPr>
          <w:rFonts w:hint="eastAsia" w:eastAsia="仿宋" w:cs="仿宋"/>
          <w:sz w:val="28"/>
          <w:szCs w:val="28"/>
        </w:rPr>
      </w:pPr>
    </w:p>
    <w:p>
      <w:pPr>
        <w:pStyle w:val="10"/>
        <w:spacing w:line="580" w:lineRule="exact"/>
        <w:rPr>
          <w:rFonts w:hint="eastAsia" w:eastAsia="仿宋" w:cs="仿宋"/>
          <w:sz w:val="28"/>
          <w:szCs w:val="28"/>
        </w:rPr>
      </w:pPr>
    </w:p>
    <w:p>
      <w:pPr>
        <w:pStyle w:val="10"/>
        <w:spacing w:line="580" w:lineRule="exact"/>
        <w:rPr>
          <w:rFonts w:hint="eastAsia" w:eastAsia="仿宋" w:cs="仿宋"/>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bookmarkStart w:id="0" w:name="_GoBack"/>
      <w:bookmarkEnd w:id="0"/>
      <w:r>
        <w:rPr>
          <w:rStyle w:val="8"/>
          <w:rFonts w:hint="eastAsia" w:ascii="微软雅黑" w:hAnsi="微软雅黑" w:eastAsia="微软雅黑" w:cs="微软雅黑"/>
          <w:i w:val="0"/>
          <w:caps w:val="0"/>
          <w:color w:val="333333"/>
          <w:spacing w:val="0"/>
          <w:sz w:val="24"/>
          <w:szCs w:val="24"/>
          <w:shd w:val="clear" w:fill="FFFFFF"/>
        </w:rPr>
        <w:t>第四部分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名词解释</w:t>
      </w:r>
    </w:p>
    <w:p>
      <w:pPr>
        <w:ind w:firstLine="810" w:firstLineChars="250"/>
        <w:rPr>
          <w:rFonts w:hint="eastAsia" w:ascii="仿宋_GB2312" w:hAnsi="宋体" w:eastAsia="仿宋_GB2312"/>
          <w:spacing w:val="2"/>
          <w:sz w:val="32"/>
          <w:szCs w:val="32"/>
        </w:rPr>
      </w:pPr>
      <w:r>
        <w:rPr>
          <w:rFonts w:hint="eastAsia" w:ascii="仿宋_GB2312" w:hAnsi="宋体" w:eastAsia="仿宋_GB2312"/>
          <w:spacing w:val="2"/>
          <w:sz w:val="32"/>
          <w:szCs w:val="32"/>
        </w:rPr>
        <w:t>（一）财政拨款（补助）：指省级财政当年拨付的资金。</w:t>
      </w:r>
    </w:p>
    <w:p>
      <w:pPr>
        <w:ind w:firstLine="810" w:firstLineChars="25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（二）事业收入：指事业单位开展专业业务活动及其辅助活动取得的收入。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xml:space="preserve">　　 （三）其他收入：指预算单位在“财政拨款补助收入”、“事业收入”、“经营收入”以外取得的收入。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xml:space="preserve">　　 （四）上年结转：指以前年度尚未完成、结转到本年仍按原规定用途继续使用的资金。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xml:space="preserve">　　 （五）基本支出：指为保障机构正常运转、完成日常工作任务而发生的人员支出和公用支出。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（六）项目支出：指为完成特定的行政工作任务或事业发展目标，在基本支出之外发生的各项支出。</w:t>
      </w:r>
    </w:p>
    <w:p>
      <w:pPr>
        <w:ind w:firstLine="810" w:firstLineChars="250"/>
        <w:rPr>
          <w:rFonts w:hint="eastAsia" w:ascii="仿宋_GB2312" w:hAnsi="宋体" w:eastAsia="仿宋_GB2312"/>
          <w:color w:val="000000"/>
          <w:spacing w:val="2"/>
          <w:sz w:val="32"/>
          <w:szCs w:val="32"/>
        </w:rPr>
      </w:pPr>
      <w:r>
        <w:rPr>
          <w:rFonts w:hint="eastAsia" w:ascii="仿宋_GB2312" w:hAnsi="宋体" w:eastAsia="仿宋_GB2312"/>
          <w:spacing w:val="2"/>
          <w:sz w:val="32"/>
          <w:szCs w:val="32"/>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w:t>
      </w:r>
      <w:r>
        <w:rPr>
          <w:rFonts w:hint="eastAsia" w:ascii="仿宋_GB2312" w:hAnsi="宋体" w:eastAsia="仿宋_GB2312"/>
          <w:color w:val="000000"/>
          <w:spacing w:val="2"/>
          <w:sz w:val="32"/>
          <w:szCs w:val="32"/>
        </w:rPr>
        <w:t>购置及租用费、燃料费、维修费、过路过桥费、保险费、安全奖励费用等支出。</w:t>
      </w:r>
    </w:p>
    <w:p>
      <w:pPr>
        <w:ind w:firstLine="972" w:firstLineChars="3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（八）行政运行（项）：指机关和实行公务员法管理事业单位用于保障机构正常运转的基本支出。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4F6F"/>
    <w:multiLevelType w:val="singleLevel"/>
    <w:tmpl w:val="702B4F6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0ADA2DD8"/>
    <w:rsid w:val="22D64CA6"/>
    <w:rsid w:val="255E033E"/>
    <w:rsid w:val="2CCE2491"/>
    <w:rsid w:val="31BC7A71"/>
    <w:rsid w:val="3A9208F5"/>
    <w:rsid w:val="3BCD7850"/>
    <w:rsid w:val="3D2D3053"/>
    <w:rsid w:val="405A0E84"/>
    <w:rsid w:val="42D5652A"/>
    <w:rsid w:val="44316A8F"/>
    <w:rsid w:val="551B19CB"/>
    <w:rsid w:val="5FC43B61"/>
    <w:rsid w:val="628A3D4D"/>
    <w:rsid w:val="6AF86D0C"/>
    <w:rsid w:val="6CF47E1D"/>
    <w:rsid w:val="6D6A3822"/>
    <w:rsid w:val="746766E2"/>
    <w:rsid w:val="78186405"/>
    <w:rsid w:val="79076A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1">
    <w:name w:val="ca-2"/>
    <w:basedOn w:val="7"/>
    <w:qFormat/>
    <w:uiPriority w:val="0"/>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2021-05-26T08:27:51Z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