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招商</w:t>
      </w:r>
      <w:r>
        <w:rPr>
          <w:rFonts w:hint="eastAsia" w:ascii="微软雅黑" w:hAnsi="微软雅黑" w:eastAsia="微软雅黑" w:cs="微软雅黑"/>
          <w:b/>
          <w:i w:val="0"/>
          <w:caps w:val="0"/>
          <w:color w:val="BC1010"/>
          <w:spacing w:val="0"/>
          <w:sz w:val="40"/>
          <w:szCs w:val="40"/>
          <w:shd w:val="clear" w:fill="FFFFFF"/>
          <w:lang w:val="en-US" w:eastAsia="zh-CN"/>
        </w:rPr>
        <w:t>服务中心</w:t>
      </w:r>
      <w:r>
        <w:rPr>
          <w:rFonts w:hint="eastAsia" w:ascii="微软雅黑" w:hAnsi="微软雅黑" w:eastAsia="微软雅黑" w:cs="微软雅黑"/>
          <w:b/>
          <w:i w:val="0"/>
          <w:caps w:val="0"/>
          <w:color w:val="BC1010"/>
          <w:spacing w:val="0"/>
          <w:sz w:val="40"/>
          <w:szCs w:val="40"/>
          <w:shd w:val="clear" w:fill="FFFFFF"/>
          <w:lang w:eastAsia="zh-CN"/>
        </w:rPr>
        <w:t>20</w:t>
      </w:r>
      <w:r>
        <w:rPr>
          <w:rFonts w:hint="eastAsia" w:ascii="微软雅黑" w:hAnsi="微软雅黑" w:eastAsia="微软雅黑" w:cs="微软雅黑"/>
          <w:b/>
          <w:i w:val="0"/>
          <w:caps w:val="0"/>
          <w:color w:val="BC1010"/>
          <w:spacing w:val="0"/>
          <w:sz w:val="40"/>
          <w:szCs w:val="40"/>
          <w:shd w:val="clear" w:fill="FFFFFF"/>
          <w:lang w:val="en-US" w:eastAsia="zh-CN"/>
        </w:rPr>
        <w:t>20</w:t>
      </w:r>
      <w:r>
        <w:rPr>
          <w:rFonts w:hint="eastAsia" w:ascii="微软雅黑" w:hAnsi="微软雅黑" w:eastAsia="微软雅黑" w:cs="微软雅黑"/>
          <w:b/>
          <w:i w:val="0"/>
          <w:caps w:val="0"/>
          <w:color w:val="BC1010"/>
          <w:spacing w:val="0"/>
          <w:sz w:val="40"/>
          <w:szCs w:val="40"/>
          <w:shd w:val="clear" w:fill="FFFFFF"/>
          <w:lang w:eastAsia="zh-CN"/>
        </w:rPr>
        <w:t>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黄石港区招商</w:t>
      </w:r>
      <w:r>
        <w:rPr>
          <w:rStyle w:val="8"/>
          <w:rFonts w:hint="eastAsia" w:ascii="微软雅黑" w:hAnsi="微软雅黑" w:eastAsia="微软雅黑" w:cs="微软雅黑"/>
          <w:i w:val="0"/>
          <w:caps w:val="0"/>
          <w:color w:val="333333"/>
          <w:spacing w:val="0"/>
          <w:sz w:val="24"/>
          <w:szCs w:val="24"/>
          <w:shd w:val="clear" w:fill="FFFFFF"/>
          <w:lang w:val="en-US" w:eastAsia="zh-CN"/>
        </w:rPr>
        <w:t>服务中心</w:t>
      </w:r>
      <w:r>
        <w:rPr>
          <w:rStyle w:val="8"/>
          <w:rFonts w:hint="eastAsia" w:ascii="微软雅黑" w:hAnsi="微软雅黑" w:eastAsia="微软雅黑" w:cs="微软雅黑"/>
          <w:i w:val="0"/>
          <w:caps w:val="0"/>
          <w:color w:val="333333"/>
          <w:spacing w:val="0"/>
          <w:sz w:val="24"/>
          <w:szCs w:val="24"/>
          <w:shd w:val="clear" w:fill="FFFFFF"/>
          <w:lang w:eastAsia="zh-CN"/>
        </w:rPr>
        <w:t>20</w:t>
      </w:r>
      <w:r>
        <w:rPr>
          <w:rStyle w:val="8"/>
          <w:rFonts w:hint="eastAsia" w:ascii="微软雅黑" w:hAnsi="微软雅黑" w:eastAsia="微软雅黑" w:cs="微软雅黑"/>
          <w:i w:val="0"/>
          <w:caps w:val="0"/>
          <w:color w:val="333333"/>
          <w:spacing w:val="0"/>
          <w:sz w:val="24"/>
          <w:szCs w:val="24"/>
          <w:shd w:val="clear" w:fill="FFFFFF"/>
          <w:lang w:val="en-US" w:eastAsia="zh-CN"/>
        </w:rPr>
        <w:t>20</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第一部分:部门基本情况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 部门</w:t>
      </w:r>
      <w:r>
        <w:rPr>
          <w:rFonts w:hint="eastAsia" w:ascii="微软雅黑" w:hAnsi="微软雅黑" w:eastAsia="微软雅黑" w:cs="微软雅黑"/>
          <w:b w:val="0"/>
          <w:i w:val="0"/>
          <w:caps w:val="0"/>
          <w:color w:val="333333"/>
          <w:spacing w:val="0"/>
          <w:sz w:val="24"/>
          <w:szCs w:val="24"/>
          <w:shd w:val="clear" w:fill="FFFFFF"/>
          <w:lang w:eastAsia="zh-CN"/>
        </w:rPr>
        <w:t>20</w:t>
      </w:r>
      <w:r>
        <w:rPr>
          <w:rFonts w:hint="eastAsia" w:ascii="微软雅黑" w:hAnsi="微软雅黑" w:eastAsia="微软雅黑" w:cs="微软雅黑"/>
          <w:b w:val="0"/>
          <w:i w:val="0"/>
          <w:caps w:val="0"/>
          <w:color w:val="333333"/>
          <w:spacing w:val="0"/>
          <w:sz w:val="24"/>
          <w:szCs w:val="24"/>
          <w:shd w:val="clear" w:fill="FFFFFF"/>
          <w:lang w:val="en-US" w:eastAsia="zh-CN"/>
        </w:rPr>
        <w:t>20</w:t>
      </w:r>
      <w:r>
        <w:rPr>
          <w:rFonts w:hint="eastAsia" w:ascii="微软雅黑" w:hAnsi="微软雅黑" w:eastAsia="微软雅黑" w:cs="微软雅黑"/>
          <w:b w:val="0"/>
          <w:i w:val="0"/>
          <w:caps w:val="0"/>
          <w:color w:val="333333"/>
          <w:spacing w:val="0"/>
          <w:sz w:val="24"/>
          <w:szCs w:val="24"/>
          <w:shd w:val="clear" w:fill="FFFFFF"/>
          <w:lang w:eastAsia="zh-CN"/>
        </w:rPr>
        <w:t>年</w:t>
      </w:r>
      <w:r>
        <w:rPr>
          <w:rFonts w:hint="eastAsia" w:ascii="微软雅黑" w:hAnsi="微软雅黑" w:eastAsia="微软雅黑" w:cs="微软雅黑"/>
          <w:b w:val="0"/>
          <w:i w:val="0"/>
          <w:caps w:val="0"/>
          <w:color w:val="333333"/>
          <w:spacing w:val="0"/>
          <w:sz w:val="24"/>
          <w:szCs w:val="24"/>
          <w:shd w:val="clear" w:fill="FFFFFF"/>
        </w:rPr>
        <w:t>部门决算表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w:t>
      </w:r>
      <w:r>
        <w:rPr>
          <w:rFonts w:hint="eastAsia" w:ascii="微软雅黑" w:hAnsi="微软雅黑" w:eastAsia="微软雅黑" w:cs="微软雅黑"/>
          <w:b w:val="0"/>
          <w:i w:val="0"/>
          <w:caps w:val="0"/>
          <w:color w:val="333333"/>
          <w:spacing w:val="0"/>
          <w:sz w:val="24"/>
          <w:szCs w:val="24"/>
          <w:shd w:val="clear" w:fill="FFFFFF"/>
          <w:lang w:eastAsia="zh-CN"/>
        </w:rPr>
        <w:t>20</w:t>
      </w:r>
      <w:r>
        <w:rPr>
          <w:rFonts w:hint="eastAsia" w:ascii="微软雅黑" w:hAnsi="微软雅黑" w:eastAsia="微软雅黑" w:cs="微软雅黑"/>
          <w:b w:val="0"/>
          <w:i w:val="0"/>
          <w:caps w:val="0"/>
          <w:color w:val="333333"/>
          <w:spacing w:val="0"/>
          <w:sz w:val="24"/>
          <w:szCs w:val="24"/>
          <w:shd w:val="clear" w:fill="FFFFFF"/>
          <w:lang w:val="en-US" w:eastAsia="zh-CN"/>
        </w:rPr>
        <w:t>20</w:t>
      </w:r>
      <w:r>
        <w:rPr>
          <w:rFonts w:hint="eastAsia" w:ascii="微软雅黑" w:hAnsi="微软雅黑" w:eastAsia="微软雅黑" w:cs="微软雅黑"/>
          <w:b w:val="0"/>
          <w:i w:val="0"/>
          <w:caps w:val="0"/>
          <w:color w:val="333333"/>
          <w:spacing w:val="0"/>
          <w:sz w:val="24"/>
          <w:szCs w:val="24"/>
          <w:shd w:val="clear" w:fill="FFFFFF"/>
          <w:lang w:eastAsia="zh-CN"/>
        </w:rPr>
        <w:t>年</w:t>
      </w:r>
      <w:r>
        <w:rPr>
          <w:rFonts w:hint="eastAsia" w:ascii="微软雅黑" w:hAnsi="微软雅黑" w:eastAsia="微软雅黑" w:cs="微软雅黑"/>
          <w:b w:val="0"/>
          <w:i w:val="0"/>
          <w:caps w:val="0"/>
          <w:color w:val="333333"/>
          <w:spacing w:val="0"/>
          <w:sz w:val="24"/>
          <w:szCs w:val="24"/>
          <w:shd w:val="clear" w:fill="FFFFFF"/>
        </w:rPr>
        <w:t>部门决算情况说明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20</w:t>
      </w:r>
      <w:r>
        <w:rPr>
          <w:rStyle w:val="8"/>
          <w:rFonts w:hint="eastAsia" w:ascii="微软雅黑" w:hAnsi="微软雅黑" w:eastAsia="微软雅黑" w:cs="微软雅黑"/>
          <w:i w:val="0"/>
          <w:caps w:val="0"/>
          <w:color w:val="333333"/>
          <w:spacing w:val="0"/>
          <w:sz w:val="24"/>
          <w:szCs w:val="24"/>
          <w:shd w:val="clear" w:fill="FFFFFF"/>
          <w:lang w:val="en-US" w:eastAsia="zh-CN"/>
        </w:rPr>
        <w:t>20</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部门决算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color w:val="333333"/>
          <w:kern w:val="0"/>
          <w:sz w:val="28"/>
          <w:szCs w:val="28"/>
        </w:rPr>
        <w:t>（</w:t>
      </w:r>
      <w:r>
        <w:rPr>
          <w:rFonts w:hint="eastAsia" w:ascii="仿宋" w:hAnsi="仿宋" w:eastAsia="仿宋" w:cs="仿宋"/>
          <w:b/>
          <w:bCs/>
          <w:sz w:val="28"/>
          <w:szCs w:val="28"/>
        </w:rPr>
        <w:t>一）主要职能</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rPr>
        <w:t>黄石港区招商服务中心贯彻落实党中央关于招商服务工作的方针政策和决策部署，落实区委工作要求，在履行职责过程中坚持和加强党对招商服务工作的集中统一领导。主要职责是:</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1.</w:t>
      </w:r>
      <w:r>
        <w:rPr>
          <w:rFonts w:hint="eastAsia" w:ascii="仿宋" w:hAnsi="仿宋" w:eastAsia="仿宋" w:cs="仿宋"/>
          <w:b w:val="0"/>
          <w:bCs w:val="0"/>
          <w:color w:val="333333"/>
          <w:kern w:val="0"/>
          <w:sz w:val="28"/>
          <w:szCs w:val="28"/>
        </w:rPr>
        <w:t>负责招商引资相关政策的宣传推介，承担上级下达的各项招商引资任务。</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2.</w:t>
      </w:r>
      <w:r>
        <w:rPr>
          <w:rFonts w:hint="eastAsia" w:ascii="仿宋" w:hAnsi="仿宋" w:eastAsia="仿宋" w:cs="仿宋"/>
          <w:b w:val="0"/>
          <w:bCs w:val="0"/>
          <w:color w:val="333333"/>
          <w:kern w:val="0"/>
          <w:sz w:val="28"/>
          <w:szCs w:val="28"/>
        </w:rPr>
        <w:t>负责全区招商项目的信息收集与发布、全区招商载体资源的整合与协调，承担全区重要招商项目的商务要约、商务洽谈、对接联络、跟踪服务等招商引资相关工作。</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3.</w:t>
      </w:r>
      <w:r>
        <w:rPr>
          <w:rFonts w:hint="eastAsia" w:ascii="仿宋" w:hAnsi="仿宋" w:eastAsia="仿宋" w:cs="仿宋"/>
          <w:b w:val="0"/>
          <w:bCs w:val="0"/>
          <w:color w:val="333333"/>
          <w:kern w:val="0"/>
          <w:sz w:val="28"/>
          <w:szCs w:val="28"/>
        </w:rPr>
        <w:t>负责全区招商资源信息管理和运用，梳理和完善全区资源信息库，收集并发布招商信息，对招商信息实行网络共享、协调互通。</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4.</w:t>
      </w:r>
      <w:r>
        <w:rPr>
          <w:rFonts w:hint="eastAsia" w:ascii="仿宋" w:hAnsi="仿宋" w:eastAsia="仿宋" w:cs="仿宋"/>
          <w:b w:val="0"/>
          <w:bCs w:val="0"/>
          <w:color w:val="333333"/>
          <w:kern w:val="0"/>
          <w:sz w:val="28"/>
          <w:szCs w:val="28"/>
        </w:rPr>
        <w:t>负责全区重点招商项目的策划、宣传和推介工作。</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5.</w:t>
      </w:r>
      <w:r>
        <w:rPr>
          <w:rFonts w:hint="eastAsia" w:ascii="仿宋" w:hAnsi="仿宋" w:eastAsia="仿宋" w:cs="仿宋"/>
          <w:b w:val="0"/>
          <w:bCs w:val="0"/>
          <w:color w:val="333333"/>
          <w:kern w:val="0"/>
          <w:sz w:val="28"/>
          <w:szCs w:val="28"/>
        </w:rPr>
        <w:t>负责全面完成上级布置的各项招商引资目标任务。</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6.</w:t>
      </w:r>
      <w:r>
        <w:rPr>
          <w:rFonts w:hint="eastAsia" w:ascii="仿宋" w:hAnsi="仿宋" w:eastAsia="仿宋" w:cs="仿宋"/>
          <w:b w:val="0"/>
          <w:bCs w:val="0"/>
          <w:color w:val="333333"/>
          <w:kern w:val="0"/>
          <w:sz w:val="28"/>
          <w:szCs w:val="28"/>
        </w:rPr>
        <w:t>负责招商引资项目的落户受理认定及协调各项招商引资优惠政策的落实，配合有关单位或部门对涉及投资项目的投诉进行协调处理。</w:t>
      </w:r>
    </w:p>
    <w:p>
      <w:pPr>
        <w:widowControl/>
        <w:shd w:val="clear" w:color="auto" w:fill="FFFFFF"/>
        <w:spacing w:line="580" w:lineRule="exact"/>
        <w:ind w:firstLine="480"/>
        <w:jc w:val="left"/>
        <w:rPr>
          <w:rFonts w:hint="eastAsia" w:ascii="仿宋" w:hAnsi="仿宋" w:eastAsia="仿宋" w:cs="仿宋"/>
          <w:b w:val="0"/>
          <w:bCs w:val="0"/>
          <w:color w:val="333333"/>
          <w:kern w:val="0"/>
          <w:sz w:val="28"/>
          <w:szCs w:val="28"/>
        </w:rPr>
      </w:pPr>
      <w:r>
        <w:rPr>
          <w:rFonts w:hint="eastAsia" w:ascii="仿宋" w:hAnsi="仿宋" w:eastAsia="仿宋" w:cs="仿宋"/>
          <w:b w:val="0"/>
          <w:bCs w:val="0"/>
          <w:color w:val="333333"/>
          <w:kern w:val="0"/>
          <w:sz w:val="28"/>
          <w:szCs w:val="28"/>
          <w:lang w:val="en-US" w:eastAsia="zh-CN"/>
        </w:rPr>
        <w:t>7.</w:t>
      </w:r>
      <w:r>
        <w:rPr>
          <w:rFonts w:hint="eastAsia" w:ascii="仿宋" w:hAnsi="仿宋" w:eastAsia="仿宋" w:cs="仿宋"/>
          <w:b w:val="0"/>
          <w:bCs w:val="0"/>
          <w:color w:val="333333"/>
          <w:kern w:val="0"/>
          <w:sz w:val="28"/>
          <w:szCs w:val="28"/>
        </w:rPr>
        <w:t>完成上级交办的其他任务。</w:t>
      </w:r>
    </w:p>
    <w:p>
      <w:pPr>
        <w:widowControl/>
        <w:shd w:val="clear" w:color="auto" w:fill="FFFFFF"/>
        <w:spacing w:line="580" w:lineRule="exact"/>
        <w:ind w:firstLine="480"/>
        <w:jc w:val="left"/>
        <w:rPr>
          <w:rFonts w:hint="eastAsia" w:ascii="仿宋" w:hAnsi="仿宋" w:eastAsia="仿宋" w:cs="仿宋"/>
          <w:color w:val="000000"/>
          <w:spacing w:val="2"/>
          <w:sz w:val="28"/>
          <w:szCs w:val="28"/>
        </w:rPr>
      </w:pPr>
      <w:r>
        <w:rPr>
          <w:rFonts w:hint="eastAsia" w:ascii="仿宋" w:hAnsi="仿宋" w:eastAsia="仿宋" w:cs="仿宋"/>
          <w:b/>
          <w:bCs/>
          <w:color w:val="333333"/>
          <w:kern w:val="0"/>
          <w:sz w:val="28"/>
          <w:szCs w:val="28"/>
        </w:rPr>
        <w:t>（二</w:t>
      </w:r>
      <w:r>
        <w:rPr>
          <w:rFonts w:hint="eastAsia" w:ascii="仿宋" w:hAnsi="仿宋" w:eastAsia="仿宋" w:cs="仿宋"/>
          <w:b/>
          <w:bCs/>
          <w:sz w:val="28"/>
          <w:szCs w:val="28"/>
        </w:rPr>
        <w:t>）单位基本信息(机构设置等</w:t>
      </w:r>
      <w:r>
        <w:rPr>
          <w:rFonts w:hint="eastAsia" w:ascii="仿宋" w:hAnsi="仿宋" w:eastAsia="仿宋" w:cs="仿宋"/>
          <w:b/>
          <w:bCs/>
          <w:color w:val="333333"/>
          <w:kern w:val="0"/>
          <w:sz w:val="28"/>
          <w:szCs w:val="28"/>
        </w:rPr>
        <w:t>)</w:t>
      </w:r>
      <w:r>
        <w:rPr>
          <w:rFonts w:hint="eastAsia" w:ascii="仿宋" w:hAnsi="仿宋" w:eastAsia="仿宋" w:cs="仿宋"/>
          <w:color w:val="333333"/>
          <w:kern w:val="0"/>
          <w:sz w:val="28"/>
          <w:szCs w:val="28"/>
        </w:rPr>
        <w:t>　</w:t>
      </w:r>
    </w:p>
    <w:p>
      <w:pPr>
        <w:widowControl/>
        <w:spacing w:line="580" w:lineRule="exact"/>
        <w:ind w:firstLine="686" w:firstLineChars="245"/>
        <w:rPr>
          <w:rFonts w:hint="eastAsia" w:ascii="仿宋" w:hAnsi="仿宋" w:eastAsia="仿宋" w:cs="仿宋"/>
          <w:color w:val="000000"/>
          <w:spacing w:val="2"/>
          <w:sz w:val="28"/>
          <w:szCs w:val="28"/>
        </w:rPr>
      </w:pPr>
      <w:r>
        <w:rPr>
          <w:rFonts w:hint="eastAsia" w:ascii="仿宋" w:hAnsi="仿宋" w:eastAsia="仿宋" w:cs="仿宋"/>
          <w:b w:val="0"/>
          <w:bCs w:val="0"/>
          <w:color w:val="333333"/>
          <w:kern w:val="0"/>
          <w:sz w:val="28"/>
          <w:szCs w:val="28"/>
        </w:rPr>
        <w:t>黄石港区招商服务中心作为区政府直属事业单位，为正科级。归口区科学技术和经济信息化局领导。核定事业编制 8名。核定领导职数1正1副，设主任1名，副主任1名。</w:t>
      </w:r>
      <w:r>
        <w:rPr>
          <w:rFonts w:hint="eastAsia" w:ascii="仿宋" w:hAnsi="仿宋" w:eastAsia="仿宋" w:cs="仿宋"/>
          <w:color w:val="000000"/>
          <w:spacing w:val="2"/>
          <w:sz w:val="28"/>
          <w:szCs w:val="28"/>
        </w:rPr>
        <w:t>现有机关工作人员</w:t>
      </w:r>
      <w:r>
        <w:rPr>
          <w:rFonts w:hint="eastAsia" w:ascii="仿宋" w:hAnsi="仿宋" w:eastAsia="仿宋" w:cs="仿宋"/>
          <w:color w:val="000000"/>
          <w:spacing w:val="2"/>
          <w:sz w:val="28"/>
          <w:szCs w:val="28"/>
          <w:lang w:val="en-US" w:eastAsia="zh-CN"/>
        </w:rPr>
        <w:t>11</w:t>
      </w:r>
      <w:r>
        <w:rPr>
          <w:rFonts w:hint="eastAsia" w:ascii="仿宋" w:hAnsi="仿宋" w:eastAsia="仿宋" w:cs="仿宋"/>
          <w:color w:val="000000"/>
          <w:spacing w:val="2"/>
          <w:sz w:val="28"/>
          <w:szCs w:val="28"/>
        </w:rPr>
        <w:t>人，其中，</w:t>
      </w:r>
      <w:r>
        <w:rPr>
          <w:rFonts w:hint="eastAsia" w:ascii="仿宋" w:hAnsi="仿宋" w:eastAsia="仿宋" w:cs="仿宋"/>
          <w:color w:val="000000"/>
          <w:spacing w:val="2"/>
          <w:sz w:val="28"/>
          <w:szCs w:val="28"/>
          <w:lang w:eastAsia="zh-CN"/>
        </w:rPr>
        <w:t>行政编制</w:t>
      </w:r>
      <w:r>
        <w:rPr>
          <w:rFonts w:hint="eastAsia" w:ascii="仿宋" w:hAnsi="仿宋" w:eastAsia="仿宋" w:cs="仿宋"/>
          <w:color w:val="000000"/>
          <w:spacing w:val="2"/>
          <w:sz w:val="28"/>
          <w:szCs w:val="28"/>
          <w:lang w:val="en-US" w:eastAsia="zh-CN"/>
        </w:rPr>
        <w:t>1人，</w:t>
      </w:r>
      <w:r>
        <w:rPr>
          <w:rFonts w:hint="eastAsia" w:ascii="仿宋" w:hAnsi="仿宋" w:eastAsia="仿宋" w:cs="仿宋"/>
          <w:color w:val="000000"/>
          <w:spacing w:val="2"/>
          <w:sz w:val="28"/>
          <w:szCs w:val="28"/>
        </w:rPr>
        <w:t>事业编制</w:t>
      </w:r>
      <w:r>
        <w:rPr>
          <w:rFonts w:hint="eastAsia" w:ascii="仿宋" w:hAnsi="仿宋" w:eastAsia="仿宋" w:cs="仿宋"/>
          <w:color w:val="000000"/>
          <w:spacing w:val="2"/>
          <w:sz w:val="28"/>
          <w:szCs w:val="28"/>
          <w:lang w:val="en-US" w:eastAsia="zh-CN"/>
        </w:rPr>
        <w:t>3</w:t>
      </w:r>
      <w:r>
        <w:rPr>
          <w:rFonts w:hint="eastAsia" w:ascii="仿宋" w:hAnsi="仿宋" w:eastAsia="仿宋" w:cs="仿宋"/>
          <w:color w:val="000000"/>
          <w:spacing w:val="2"/>
          <w:sz w:val="28"/>
          <w:szCs w:val="28"/>
        </w:rPr>
        <w:t>人，</w:t>
      </w:r>
      <w:r>
        <w:rPr>
          <w:rFonts w:hint="eastAsia" w:ascii="仿宋" w:hAnsi="仿宋" w:eastAsia="仿宋" w:cs="仿宋"/>
          <w:color w:val="000000"/>
          <w:spacing w:val="2"/>
          <w:sz w:val="28"/>
          <w:szCs w:val="28"/>
          <w:lang w:val="en-US" w:eastAsia="zh-CN"/>
        </w:rPr>
        <w:t>借调1人，</w:t>
      </w:r>
      <w:r>
        <w:rPr>
          <w:rFonts w:hint="eastAsia" w:ascii="仿宋" w:hAnsi="仿宋" w:eastAsia="仿宋" w:cs="仿宋"/>
          <w:color w:val="000000"/>
          <w:spacing w:val="2"/>
          <w:sz w:val="28"/>
          <w:szCs w:val="28"/>
        </w:rPr>
        <w:t>政府雇员</w:t>
      </w:r>
      <w:r>
        <w:rPr>
          <w:rFonts w:hint="eastAsia" w:ascii="仿宋" w:hAnsi="仿宋" w:eastAsia="仿宋" w:cs="仿宋"/>
          <w:color w:val="000000"/>
          <w:spacing w:val="2"/>
          <w:sz w:val="28"/>
          <w:szCs w:val="28"/>
          <w:lang w:val="en-US" w:eastAsia="zh-CN"/>
        </w:rPr>
        <w:t>6</w:t>
      </w:r>
      <w:r>
        <w:rPr>
          <w:rFonts w:hint="eastAsia" w:ascii="仿宋" w:hAnsi="仿宋" w:eastAsia="仿宋" w:cs="仿宋"/>
          <w:color w:val="000000"/>
          <w:spacing w:val="2"/>
          <w:sz w:val="28"/>
          <w:szCs w:val="28"/>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r>
        <w:rPr>
          <w:rStyle w:val="8"/>
          <w:rFonts w:hint="eastAsia" w:ascii="微软雅黑" w:hAnsi="微软雅黑" w:eastAsia="微软雅黑" w:cs="微软雅黑"/>
          <w:i w:val="0"/>
          <w:caps w:val="0"/>
          <w:color w:val="333333"/>
          <w:spacing w:val="0"/>
          <w:sz w:val="24"/>
          <w:szCs w:val="24"/>
          <w:shd w:val="clear" w:fill="FFFFFF"/>
          <w:lang w:eastAsia="zh-CN"/>
        </w:rPr>
        <w:t>20</w:t>
      </w:r>
      <w:r>
        <w:rPr>
          <w:rStyle w:val="8"/>
          <w:rFonts w:hint="eastAsia" w:ascii="微软雅黑" w:hAnsi="微软雅黑" w:eastAsia="微软雅黑" w:cs="微软雅黑"/>
          <w:i w:val="0"/>
          <w:caps w:val="0"/>
          <w:color w:val="333333"/>
          <w:spacing w:val="0"/>
          <w:sz w:val="24"/>
          <w:szCs w:val="24"/>
          <w:shd w:val="clear" w:fill="FFFFFF"/>
          <w:lang w:val="en-US" w:eastAsia="zh-CN"/>
        </w:rPr>
        <w:t>20</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部门决算表</w:t>
      </w:r>
    </w:p>
    <w:tbl>
      <w:tblPr>
        <w:tblStyle w:val="9"/>
        <w:tblW w:w="13848" w:type="dxa"/>
        <w:tblInd w:w="0" w:type="dxa"/>
        <w:shd w:val="clear" w:color="auto" w:fill="auto"/>
        <w:tblLayout w:type="fixed"/>
        <w:tblCellMar>
          <w:top w:w="0" w:type="dxa"/>
          <w:left w:w="0" w:type="dxa"/>
          <w:bottom w:w="0" w:type="dxa"/>
          <w:right w:w="0" w:type="dxa"/>
        </w:tblCellMar>
      </w:tblPr>
      <w:tblGrid>
        <w:gridCol w:w="3"/>
        <w:gridCol w:w="4975"/>
        <w:gridCol w:w="586"/>
        <w:gridCol w:w="1431"/>
        <w:gridCol w:w="4064"/>
        <w:gridCol w:w="795"/>
        <w:gridCol w:w="1965"/>
        <w:gridCol w:w="29"/>
      </w:tblGrid>
      <w:tr>
        <w:tblPrEx>
          <w:shd w:val="clear" w:color="auto" w:fill="auto"/>
          <w:tblLayout w:type="fixed"/>
          <w:tblCellMar>
            <w:top w:w="0" w:type="dxa"/>
            <w:left w:w="0" w:type="dxa"/>
            <w:bottom w:w="0" w:type="dxa"/>
            <w:right w:w="0" w:type="dxa"/>
          </w:tblCellMar>
        </w:tblPrEx>
        <w:trPr>
          <w:trHeight w:val="375" w:hRule="atLeast"/>
        </w:trPr>
        <w:tc>
          <w:tcPr>
            <w:tcW w:w="13848" w:type="dxa"/>
            <w:gridSpan w:val="8"/>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8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0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94"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58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3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406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94"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Layout w:type="fixed"/>
          <w:tblCellMar>
            <w:top w:w="0" w:type="dxa"/>
            <w:left w:w="0" w:type="dxa"/>
            <w:bottom w:w="0" w:type="dxa"/>
            <w:right w:w="0" w:type="dxa"/>
          </w:tblCellMar>
        </w:tblPrEx>
        <w:trPr>
          <w:trHeight w:val="300" w:hRule="atLeast"/>
        </w:trPr>
        <w:tc>
          <w:tcPr>
            <w:tcW w:w="6995"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853" w:type="dxa"/>
            <w:gridSpan w:val="4"/>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4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99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9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157.17</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三、国有资本经营预算财政拨款收入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四、上级补助收入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六、经营收入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七、附属单位上缴收入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八、其他收入</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4978"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86"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4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406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9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99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r>
      <w:tr>
        <w:tblPrEx>
          <w:shd w:val="clear" w:color="auto" w:fill="auto"/>
          <w:tblLayout w:type="fixed"/>
          <w:tblCellMar>
            <w:top w:w="0" w:type="dxa"/>
            <w:left w:w="0" w:type="dxa"/>
            <w:bottom w:w="0" w:type="dxa"/>
            <w:right w:w="0" w:type="dxa"/>
          </w:tblCellMar>
        </w:tblPrEx>
        <w:trPr>
          <w:trHeight w:val="300" w:hRule="atLeast"/>
        </w:trPr>
        <w:tc>
          <w:tcPr>
            <w:tcW w:w="13848"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注：本表反映部门本年度的总收支和年末结转结余情况。本套报表金额单位转换时可能存在尾数误差。</w:t>
            </w:r>
          </w:p>
        </w:tc>
      </w:tr>
      <w:tr>
        <w:tblPrEx>
          <w:shd w:val="clear" w:color="auto" w:fill="auto"/>
          <w:tblLayout w:type="fixed"/>
          <w:tblCellMar>
            <w:top w:w="0" w:type="dxa"/>
            <w:left w:w="0" w:type="dxa"/>
            <w:bottom w:w="0" w:type="dxa"/>
            <w:right w:w="0" w:type="dxa"/>
          </w:tblCellMar>
        </w:tblPrEx>
        <w:trPr>
          <w:gridBefore w:val="1"/>
          <w:gridAfter w:val="1"/>
          <w:wBefore w:w="3" w:type="dxa"/>
          <w:wAfter w:w="29" w:type="dxa"/>
          <w:trHeight w:val="300" w:hRule="atLeast"/>
        </w:trPr>
        <w:tc>
          <w:tcPr>
            <w:tcW w:w="13816" w:type="dxa"/>
            <w:gridSpan w:val="6"/>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564" w:type="dxa"/>
        <w:tblInd w:w="0" w:type="dxa"/>
        <w:shd w:val="clear" w:color="auto" w:fill="auto"/>
        <w:tblLayout w:type="fixed"/>
        <w:tblCellMar>
          <w:top w:w="0" w:type="dxa"/>
          <w:left w:w="0" w:type="dxa"/>
          <w:bottom w:w="0" w:type="dxa"/>
          <w:right w:w="0" w:type="dxa"/>
        </w:tblCellMar>
      </w:tblPr>
      <w:tblGrid>
        <w:gridCol w:w="1804"/>
        <w:gridCol w:w="2910"/>
        <w:gridCol w:w="1230"/>
        <w:gridCol w:w="2025"/>
        <w:gridCol w:w="1560"/>
        <w:gridCol w:w="960"/>
        <w:gridCol w:w="780"/>
        <w:gridCol w:w="1371"/>
        <w:gridCol w:w="924"/>
      </w:tblGrid>
      <w:tr>
        <w:tblPrEx>
          <w:shd w:val="clear" w:color="auto" w:fill="auto"/>
          <w:tblLayout w:type="fixed"/>
          <w:tblCellMar>
            <w:top w:w="0" w:type="dxa"/>
            <w:left w:w="0" w:type="dxa"/>
            <w:bottom w:w="0" w:type="dxa"/>
            <w:right w:w="0" w:type="dxa"/>
          </w:tblCellMar>
        </w:tblPrEx>
        <w:trPr>
          <w:trHeight w:val="375" w:hRule="atLeast"/>
        </w:trPr>
        <w:tc>
          <w:tcPr>
            <w:tcW w:w="13564" w:type="dxa"/>
            <w:gridSpan w:val="9"/>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shd w:val="clear" w:color="auto" w:fill="auto"/>
          <w:tblLayout w:type="fixed"/>
          <w:tblCellMar>
            <w:top w:w="0" w:type="dxa"/>
            <w:left w:w="0" w:type="dxa"/>
            <w:bottom w:w="0" w:type="dxa"/>
            <w:right w:w="0" w:type="dxa"/>
          </w:tblCellMar>
        </w:tblPrEx>
        <w:trPr>
          <w:trHeight w:val="300" w:hRule="atLeast"/>
        </w:trPr>
        <w:tc>
          <w:tcPr>
            <w:tcW w:w="4714"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6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2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shd w:val="clear" w:color="auto" w:fill="auto"/>
          <w:tblLayout w:type="fixed"/>
          <w:tblCellMar>
            <w:top w:w="0" w:type="dxa"/>
            <w:left w:w="0" w:type="dxa"/>
            <w:bottom w:w="0" w:type="dxa"/>
            <w:right w:w="0" w:type="dxa"/>
          </w:tblCellMar>
        </w:tblPrEx>
        <w:trPr>
          <w:trHeight w:val="300" w:hRule="atLeast"/>
        </w:trPr>
        <w:tc>
          <w:tcPr>
            <w:tcW w:w="5944"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202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56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7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4714"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0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78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37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92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shd w:val="clear" w:color="auto" w:fill="auto"/>
          <w:tblLayout w:type="fixed"/>
          <w:tblCellMar>
            <w:top w:w="0" w:type="dxa"/>
            <w:left w:w="0" w:type="dxa"/>
            <w:bottom w:w="0" w:type="dxa"/>
            <w:right w:w="0" w:type="dxa"/>
          </w:tblCellMar>
        </w:tblPrEx>
        <w:trPr>
          <w:trHeight w:val="300" w:hRule="atLeast"/>
        </w:trPr>
        <w:tc>
          <w:tcPr>
            <w:tcW w:w="180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91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80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1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074" w:hRule="atLeast"/>
        </w:trPr>
        <w:tc>
          <w:tcPr>
            <w:tcW w:w="180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1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4714"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3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0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8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7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2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shd w:val="clear" w:color="auto" w:fill="auto"/>
          <w:tblLayout w:type="fixed"/>
          <w:tblCellMar>
            <w:top w:w="0" w:type="dxa"/>
            <w:left w:w="0" w:type="dxa"/>
            <w:bottom w:w="0" w:type="dxa"/>
            <w:right w:w="0" w:type="dxa"/>
          </w:tblCellMar>
        </w:tblPrEx>
        <w:trPr>
          <w:trHeight w:val="300" w:hRule="atLeast"/>
        </w:trPr>
        <w:tc>
          <w:tcPr>
            <w:tcW w:w="4714"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297.17</w:t>
            </w:r>
          </w:p>
        </w:tc>
        <w:tc>
          <w:tcPr>
            <w:tcW w:w="2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297.17</w:t>
            </w:r>
          </w:p>
        </w:tc>
        <w:tc>
          <w:tcPr>
            <w:tcW w:w="15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157.17</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157.17</w:t>
            </w:r>
          </w:p>
        </w:tc>
        <w:tc>
          <w:tcPr>
            <w:tcW w:w="15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132.18</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132.18</w:t>
            </w:r>
          </w:p>
        </w:tc>
        <w:tc>
          <w:tcPr>
            <w:tcW w:w="15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91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132.18</w:t>
            </w:r>
          </w:p>
        </w:tc>
        <w:tc>
          <w:tcPr>
            <w:tcW w:w="2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132.18</w:t>
            </w:r>
          </w:p>
        </w:tc>
        <w:tc>
          <w:tcPr>
            <w:tcW w:w="15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1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24.99</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24.99</w:t>
            </w:r>
          </w:p>
        </w:tc>
        <w:tc>
          <w:tcPr>
            <w:tcW w:w="15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291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2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15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1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15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21699</w:t>
            </w:r>
          </w:p>
        </w:tc>
        <w:tc>
          <w:tcPr>
            <w:tcW w:w="29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其他商业服务业等支出</w:t>
            </w:r>
          </w:p>
        </w:tc>
        <w:tc>
          <w:tcPr>
            <w:tcW w:w="1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20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15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80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2169999</w:t>
            </w:r>
          </w:p>
        </w:tc>
        <w:tc>
          <w:tcPr>
            <w:tcW w:w="291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其他商业服务业等支出</w:t>
            </w:r>
          </w:p>
        </w:tc>
        <w:tc>
          <w:tcPr>
            <w:tcW w:w="12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20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15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2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3564"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
    <w:p/>
    <w:p/>
    <w:tbl>
      <w:tblPr>
        <w:tblStyle w:val="9"/>
        <w:tblW w:w="13751" w:type="dxa"/>
        <w:tblInd w:w="0" w:type="dxa"/>
        <w:shd w:val="clear" w:color="auto" w:fill="auto"/>
        <w:tblLayout w:type="fixed"/>
        <w:tblCellMar>
          <w:top w:w="0" w:type="dxa"/>
          <w:left w:w="0" w:type="dxa"/>
          <w:bottom w:w="0" w:type="dxa"/>
          <w:right w:w="0" w:type="dxa"/>
        </w:tblCellMar>
      </w:tblPr>
      <w:tblGrid>
        <w:gridCol w:w="536"/>
        <w:gridCol w:w="537"/>
        <w:gridCol w:w="557"/>
        <w:gridCol w:w="3600"/>
        <w:gridCol w:w="1973"/>
        <w:gridCol w:w="1860"/>
        <w:gridCol w:w="1425"/>
        <w:gridCol w:w="1035"/>
        <w:gridCol w:w="874"/>
        <w:gridCol w:w="1166"/>
        <w:gridCol w:w="188"/>
      </w:tblGrid>
      <w:tr>
        <w:tblPrEx>
          <w:tblLayout w:type="fixed"/>
          <w:tblCellMar>
            <w:top w:w="0" w:type="dxa"/>
            <w:left w:w="0" w:type="dxa"/>
            <w:bottom w:w="0" w:type="dxa"/>
            <w:right w:w="0" w:type="dxa"/>
          </w:tblCellMar>
        </w:tblPrEx>
        <w:trPr>
          <w:gridAfter w:val="1"/>
          <w:wAfter w:w="188" w:type="dxa"/>
          <w:trHeight w:val="375" w:hRule="atLeast"/>
        </w:trPr>
        <w:tc>
          <w:tcPr>
            <w:tcW w:w="13563" w:type="dxa"/>
            <w:gridSpan w:val="10"/>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5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7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6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7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4"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shd w:val="clear" w:color="auto" w:fill="auto"/>
          <w:tblLayout w:type="fixed"/>
          <w:tblCellMar>
            <w:top w:w="0" w:type="dxa"/>
            <w:left w:w="0" w:type="dxa"/>
            <w:bottom w:w="0" w:type="dxa"/>
            <w:right w:w="0" w:type="dxa"/>
          </w:tblCellMar>
        </w:tblPrEx>
        <w:trPr>
          <w:trHeight w:val="300" w:hRule="atLeast"/>
        </w:trPr>
        <w:tc>
          <w:tcPr>
            <w:tcW w:w="5230"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197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186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2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74"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4"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523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97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8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0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87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354"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60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0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0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4"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23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7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6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2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7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54"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Layout w:type="fixed"/>
          <w:tblCellMar>
            <w:top w:w="0" w:type="dxa"/>
            <w:left w:w="0" w:type="dxa"/>
            <w:bottom w:w="0" w:type="dxa"/>
            <w:right w:w="0" w:type="dxa"/>
          </w:tblCellMar>
        </w:tblPrEx>
        <w:trPr>
          <w:trHeight w:val="300" w:hRule="atLeast"/>
        </w:trPr>
        <w:tc>
          <w:tcPr>
            <w:tcW w:w="523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297.17</w:t>
            </w:r>
          </w:p>
        </w:tc>
        <w:tc>
          <w:tcPr>
            <w:tcW w:w="18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297.17</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9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157.17</w:t>
            </w:r>
          </w:p>
        </w:tc>
        <w:tc>
          <w:tcPr>
            <w:tcW w:w="18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157.17</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3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19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132.18</w:t>
            </w:r>
          </w:p>
        </w:tc>
        <w:tc>
          <w:tcPr>
            <w:tcW w:w="18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132.18</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36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9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132.18</w:t>
            </w:r>
          </w:p>
        </w:tc>
        <w:tc>
          <w:tcPr>
            <w:tcW w:w="18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132.18</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3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19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24.99</w:t>
            </w:r>
          </w:p>
        </w:tc>
        <w:tc>
          <w:tcPr>
            <w:tcW w:w="18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24.99</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36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19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18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3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19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18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21699</w:t>
            </w:r>
          </w:p>
        </w:tc>
        <w:tc>
          <w:tcPr>
            <w:tcW w:w="36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其他商业服务业等支出</w:t>
            </w:r>
          </w:p>
        </w:tc>
        <w:tc>
          <w:tcPr>
            <w:tcW w:w="19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18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14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630"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2169999</w:t>
            </w:r>
          </w:p>
        </w:tc>
        <w:tc>
          <w:tcPr>
            <w:tcW w:w="360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其他商业服务业等支出</w:t>
            </w:r>
          </w:p>
        </w:tc>
        <w:tc>
          <w:tcPr>
            <w:tcW w:w="19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18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7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4"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gridAfter w:val="1"/>
          <w:wAfter w:w="188" w:type="dxa"/>
          <w:trHeight w:val="300" w:hRule="atLeast"/>
        </w:trPr>
        <w:tc>
          <w:tcPr>
            <w:tcW w:w="13563"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
    <w:p/>
    <w:p/>
    <w:p/>
    <w:tbl>
      <w:tblPr>
        <w:tblStyle w:val="9"/>
        <w:tblW w:w="13600" w:type="dxa"/>
        <w:tblInd w:w="0" w:type="dxa"/>
        <w:shd w:val="clear" w:color="auto" w:fill="auto"/>
        <w:tblLayout w:type="fixed"/>
        <w:tblCellMar>
          <w:top w:w="0" w:type="dxa"/>
          <w:left w:w="0" w:type="dxa"/>
          <w:bottom w:w="0" w:type="dxa"/>
          <w:right w:w="0" w:type="dxa"/>
        </w:tblCellMar>
      </w:tblPr>
      <w:tblGrid>
        <w:gridCol w:w="3550"/>
        <w:gridCol w:w="460"/>
        <w:gridCol w:w="1240"/>
        <w:gridCol w:w="3030"/>
        <w:gridCol w:w="965"/>
        <w:gridCol w:w="630"/>
        <w:gridCol w:w="1217"/>
        <w:gridCol w:w="938"/>
        <w:gridCol w:w="1570"/>
      </w:tblGrid>
      <w:tr>
        <w:tblPrEx>
          <w:tblLayout w:type="fixed"/>
          <w:tblCellMar>
            <w:top w:w="0" w:type="dxa"/>
            <w:left w:w="0" w:type="dxa"/>
            <w:bottom w:w="0" w:type="dxa"/>
            <w:right w:w="0" w:type="dxa"/>
          </w:tblCellMar>
        </w:tblPrEx>
        <w:trPr>
          <w:trHeight w:val="375" w:hRule="atLeast"/>
        </w:trPr>
        <w:tc>
          <w:tcPr>
            <w:tcW w:w="13600"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6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1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7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46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6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1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525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8350"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Layout w:type="fixed"/>
          <w:tblCellMar>
            <w:top w:w="0" w:type="dxa"/>
            <w:left w:w="0" w:type="dxa"/>
            <w:bottom w:w="0" w:type="dxa"/>
            <w:right w:w="0" w:type="dxa"/>
          </w:tblCellMar>
        </w:tblPrEx>
        <w:trPr>
          <w:trHeight w:val="285" w:hRule="atLeast"/>
        </w:trPr>
        <w:tc>
          <w:tcPr>
            <w:tcW w:w="355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03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9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63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1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9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15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国有资本经营预算财政拨款</w:t>
            </w:r>
          </w:p>
        </w:tc>
      </w:tr>
      <w:tr>
        <w:tblPrEx>
          <w:shd w:val="clear" w:color="auto" w:fill="auto"/>
          <w:tblLayout w:type="fixed"/>
          <w:tblCellMar>
            <w:top w:w="0" w:type="dxa"/>
            <w:left w:w="0" w:type="dxa"/>
            <w:bottom w:w="0" w:type="dxa"/>
            <w:right w:w="0" w:type="dxa"/>
          </w:tblCellMar>
        </w:tblPrEx>
        <w:trPr>
          <w:trHeight w:val="600" w:hRule="atLeast"/>
        </w:trPr>
        <w:tc>
          <w:tcPr>
            <w:tcW w:w="355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46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9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7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57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157.17</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157.17</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三、国有资本经营财政拨款</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十四、资源勘探工业信息等支出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二十一、国有资本经营预算支出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二十二、灾害防治及应急管理支出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二十三、其他支出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二十四、债务还本支出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二十五、债务付息支出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二十六、抗疫特别国债安排的支出</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国有资本经营预算财政拨款</w:t>
            </w:r>
          </w:p>
        </w:tc>
        <w:tc>
          <w:tcPr>
            <w:tcW w:w="46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0"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121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c>
          <w:tcPr>
            <w:tcW w:w="9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7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2030"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5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bl>
    <w:p/>
    <w:p/>
    <w:p/>
    <w:p/>
    <w:p/>
    <w:p/>
    <w:p/>
    <w:tbl>
      <w:tblPr>
        <w:tblStyle w:val="9"/>
        <w:tblW w:w="12222" w:type="dxa"/>
        <w:tblInd w:w="0" w:type="dxa"/>
        <w:shd w:val="clear" w:color="auto" w:fill="auto"/>
        <w:tblLayout w:type="fixed"/>
        <w:tblCellMar>
          <w:top w:w="0" w:type="dxa"/>
          <w:left w:w="0" w:type="dxa"/>
          <w:bottom w:w="0" w:type="dxa"/>
          <w:right w:w="0" w:type="dxa"/>
        </w:tblCellMar>
      </w:tblPr>
      <w:tblGrid>
        <w:gridCol w:w="245"/>
        <w:gridCol w:w="245"/>
        <w:gridCol w:w="241"/>
        <w:gridCol w:w="4371"/>
        <w:gridCol w:w="2071"/>
        <w:gridCol w:w="2308"/>
        <w:gridCol w:w="2741"/>
      </w:tblGrid>
      <w:tr>
        <w:tblPrEx>
          <w:shd w:val="clear" w:color="auto" w:fill="auto"/>
          <w:tblLayout w:type="fixed"/>
          <w:tblCellMar>
            <w:top w:w="0" w:type="dxa"/>
            <w:left w:w="0" w:type="dxa"/>
            <w:bottom w:w="0" w:type="dxa"/>
            <w:right w:w="0" w:type="dxa"/>
          </w:tblCellMar>
        </w:tblPrEx>
        <w:trPr>
          <w:trHeight w:val="375" w:hRule="atLeast"/>
        </w:trPr>
        <w:tc>
          <w:tcPr>
            <w:tcW w:w="1222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shd w:val="clear" w:color="auto" w:fill="auto"/>
          <w:tblLayout w:type="fixed"/>
          <w:tblCellMar>
            <w:top w:w="0" w:type="dxa"/>
            <w:left w:w="0" w:type="dxa"/>
            <w:bottom w:w="0" w:type="dxa"/>
            <w:right w:w="0" w:type="dxa"/>
          </w:tblCellMar>
        </w:tblPrEx>
        <w:trPr>
          <w:trHeight w:val="300" w:hRule="atLeast"/>
        </w:trPr>
        <w:tc>
          <w:tcPr>
            <w:tcW w:w="2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3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4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shd w:val="clear" w:color="auto" w:fill="auto"/>
          <w:tblLayout w:type="fixed"/>
          <w:tblCellMar>
            <w:top w:w="0" w:type="dxa"/>
            <w:left w:w="0" w:type="dxa"/>
            <w:bottom w:w="0" w:type="dxa"/>
            <w:right w:w="0" w:type="dxa"/>
          </w:tblCellMar>
        </w:tblPrEx>
        <w:trPr>
          <w:trHeight w:val="300" w:hRule="atLeast"/>
        </w:trPr>
        <w:tc>
          <w:tcPr>
            <w:tcW w:w="7173" w:type="dxa"/>
            <w:gridSpan w:val="5"/>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2308" w:type="dxa"/>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741" w:type="dxa"/>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5102" w:type="dxa"/>
            <w:gridSpan w:val="4"/>
            <w:tcBorders>
              <w:top w:val="single" w:color="auto"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120" w:type="dxa"/>
            <w:gridSpan w:val="3"/>
            <w:tcBorders>
              <w:top w:val="single" w:color="auto"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4371"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07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3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74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Layout w:type="fixed"/>
          <w:tblCellMar>
            <w:top w:w="0" w:type="dxa"/>
            <w:left w:w="0" w:type="dxa"/>
            <w:bottom w:w="0" w:type="dxa"/>
            <w:right w:w="0" w:type="dxa"/>
          </w:tblCellMar>
        </w:tblPrEx>
        <w:trPr>
          <w:trHeight w:val="270" w:hRule="atLeast"/>
        </w:trPr>
        <w:tc>
          <w:tcPr>
            <w:tcW w:w="73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71"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71"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51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0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Layout w:type="fixed"/>
          <w:tblCellMar>
            <w:top w:w="0" w:type="dxa"/>
            <w:left w:w="0" w:type="dxa"/>
            <w:bottom w:w="0" w:type="dxa"/>
            <w:right w:w="0" w:type="dxa"/>
          </w:tblCellMar>
        </w:tblPrEx>
        <w:trPr>
          <w:trHeight w:val="300" w:hRule="atLeast"/>
        </w:trPr>
        <w:tc>
          <w:tcPr>
            <w:tcW w:w="510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297.17</w:t>
            </w:r>
          </w:p>
        </w:tc>
        <w:tc>
          <w:tcPr>
            <w:tcW w:w="23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297.17</w:t>
            </w:r>
          </w:p>
        </w:tc>
        <w:tc>
          <w:tcPr>
            <w:tcW w:w="2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4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0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157.17</w:t>
            </w:r>
          </w:p>
        </w:tc>
        <w:tc>
          <w:tcPr>
            <w:tcW w:w="23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157.17</w:t>
            </w:r>
          </w:p>
        </w:tc>
        <w:tc>
          <w:tcPr>
            <w:tcW w:w="2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20103</w:t>
            </w:r>
          </w:p>
        </w:tc>
        <w:tc>
          <w:tcPr>
            <w:tcW w:w="4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政府办公厅（室）及相关机构事务</w:t>
            </w:r>
          </w:p>
        </w:tc>
        <w:tc>
          <w:tcPr>
            <w:tcW w:w="20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132.18</w:t>
            </w:r>
          </w:p>
        </w:tc>
        <w:tc>
          <w:tcPr>
            <w:tcW w:w="23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132.18</w:t>
            </w:r>
          </w:p>
        </w:tc>
        <w:tc>
          <w:tcPr>
            <w:tcW w:w="2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4371"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0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132.18</w:t>
            </w:r>
          </w:p>
        </w:tc>
        <w:tc>
          <w:tcPr>
            <w:tcW w:w="23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132.18</w:t>
            </w:r>
          </w:p>
        </w:tc>
        <w:tc>
          <w:tcPr>
            <w:tcW w:w="2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20113</w:t>
            </w:r>
          </w:p>
        </w:tc>
        <w:tc>
          <w:tcPr>
            <w:tcW w:w="4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商贸事务</w:t>
            </w:r>
          </w:p>
        </w:tc>
        <w:tc>
          <w:tcPr>
            <w:tcW w:w="20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24.99</w:t>
            </w:r>
          </w:p>
        </w:tc>
        <w:tc>
          <w:tcPr>
            <w:tcW w:w="23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24.99</w:t>
            </w:r>
          </w:p>
        </w:tc>
        <w:tc>
          <w:tcPr>
            <w:tcW w:w="2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4371"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20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23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24.99</w:t>
            </w:r>
          </w:p>
        </w:tc>
        <w:tc>
          <w:tcPr>
            <w:tcW w:w="2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w:t>
            </w:r>
          </w:p>
        </w:tc>
        <w:tc>
          <w:tcPr>
            <w:tcW w:w="4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商业服务业等支出</w:t>
            </w:r>
          </w:p>
        </w:tc>
        <w:tc>
          <w:tcPr>
            <w:tcW w:w="20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23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2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21699</w:t>
            </w:r>
          </w:p>
        </w:tc>
        <w:tc>
          <w:tcPr>
            <w:tcW w:w="4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其他商业服务业等支出</w:t>
            </w:r>
          </w:p>
        </w:tc>
        <w:tc>
          <w:tcPr>
            <w:tcW w:w="20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23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140.00</w:t>
            </w:r>
          </w:p>
        </w:tc>
        <w:tc>
          <w:tcPr>
            <w:tcW w:w="2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731"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2169999</w:t>
            </w:r>
          </w:p>
        </w:tc>
        <w:tc>
          <w:tcPr>
            <w:tcW w:w="4371"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其他商业服务业等支出</w:t>
            </w:r>
          </w:p>
        </w:tc>
        <w:tc>
          <w:tcPr>
            <w:tcW w:w="20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23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140.00</w:t>
            </w:r>
          </w:p>
        </w:tc>
        <w:tc>
          <w:tcPr>
            <w:tcW w:w="2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222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
    <w:p/>
    <w:p/>
    <w:p/>
    <w:p/>
    <w:tbl>
      <w:tblPr>
        <w:tblStyle w:val="9"/>
        <w:tblW w:w="13988" w:type="dxa"/>
        <w:tblInd w:w="0" w:type="dxa"/>
        <w:shd w:val="clear" w:color="auto" w:fill="auto"/>
        <w:tblLayout w:type="fixed"/>
        <w:tblCellMar>
          <w:top w:w="0" w:type="dxa"/>
          <w:left w:w="0" w:type="dxa"/>
          <w:bottom w:w="0" w:type="dxa"/>
          <w:right w:w="0" w:type="dxa"/>
        </w:tblCellMar>
      </w:tblPr>
      <w:tblGrid>
        <w:gridCol w:w="1785"/>
        <w:gridCol w:w="2423"/>
        <w:gridCol w:w="607"/>
        <w:gridCol w:w="799"/>
        <w:gridCol w:w="172"/>
        <w:gridCol w:w="458"/>
        <w:gridCol w:w="1788"/>
        <w:gridCol w:w="263"/>
        <w:gridCol w:w="739"/>
        <w:gridCol w:w="705"/>
        <w:gridCol w:w="318"/>
        <w:gridCol w:w="2427"/>
        <w:gridCol w:w="1504"/>
      </w:tblGrid>
      <w:tr>
        <w:tblPrEx>
          <w:shd w:val="clear" w:color="auto" w:fill="auto"/>
          <w:tblLayout w:type="fixed"/>
          <w:tblCellMar>
            <w:top w:w="0" w:type="dxa"/>
            <w:left w:w="0" w:type="dxa"/>
            <w:bottom w:w="0" w:type="dxa"/>
            <w:right w:w="0" w:type="dxa"/>
          </w:tblCellMar>
        </w:tblPrEx>
        <w:trPr>
          <w:trHeight w:val="375" w:hRule="atLeast"/>
        </w:trPr>
        <w:tc>
          <w:tcPr>
            <w:tcW w:w="13988" w:type="dxa"/>
            <w:gridSpan w:val="1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3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8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45"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Layout w:type="fixed"/>
          <w:tblCellMar>
            <w:top w:w="0" w:type="dxa"/>
            <w:left w:w="0" w:type="dxa"/>
            <w:bottom w:w="0" w:type="dxa"/>
            <w:right w:w="0" w:type="dxa"/>
          </w:tblCellMar>
        </w:tblPrEx>
        <w:trPr>
          <w:trHeight w:val="300" w:hRule="atLeast"/>
        </w:trPr>
        <w:tc>
          <w:tcPr>
            <w:tcW w:w="4208"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部门：黄石市黄石港区招商服务中心</w:t>
            </w:r>
          </w:p>
        </w:tc>
        <w:tc>
          <w:tcPr>
            <w:tcW w:w="1578"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09"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62"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31"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Layout w:type="fixed"/>
          <w:tblCellMar>
            <w:top w:w="0" w:type="dxa"/>
            <w:left w:w="0" w:type="dxa"/>
            <w:bottom w:w="0" w:type="dxa"/>
            <w:right w:w="0" w:type="dxa"/>
          </w:tblCellMar>
        </w:tblPrEx>
        <w:trPr>
          <w:trHeight w:val="300" w:hRule="atLeast"/>
        </w:trPr>
        <w:tc>
          <w:tcPr>
            <w:tcW w:w="561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374" w:type="dxa"/>
            <w:gridSpan w:val="9"/>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trPr>
        <w:tc>
          <w:tcPr>
            <w:tcW w:w="1785"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3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79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30"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7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02"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745"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0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Layout w:type="fixed"/>
          <w:tblCellMar>
            <w:top w:w="0" w:type="dxa"/>
            <w:left w:w="0" w:type="dxa"/>
            <w:bottom w:w="0" w:type="dxa"/>
            <w:right w:w="0" w:type="dxa"/>
          </w:tblCellMar>
        </w:tblPrEx>
        <w:trPr>
          <w:trHeight w:val="300" w:hRule="atLeast"/>
        </w:trPr>
        <w:tc>
          <w:tcPr>
            <w:tcW w:w="1785"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30"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45"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0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292.04</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5.12</w:t>
            </w: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0.52</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15.86</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238.19</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0.18</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0.81</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1785"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0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3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78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00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7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45"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4815"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9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870" w:type="dxa"/>
            <w:gridSpan w:val="8"/>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5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297.17</w:t>
            </w:r>
          </w:p>
        </w:tc>
      </w:tr>
      <w:tr>
        <w:tblPrEx>
          <w:shd w:val="clear" w:color="auto" w:fill="auto"/>
          <w:tblLayout w:type="fixed"/>
          <w:tblCellMar>
            <w:top w:w="0" w:type="dxa"/>
            <w:left w:w="0" w:type="dxa"/>
            <w:bottom w:w="0" w:type="dxa"/>
            <w:right w:w="0" w:type="dxa"/>
          </w:tblCellMar>
        </w:tblPrEx>
        <w:trPr>
          <w:trHeight w:val="300" w:hRule="atLeast"/>
        </w:trPr>
        <w:tc>
          <w:tcPr>
            <w:tcW w:w="13988" w:type="dxa"/>
            <w:gridSpan w:val="1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W w:w="13988" w:type="dxa"/>
        <w:tblInd w:w="0" w:type="dxa"/>
        <w:shd w:val="clear" w:color="auto" w:fill="auto"/>
        <w:tblLayout w:type="fixed"/>
        <w:tblCellMar>
          <w:top w:w="0" w:type="dxa"/>
          <w:left w:w="0" w:type="dxa"/>
          <w:bottom w:w="0" w:type="dxa"/>
          <w:right w:w="0" w:type="dxa"/>
        </w:tblCellMar>
      </w:tblPr>
      <w:tblGrid>
        <w:gridCol w:w="1163"/>
        <w:gridCol w:w="1164"/>
        <w:gridCol w:w="1164"/>
        <w:gridCol w:w="1164"/>
        <w:gridCol w:w="1169"/>
        <w:gridCol w:w="1164"/>
        <w:gridCol w:w="1164"/>
        <w:gridCol w:w="1164"/>
        <w:gridCol w:w="1164"/>
        <w:gridCol w:w="1169"/>
        <w:gridCol w:w="1164"/>
        <w:gridCol w:w="1175"/>
      </w:tblGrid>
      <w:tr>
        <w:tblPrEx>
          <w:tblLayout w:type="fixed"/>
          <w:tblCellMar>
            <w:top w:w="0" w:type="dxa"/>
            <w:left w:w="0" w:type="dxa"/>
            <w:bottom w:w="0" w:type="dxa"/>
            <w:right w:w="0" w:type="dxa"/>
          </w:tblCellMar>
        </w:tblPrEx>
        <w:trPr>
          <w:trHeight w:val="555" w:hRule="atLeast"/>
        </w:trPr>
        <w:tc>
          <w:tcPr>
            <w:tcW w:w="13988" w:type="dxa"/>
            <w:gridSpan w:val="1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shd w:val="clear" w:color="auto" w:fill="auto"/>
          <w:tblLayout w:type="fixed"/>
          <w:tblCellMar>
            <w:top w:w="0" w:type="dxa"/>
            <w:left w:w="0" w:type="dxa"/>
            <w:bottom w:w="0" w:type="dxa"/>
            <w:right w:w="0" w:type="dxa"/>
          </w:tblCellMar>
        </w:tblPrEx>
        <w:trPr>
          <w:trHeight w:val="300" w:hRule="atLeast"/>
        </w:trPr>
        <w:tc>
          <w:tcPr>
            <w:tcW w:w="11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6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Layout w:type="fixed"/>
          <w:tblCellMar>
            <w:top w:w="0" w:type="dxa"/>
            <w:left w:w="0" w:type="dxa"/>
            <w:bottom w:w="0" w:type="dxa"/>
            <w:right w:w="0" w:type="dxa"/>
          </w:tblCellMar>
        </w:tblPrEx>
        <w:trPr>
          <w:trHeight w:val="300" w:hRule="atLeast"/>
        </w:trPr>
        <w:tc>
          <w:tcPr>
            <w:tcW w:w="5824"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部门：黄石市黄石港区招商服务中心</w:t>
            </w:r>
          </w:p>
        </w:tc>
        <w:tc>
          <w:tcPr>
            <w:tcW w:w="5825"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c>
          <w:tcPr>
            <w:tcW w:w="2339"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300" w:hRule="atLeast"/>
        </w:trPr>
        <w:tc>
          <w:tcPr>
            <w:tcW w:w="6988"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00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trPr>
        <w:tc>
          <w:tcPr>
            <w:tcW w:w="1163"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6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9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6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6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6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97"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7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trPr>
        <w:tc>
          <w:tcPr>
            <w:tcW w:w="1163"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6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7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300" w:hRule="atLeast"/>
        </w:trPr>
        <w:tc>
          <w:tcPr>
            <w:tcW w:w="1163"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6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7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trPr>
        <w:tc>
          <w:tcPr>
            <w:tcW w:w="1163"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15.01</w:t>
            </w:r>
          </w:p>
        </w:tc>
      </w:tr>
      <w:tr>
        <w:tblPrEx>
          <w:shd w:val="clear" w:color="auto" w:fill="auto"/>
          <w:tblLayout w:type="fixed"/>
          <w:tblCellMar>
            <w:top w:w="0" w:type="dxa"/>
            <w:left w:w="0" w:type="dxa"/>
            <w:bottom w:w="0" w:type="dxa"/>
            <w:right w:w="0" w:type="dxa"/>
          </w:tblCellMar>
        </w:tblPrEx>
        <w:trPr>
          <w:trHeight w:val="930" w:hRule="atLeast"/>
        </w:trPr>
        <w:tc>
          <w:tcPr>
            <w:tcW w:w="13988"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tbl>
      <w:tblPr>
        <w:tblStyle w:val="9"/>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黄石市黄石港区招商服务中心</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第三部分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lang w:eastAsia="zh-CN"/>
        </w:rPr>
        <w:t>20</w:t>
      </w:r>
      <w:r>
        <w:rPr>
          <w:rStyle w:val="8"/>
          <w:rFonts w:hint="eastAsia" w:ascii="微软雅黑" w:hAnsi="微软雅黑" w:eastAsia="微软雅黑" w:cs="微软雅黑"/>
          <w:i w:val="0"/>
          <w:caps w:val="0"/>
          <w:color w:val="333333"/>
          <w:spacing w:val="0"/>
          <w:sz w:val="24"/>
          <w:szCs w:val="24"/>
          <w:shd w:val="clear" w:fill="FFFFFF"/>
          <w:lang w:val="en-US" w:eastAsia="zh-CN"/>
        </w:rPr>
        <w:t>20</w:t>
      </w:r>
      <w:r>
        <w:rPr>
          <w:rStyle w:val="8"/>
          <w:rFonts w:hint="eastAsia" w:ascii="微软雅黑" w:hAnsi="微软雅黑" w:eastAsia="微软雅黑" w:cs="微软雅黑"/>
          <w:i w:val="0"/>
          <w:caps w:val="0"/>
          <w:color w:val="333333"/>
          <w:spacing w:val="0"/>
          <w:sz w:val="24"/>
          <w:szCs w:val="24"/>
          <w:shd w:val="clear" w:fill="FFFFFF"/>
          <w:lang w:eastAsia="zh-CN"/>
        </w:rPr>
        <w:t>年</w:t>
      </w:r>
      <w:r>
        <w:rPr>
          <w:rStyle w:val="8"/>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（一）预算执行情况分析</w:t>
      </w:r>
    </w:p>
    <w:p>
      <w:pPr>
        <w:widowControl/>
        <w:shd w:val="clear" w:color="auto" w:fill="FFFFFF"/>
        <w:spacing w:line="580" w:lineRule="exact"/>
        <w:ind w:firstLine="480"/>
        <w:jc w:val="left"/>
        <w:rPr>
          <w:rFonts w:hint="eastAsia" w:ascii="仿宋" w:hAnsi="仿宋" w:eastAsia="仿宋" w:cs="仿宋"/>
          <w:sz w:val="28"/>
          <w:szCs w:val="28"/>
          <w:lang w:eastAsia="zh-CN"/>
        </w:rPr>
      </w:pPr>
      <w:r>
        <w:rPr>
          <w:rFonts w:hint="eastAsia" w:ascii="仿宋" w:hAnsi="仿宋" w:eastAsia="仿宋" w:cs="仿宋"/>
          <w:sz w:val="28"/>
          <w:szCs w:val="28"/>
        </w:rPr>
        <w:t>2020年财政收入预算执行数2971667元，其中人员经费0元，公用经费2971667元</w:t>
      </w:r>
      <w:r>
        <w:rPr>
          <w:rFonts w:hint="eastAsia" w:ascii="仿宋" w:hAnsi="仿宋" w:eastAsia="仿宋" w:cs="仿宋"/>
          <w:sz w:val="28"/>
          <w:szCs w:val="28"/>
          <w:lang w:eastAsia="zh-CN"/>
        </w:rPr>
        <w:t>。</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1．收入支出与预算对比分析。</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2020年全年总收入2971667.05元,其中财拨款决算收入2971667.05元,其它收入0元, 2020年全年决算总支出2971667.05元,其中财拨款决算支出2971667.05元,其它资金支出0元,2020年财政预算数2971667，财拨款决算比预算多0.05元,幅度为0%。</w:t>
      </w:r>
    </w:p>
    <w:p>
      <w:pPr>
        <w:widowControl/>
        <w:numPr>
          <w:ilvl w:val="0"/>
          <w:numId w:val="2"/>
        </w:numPr>
        <w:shd w:val="clear" w:color="auto" w:fill="FFFFFF"/>
        <w:spacing w:line="580" w:lineRule="exact"/>
        <w:ind w:firstLine="48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收入支出结构分析</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 xml:space="preserve">2020年全年总收入2971667.05元,其中财拨款决算收入2971667.05元,其它收入0元, </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2020年全年决算总支出2971667.05元,其中财拨款决算支2971667.05元,其它资金支出0元.</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支出按以下分类说明：</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（1）支出功能分类：决算总支2971667.05出元;一般公共服务支出2971667.05元。</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 xml:space="preserve">（2）支出性质分类：决算总支出2971667.05元，其中人员经费0元，公用经费2971667.05元; </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sz w:val="28"/>
          <w:szCs w:val="28"/>
        </w:rPr>
        <w:t>(3)支出经济分类：决算总支出2971667.05元，其中工资福利支出0元，商品服务支出2920427.05元，对个人和家庭的补助支出0元，资本性支出51240元。</w:t>
      </w:r>
    </w:p>
    <w:p>
      <w:pPr>
        <w:widowControl/>
        <w:shd w:val="clear" w:color="auto" w:fill="FFFFFF"/>
        <w:spacing w:line="580" w:lineRule="exact"/>
        <w:ind w:firstLine="480"/>
        <w:jc w:val="left"/>
        <w:rPr>
          <w:rFonts w:hint="eastAsia" w:ascii="仿宋" w:hAnsi="仿宋" w:eastAsia="仿宋" w:cs="仿宋"/>
          <w:b/>
          <w:bCs/>
          <w:sz w:val="28"/>
          <w:szCs w:val="28"/>
        </w:rPr>
      </w:pPr>
      <w:r>
        <w:rPr>
          <w:rFonts w:hint="eastAsia" w:ascii="仿宋" w:hAnsi="仿宋" w:eastAsia="仿宋" w:cs="仿宋"/>
          <w:b/>
          <w:bCs/>
          <w:sz w:val="28"/>
          <w:szCs w:val="28"/>
        </w:rPr>
        <w:t>（二）关于“三公”经费支出说明</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2020年“三公”经费决算总支出150075.3元，其中：</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公务车运行维护费0元，年初预算数0元，决算数比预算数减少0元，减少幅度为0%；</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公务接待费150075.3元，年初预算数0元，决算数比预算数增加150075.3元，增长幅度为100%；</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因公出国（境）费0元，预算数0元，决算数比预算数增加0元，增长幅度为0%；</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2019年“三公”经费决算总支出51916元，其中：</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公务车运行维护费0元，年初预算数0元，决算数比预算数减少0元，减少幅度为0%；</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公务接待费51916元，年初预算数0元，决算数比预算数增加51916元，增长幅度为100%；</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因公出国（境）费0元，预算数0元，决算数比预算数增加0元，增长幅度为0%；</w:t>
      </w:r>
    </w:p>
    <w:p>
      <w:pPr>
        <w:widowControl/>
        <w:shd w:val="clear" w:color="auto" w:fill="FFFFFF"/>
        <w:spacing w:line="580" w:lineRule="exact"/>
        <w:ind w:firstLine="480"/>
        <w:jc w:val="left"/>
        <w:rPr>
          <w:rFonts w:hint="eastAsia" w:ascii="仿宋" w:hAnsi="仿宋" w:eastAsia="仿宋" w:cs="仿宋"/>
          <w:sz w:val="28"/>
          <w:szCs w:val="28"/>
        </w:rPr>
      </w:pPr>
      <w:r>
        <w:rPr>
          <w:rFonts w:hint="eastAsia" w:ascii="仿宋" w:hAnsi="仿宋" w:eastAsia="仿宋" w:cs="仿宋"/>
          <w:sz w:val="28"/>
          <w:szCs w:val="28"/>
        </w:rPr>
        <w:t>“三公“经费2020年比2019年增加98159.3元，增减幅度为189.07%。</w:t>
      </w:r>
    </w:p>
    <w:p>
      <w:pPr>
        <w:widowControl/>
        <w:shd w:val="clear" w:color="auto" w:fill="FFFFFF"/>
        <w:spacing w:line="580" w:lineRule="exact"/>
        <w:jc w:val="left"/>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（三）关于机关运行经费支出说明</w:t>
      </w:r>
    </w:p>
    <w:p>
      <w:pPr>
        <w:widowControl/>
        <w:shd w:val="clear" w:color="auto" w:fill="FFFFFF"/>
        <w:spacing w:line="580" w:lineRule="exact"/>
        <w:ind w:firstLine="480"/>
        <w:jc w:val="left"/>
        <w:rPr>
          <w:rFonts w:hint="eastAsia" w:ascii="仿宋" w:hAnsi="仿宋" w:eastAsia="仿宋" w:cs="仿宋"/>
          <w:sz w:val="28"/>
          <w:szCs w:val="28"/>
          <w:lang w:eastAsia="zh-CN"/>
        </w:rPr>
      </w:pPr>
      <w:r>
        <w:rPr>
          <w:rFonts w:hint="eastAsia" w:ascii="仿宋" w:hAnsi="仿宋" w:eastAsia="仿宋" w:cs="仿宋"/>
          <w:sz w:val="28"/>
          <w:szCs w:val="28"/>
        </w:rPr>
        <w:t>2020年机关运行经费支出2971667.05元，2019年机关运行经费支出1254617元，较上年增加1717050.05元，增加幅度136.86%，招商服务中心2019年下半年成立，2020年是全年费用，所以费用增加比较大</w:t>
      </w:r>
      <w:r>
        <w:rPr>
          <w:rFonts w:hint="eastAsia" w:ascii="仿宋" w:hAnsi="仿宋" w:eastAsia="仿宋" w:cs="仿宋"/>
          <w:sz w:val="28"/>
          <w:szCs w:val="28"/>
          <w:lang w:eastAsia="zh-CN"/>
        </w:rPr>
        <w:t>。</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（四）关于政府采购支出说明</w:t>
      </w:r>
    </w:p>
    <w:p>
      <w:pPr>
        <w:pStyle w:val="10"/>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2020年政府采购总支出81806元，其中政府采购货物支出81806元，政府采购工程支出0元，政府采购服务支出0元。</w:t>
      </w:r>
    </w:p>
    <w:p>
      <w:pPr>
        <w:widowControl/>
        <w:shd w:val="clear" w:color="auto" w:fill="FFFFFF"/>
        <w:spacing w:line="580" w:lineRule="exact"/>
        <w:jc w:val="left"/>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（五）关于国有资产占用情况说明</w:t>
      </w:r>
    </w:p>
    <w:p>
      <w:pPr>
        <w:pStyle w:val="10"/>
        <w:spacing w:line="580" w:lineRule="exact"/>
        <w:rPr>
          <w:rFonts w:hint="eastAsia" w:eastAsia="仿宋" w:cs="仿宋"/>
          <w:sz w:val="28"/>
          <w:szCs w:val="28"/>
        </w:rPr>
      </w:pPr>
      <w:r>
        <w:rPr>
          <w:rFonts w:hint="eastAsia" w:eastAsia="仿宋" w:cs="仿宋"/>
          <w:sz w:val="28"/>
          <w:szCs w:val="28"/>
        </w:rPr>
        <w:t>截至20</w:t>
      </w:r>
      <w:r>
        <w:rPr>
          <w:rFonts w:hint="eastAsia" w:eastAsia="仿宋" w:cs="仿宋"/>
          <w:sz w:val="28"/>
          <w:szCs w:val="28"/>
          <w:lang w:val="en-US" w:eastAsia="zh-CN"/>
        </w:rPr>
        <w:t>20</w:t>
      </w:r>
      <w:r>
        <w:rPr>
          <w:rFonts w:hint="eastAsia" w:eastAsia="仿宋" w:cs="仿宋"/>
          <w:sz w:val="28"/>
          <w:szCs w:val="28"/>
        </w:rPr>
        <w:t xml:space="preserve">年12月31日，本单位共有车辆0辆，其中领导干部用车0辆，一般公务用车0辆，一般执法执勤用车0辆，特种专业技术用车0辆，其它用车0辆。  </w:t>
      </w:r>
    </w:p>
    <w:p>
      <w:pPr>
        <w:widowControl/>
        <w:shd w:val="clear" w:color="auto" w:fill="FFFFFF"/>
        <w:spacing w:line="580" w:lineRule="exact"/>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（六）重点绩效评价结果等预算绩效情况说明</w:t>
      </w:r>
    </w:p>
    <w:p>
      <w:pPr>
        <w:pStyle w:val="10"/>
        <w:spacing w:line="54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2020年， 根据预算绩效管理要求，我单位组织2020年度一般公共预算项目支出全面开展绩效自评，共涉及项目1个，资金150万元。 2020年项目资金投入150万元，已使用150万元,使用率为100%。使用从评价结果看，项目立项程序完整、规范，预算执行及时、有效，绩效目标得到较好实现，绩效管理水平不断提高，绩效指标体系建设逐渐丰富和完善。</w:t>
      </w:r>
    </w:p>
    <w:p>
      <w:pPr>
        <w:widowControl/>
        <w:shd w:val="clear" w:color="auto" w:fill="FFFFFF"/>
        <w:spacing w:line="580" w:lineRule="exact"/>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（七）决算收支增减变化情况</w:t>
      </w:r>
    </w:p>
    <w:p>
      <w:pPr>
        <w:pStyle w:val="10"/>
        <w:spacing w:line="54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1、收入增减变化情况</w:t>
      </w:r>
    </w:p>
    <w:p>
      <w:pPr>
        <w:pStyle w:val="10"/>
        <w:spacing w:line="54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本单位为机构改革新增单位，2019年无决算数,2020年全年总收入297.17万元。</w:t>
      </w:r>
    </w:p>
    <w:p>
      <w:pPr>
        <w:pStyle w:val="10"/>
        <w:spacing w:line="54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2、支出增减变化情况</w:t>
      </w:r>
    </w:p>
    <w:p>
      <w:pPr>
        <w:pStyle w:val="10"/>
        <w:spacing w:line="540" w:lineRule="exact"/>
        <w:ind w:firstLine="560" w:firstLineChars="200"/>
        <w:rPr>
          <w:rFonts w:hint="eastAsia" w:eastAsia="仿宋" w:cs="仿宋"/>
          <w:sz w:val="28"/>
          <w:szCs w:val="28"/>
          <w:lang w:val="en-US" w:eastAsia="zh-CN"/>
        </w:rPr>
      </w:pPr>
      <w:r>
        <w:rPr>
          <w:rFonts w:hint="eastAsia" w:eastAsia="仿宋" w:cs="仿宋"/>
          <w:sz w:val="28"/>
          <w:szCs w:val="28"/>
          <w:lang w:val="en-US" w:eastAsia="zh-CN"/>
        </w:rPr>
        <w:t>本单位为机构改革新增单位，2019年无决算数,2020年全年总支出297.17万元。</w:t>
      </w:r>
    </w:p>
    <w:p>
      <w:pPr>
        <w:pStyle w:val="10"/>
        <w:spacing w:line="540" w:lineRule="exact"/>
        <w:ind w:firstLine="560" w:firstLineChars="200"/>
        <w:rPr>
          <w:rFonts w:hint="eastAsia" w:eastAsia="仿宋" w:cs="仿宋"/>
          <w:sz w:val="28"/>
          <w:szCs w:val="28"/>
          <w:lang w:val="en-US" w:eastAsia="zh-CN"/>
        </w:rPr>
      </w:pPr>
    </w:p>
    <w:p>
      <w:pPr>
        <w:pStyle w:val="10"/>
        <w:spacing w:line="580" w:lineRule="exact"/>
        <w:rPr>
          <w:rFonts w:hint="eastAsia" w:eastAsia="仿宋" w:cs="仿宋"/>
          <w:sz w:val="28"/>
          <w:szCs w:val="28"/>
        </w:rPr>
      </w:pPr>
    </w:p>
    <w:p>
      <w:pPr>
        <w:pStyle w:val="10"/>
        <w:spacing w:line="580" w:lineRule="exact"/>
        <w:rPr>
          <w:rFonts w:hint="eastAsia" w:eastAsia="仿宋" w:cs="仿宋"/>
          <w:sz w:val="28"/>
          <w:szCs w:val="28"/>
        </w:rPr>
      </w:pPr>
      <w:bookmarkStart w:id="0" w:name="_GoBack"/>
      <w:bookmarkEnd w:id="0"/>
    </w:p>
    <w:p>
      <w:pPr>
        <w:pStyle w:val="10"/>
        <w:spacing w:line="580" w:lineRule="exact"/>
        <w:rPr>
          <w:rFonts w:hint="eastAsia" w:eastAsia="仿宋" w:cs="仿宋"/>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rPr>
        <w:t>第四部分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名词解释</w:t>
      </w:r>
    </w:p>
    <w:p>
      <w:pPr>
        <w:ind w:firstLine="810" w:firstLineChars="250"/>
        <w:rPr>
          <w:rFonts w:hint="eastAsia" w:ascii="仿宋_GB2312" w:hAnsi="宋体" w:eastAsia="仿宋_GB2312"/>
          <w:spacing w:val="2"/>
          <w:sz w:val="32"/>
          <w:szCs w:val="32"/>
        </w:rPr>
      </w:pPr>
      <w:r>
        <w:rPr>
          <w:rFonts w:hint="eastAsia" w:ascii="仿宋_GB2312" w:hAnsi="宋体" w:eastAsia="仿宋_GB2312"/>
          <w:spacing w:val="2"/>
          <w:sz w:val="32"/>
          <w:szCs w:val="32"/>
        </w:rPr>
        <w:t>（一）财政拨款（补助）：指省级财政当年拨付的资金。</w:t>
      </w:r>
    </w:p>
    <w:p>
      <w:pPr>
        <w:ind w:firstLine="810" w:firstLineChars="250"/>
        <w:rPr>
          <w:rFonts w:hint="eastAsia" w:ascii="仿宋_GB2312" w:hAnsi="宋体" w:eastAsia="仿宋_GB2312"/>
          <w:spacing w:val="2"/>
          <w:sz w:val="32"/>
          <w:szCs w:val="32"/>
        </w:rPr>
      </w:pPr>
      <w:r>
        <w:rPr>
          <w:rFonts w:hint="eastAsia" w:ascii="仿宋_GB2312" w:hAnsi="宋体" w:eastAsia="仿宋_GB2312"/>
          <w:spacing w:val="2"/>
          <w:sz w:val="32"/>
          <w:szCs w:val="32"/>
        </w:rPr>
        <w:t xml:space="preserve">（二）事业收入：指事业单位开展专业业务活动及其辅助活动取得的收入。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xml:space="preserve">　　 （三）其他收入：指预算单位在“财政拨款补助收入”、“事业收入”、“经营收入”以外取得的收入。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xml:space="preserve">　　 （四）上年结转：指以前年度尚未完成、结转到本年仍按原规定用途继续使用的资金。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xml:space="preserve">　　 （五）基本支出：指为保障机构正常运转、完成日常工作任务而发生的人员支出和公用支出。 </w:t>
      </w:r>
      <w:r>
        <w:rPr>
          <w:rFonts w:hint="eastAsia" w:ascii="仿宋_GB2312" w:hAnsi="宋体" w:eastAsia="仿宋_GB2312"/>
          <w:spacing w:val="2"/>
          <w:sz w:val="32"/>
          <w:szCs w:val="32"/>
        </w:rPr>
        <w:br w:type="textWrapping"/>
      </w:r>
      <w:r>
        <w:rPr>
          <w:rFonts w:hint="eastAsia" w:ascii="仿宋_GB2312" w:hAnsi="宋体" w:eastAsia="仿宋_GB2312"/>
          <w:spacing w:val="2"/>
          <w:sz w:val="32"/>
          <w:szCs w:val="32"/>
        </w:rPr>
        <w:t>　 　（六）项目支出：指为完成特定的行政工作任务或事业发展目标，在基本支出之外发生的各项支出。</w:t>
      </w:r>
    </w:p>
    <w:p>
      <w:pPr>
        <w:ind w:firstLine="810" w:firstLineChars="250"/>
        <w:rPr>
          <w:rFonts w:hint="eastAsia" w:ascii="仿宋_GB2312" w:hAnsi="宋体" w:eastAsia="仿宋_GB2312"/>
          <w:color w:val="000000"/>
          <w:spacing w:val="2"/>
          <w:sz w:val="32"/>
          <w:szCs w:val="32"/>
        </w:rPr>
      </w:pPr>
      <w:r>
        <w:rPr>
          <w:rFonts w:hint="eastAsia" w:ascii="仿宋_GB2312" w:hAnsi="宋体" w:eastAsia="仿宋_GB2312"/>
          <w:spacing w:val="2"/>
          <w:sz w:val="32"/>
          <w:szCs w:val="32"/>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w:t>
      </w:r>
      <w:r>
        <w:rPr>
          <w:rFonts w:hint="eastAsia" w:ascii="仿宋_GB2312" w:hAnsi="宋体" w:eastAsia="仿宋_GB2312"/>
          <w:color w:val="000000"/>
          <w:spacing w:val="2"/>
          <w:sz w:val="32"/>
          <w:szCs w:val="32"/>
        </w:rPr>
        <w:t>购置及租用费、燃料费、维修费、过路过桥费、保险费、安全奖励费用等支出。</w:t>
      </w:r>
    </w:p>
    <w:p>
      <w:pPr>
        <w:ind w:firstLine="972" w:firstLineChars="300"/>
        <w:rPr>
          <w:rFonts w:hint="eastAsia" w:ascii="仿宋_GB2312" w:hAnsi="宋体" w:eastAsia="仿宋_GB2312"/>
          <w:color w:val="000000"/>
          <w:spacing w:val="2"/>
          <w:sz w:val="32"/>
          <w:szCs w:val="32"/>
        </w:rPr>
      </w:pPr>
      <w:r>
        <w:rPr>
          <w:rFonts w:hint="eastAsia" w:ascii="仿宋_GB2312" w:hAnsi="宋体" w:eastAsia="仿宋_GB2312"/>
          <w:color w:val="000000"/>
          <w:spacing w:val="2"/>
          <w:sz w:val="32"/>
          <w:szCs w:val="32"/>
        </w:rPr>
        <w:t>（八）行政运行（项）：指机关和实行公务员法管理事业单位用于保障机构正常运转的基本支出。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F554"/>
    <w:multiLevelType w:val="singleLevel"/>
    <w:tmpl w:val="6FF2F554"/>
    <w:lvl w:ilvl="0" w:tentative="0">
      <w:start w:val="2"/>
      <w:numFmt w:val="chineseCounting"/>
      <w:suff w:val="space"/>
      <w:lvlText w:val="第%1部分"/>
      <w:lvlJc w:val="left"/>
      <w:rPr>
        <w:rFonts w:hint="eastAsia"/>
      </w:rPr>
    </w:lvl>
  </w:abstractNum>
  <w:abstractNum w:abstractNumId="1">
    <w:nsid w:val="702B4F6F"/>
    <w:multiLevelType w:val="singleLevel"/>
    <w:tmpl w:val="702B4F6F"/>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0ADA2DD8"/>
    <w:rsid w:val="10D369C9"/>
    <w:rsid w:val="22D64CA6"/>
    <w:rsid w:val="24E7536F"/>
    <w:rsid w:val="255E033E"/>
    <w:rsid w:val="2CCE2491"/>
    <w:rsid w:val="31BC7A71"/>
    <w:rsid w:val="3A9208F5"/>
    <w:rsid w:val="3BCD7850"/>
    <w:rsid w:val="3D2D3053"/>
    <w:rsid w:val="405A0E84"/>
    <w:rsid w:val="42D5652A"/>
    <w:rsid w:val="44316A8F"/>
    <w:rsid w:val="4CA670C9"/>
    <w:rsid w:val="551B19CB"/>
    <w:rsid w:val="59396CDE"/>
    <w:rsid w:val="5A0266E2"/>
    <w:rsid w:val="5FC43B61"/>
    <w:rsid w:val="628A3D4D"/>
    <w:rsid w:val="654A47A2"/>
    <w:rsid w:val="6AF86D0C"/>
    <w:rsid w:val="6CF47E1D"/>
    <w:rsid w:val="6D6A3822"/>
    <w:rsid w:val="71CA0975"/>
    <w:rsid w:val="746766E2"/>
    <w:rsid w:val="77665568"/>
    <w:rsid w:val="78186405"/>
    <w:rsid w:val="78C457A5"/>
    <w:rsid w:val="79076AB5"/>
    <w:rsid w:val="79FD13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1">
    <w:name w:val="ca-2"/>
    <w:basedOn w:val="7"/>
    <w:qFormat/>
    <w:uiPriority w:val="0"/>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2021-09-15T02:01:35Z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