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政协</w:t>
      </w:r>
      <w:r>
        <w:rPr>
          <w:rFonts w:ascii="微软雅黑" w:hAnsi="微软雅黑" w:eastAsia="微软雅黑" w:cs="微软雅黑"/>
          <w:color w:val="BC1010"/>
          <w:sz w:val="40"/>
          <w:szCs w:val="40"/>
          <w:shd w:val="clear" w:color="auto" w:fill="FFFFFF"/>
        </w:rPr>
        <w:t>2019</w:t>
      </w:r>
      <w:r>
        <w:rPr>
          <w:rFonts w:hint="eastAsia" w:ascii="微软雅黑" w:hAnsi="微软雅黑" w:eastAsia="微软雅黑" w:cs="微软雅黑"/>
          <w:color w:val="BC1010"/>
          <w:sz w:val="40"/>
          <w:szCs w:val="40"/>
          <w:shd w:val="clear" w:color="auto" w:fill="FFFFFF"/>
        </w:rPr>
        <w:t>年决算公开</w:t>
      </w:r>
    </w:p>
    <w:p>
      <w:pPr>
        <w:pStyle w:val="7"/>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黄石港区政协</w:t>
      </w:r>
      <w:r>
        <w:rPr>
          <w:rStyle w:val="9"/>
          <w:rFonts w:ascii="微软雅黑" w:hAnsi="微软雅黑" w:eastAsia="微软雅黑" w:cs="微软雅黑"/>
          <w:color w:val="333333"/>
          <w:shd w:val="clear" w:color="auto" w:fill="FFFFFF"/>
        </w:rPr>
        <w:t>2019</w:t>
      </w:r>
      <w:r>
        <w:rPr>
          <w:rStyle w:val="9"/>
          <w:rFonts w:hint="eastAsia" w:ascii="微软雅黑" w:hAnsi="微软雅黑" w:eastAsia="微软雅黑" w:cs="微软雅黑"/>
          <w:color w:val="333333"/>
          <w:shd w:val="clear" w:color="auto" w:fill="FFFFFF"/>
        </w:rPr>
        <w:t>年决算公开</w:t>
      </w:r>
    </w:p>
    <w:p>
      <w:pPr>
        <w:pStyle w:val="7"/>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录</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w:t>
      </w:r>
      <w:r>
        <w:rPr>
          <w:rFonts w:ascii="微软雅黑" w:hAnsi="微软雅黑" w:eastAsia="微软雅黑" w:cs="微软雅黑"/>
          <w:color w:val="333333"/>
          <w:shd w:val="clear" w:color="auto" w:fill="FFFFFF"/>
        </w:rPr>
        <w:t>:</w:t>
      </w:r>
      <w:r>
        <w:rPr>
          <w:rFonts w:hint="eastAsia" w:ascii="微软雅黑" w:hAnsi="微软雅黑" w:eastAsia="微软雅黑" w:cs="微软雅黑"/>
          <w:color w:val="333333"/>
          <w:shd w:val="clear" w:color="auto" w:fill="FFFFFF"/>
        </w:rPr>
        <w:t>部门基本情况</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部门</w:t>
      </w:r>
      <w:r>
        <w:rPr>
          <w:rFonts w:ascii="微软雅黑" w:hAnsi="微软雅黑" w:eastAsia="微软雅黑" w:cs="微软雅黑"/>
          <w:color w:val="333333"/>
          <w:shd w:val="clear" w:color="auto" w:fill="FFFFFF"/>
        </w:rPr>
        <w:t>2019</w:t>
      </w:r>
      <w:r>
        <w:rPr>
          <w:rFonts w:hint="eastAsia" w:ascii="微软雅黑" w:hAnsi="微软雅黑" w:eastAsia="微软雅黑" w:cs="微软雅黑"/>
          <w:color w:val="333333"/>
          <w:shd w:val="clear" w:color="auto" w:fill="FFFFFF"/>
        </w:rPr>
        <w:t>年部门决算表</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w:t>
      </w:r>
      <w:r>
        <w:rPr>
          <w:rFonts w:ascii="微软雅黑" w:hAnsi="微软雅黑" w:eastAsia="微软雅黑" w:cs="微软雅黑"/>
          <w:color w:val="333333"/>
          <w:shd w:val="clear" w:color="auto" w:fill="FFFFFF"/>
        </w:rPr>
        <w:t>2019</w:t>
      </w:r>
      <w:r>
        <w:rPr>
          <w:rFonts w:hint="eastAsia" w:ascii="微软雅黑" w:hAnsi="微软雅黑" w:eastAsia="微软雅黑" w:cs="微软雅黑"/>
          <w:color w:val="333333"/>
          <w:shd w:val="clear" w:color="auto" w:fill="FFFFFF"/>
        </w:rPr>
        <w:t>年部门决算情况说明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7"/>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w:t>
      </w:r>
      <w:r>
        <w:rPr>
          <w:rFonts w:ascii="微软雅黑" w:hAnsi="微软雅黑" w:eastAsia="微软雅黑" w:cs="微软雅黑"/>
          <w:color w:val="333333"/>
          <w:shd w:val="clear" w:color="auto" w:fill="FFFFFF"/>
        </w:rPr>
        <w:t> </w:t>
      </w:r>
    </w:p>
    <w:p>
      <w:pPr>
        <w:pStyle w:val="7"/>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color w:val="333333"/>
        </w:rPr>
      </w:pPr>
      <w:r>
        <w:rPr>
          <w:rStyle w:val="9"/>
          <w:rFonts w:ascii="微软雅黑" w:hAnsi="微软雅黑" w:eastAsia="微软雅黑" w:cs="微软雅黑"/>
          <w:color w:val="333333"/>
          <w:shd w:val="clear" w:color="auto" w:fill="FFFFFF"/>
        </w:rPr>
        <w:t>2019</w:t>
      </w:r>
      <w:r>
        <w:rPr>
          <w:rStyle w:val="9"/>
          <w:rFonts w:hint="eastAsia" w:ascii="微软雅黑" w:hAnsi="微软雅黑" w:eastAsia="微软雅黑" w:cs="微软雅黑"/>
          <w:color w:val="333333"/>
          <w:shd w:val="clear" w:color="auto" w:fill="FFFFFF"/>
        </w:rPr>
        <w:t>年部门决算</w:t>
      </w:r>
    </w:p>
    <w:p>
      <w:pPr>
        <w:pStyle w:val="7"/>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w:t>
      </w:r>
      <w:r>
        <w:rPr>
          <w:rStyle w:val="9"/>
          <w:rFonts w:ascii="微软雅黑" w:hAnsi="微软雅黑" w:eastAsia="微软雅黑" w:cs="微软雅黑"/>
          <w:color w:val="333333"/>
          <w:shd w:val="clear" w:color="auto" w:fill="FFFFFF"/>
        </w:rPr>
        <w:t xml:space="preserve"> </w:t>
      </w:r>
      <w:r>
        <w:rPr>
          <w:rStyle w:val="9"/>
          <w:rFonts w:hint="eastAsia" w:ascii="微软雅黑" w:hAnsi="微软雅黑" w:eastAsia="微软雅黑" w:cs="微软雅黑"/>
          <w:color w:val="333333"/>
          <w:shd w:val="clear" w:color="auto" w:fill="FFFFFF"/>
        </w:rPr>
        <w:t>部门概况</w:t>
      </w:r>
    </w:p>
    <w:p>
      <w:pPr>
        <w:widowControl/>
        <w:shd w:val="clear" w:color="auto" w:fill="FFFFFF"/>
        <w:snapToGrid w:val="0"/>
        <w:spacing w:line="560" w:lineRule="atLeast"/>
        <w:ind w:firstLine="562"/>
        <w:jc w:val="left"/>
        <w:rPr>
          <w:rFonts w:ascii="宋体" w:cs="宋体"/>
          <w:b/>
          <w:bCs/>
          <w:color w:val="333333"/>
          <w:kern w:val="0"/>
          <w:sz w:val="28"/>
          <w:szCs w:val="28"/>
        </w:rPr>
      </w:pPr>
      <w:r>
        <w:rPr>
          <w:rFonts w:hint="eastAsia" w:ascii="宋体" w:hAnsi="宋体" w:cs="宋体"/>
          <w:color w:val="333333"/>
          <w:kern w:val="0"/>
          <w:sz w:val="28"/>
          <w:szCs w:val="28"/>
        </w:rPr>
        <w:t>（</w:t>
      </w:r>
      <w:r>
        <w:rPr>
          <w:rFonts w:hint="eastAsia" w:ascii="宋体" w:hAnsi="宋体"/>
          <w:sz w:val="28"/>
          <w:szCs w:val="28"/>
        </w:rPr>
        <w:t>一）主要职责</w:t>
      </w:r>
    </w:p>
    <w:p>
      <w:pPr>
        <w:autoSpaceDE w:val="0"/>
        <w:autoSpaceDN w:val="0"/>
        <w:adjustRightInd w:val="0"/>
        <w:ind w:firstLine="560" w:firstLineChars="200"/>
        <w:jc w:val="left"/>
        <w:rPr>
          <w:rFonts w:ascii="宋体" w:cs="宋体"/>
          <w:kern w:val="0"/>
          <w:sz w:val="28"/>
          <w:szCs w:val="28"/>
          <w:lang w:val="zh-CN"/>
        </w:rPr>
      </w:pPr>
      <w:r>
        <w:rPr>
          <w:rFonts w:ascii="宋体" w:hAnsi="宋体" w:cs="宋体"/>
          <w:kern w:val="0"/>
          <w:sz w:val="28"/>
          <w:szCs w:val="28"/>
          <w:lang w:val="zh-CN"/>
        </w:rPr>
        <w:t xml:space="preserve"> </w:t>
      </w:r>
      <w:r>
        <w:rPr>
          <w:rFonts w:hint="eastAsia" w:ascii="宋体" w:hAnsi="宋体" w:cs="宋体"/>
          <w:kern w:val="0"/>
          <w:sz w:val="28"/>
          <w:szCs w:val="28"/>
          <w:lang w:val="zh-CN"/>
        </w:rPr>
        <w:t>进行政治协商：是对国家和地方的大政方针以及政治、经济、文化和社会生活中的重要问题在决策之前进行协商和就决策执行过程中的重要问题进行协商。中国政协的政治协商是中国共产党领导的多党合作的重要体现。</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进行民主监督：是对国家宪法、法律和法规的实施，重大方针政策的贯彻执行、国家机关及其工作人员的工作，通过建议和批评进行监督。它是参加中国政协的各党派团体和各族各界人士通过政协组织对国家机关及其工作人员的工作进行的监督，也是中国共产党在政协中与各民主党派和无党派人士之间进行的互相监督。</w:t>
      </w:r>
    </w:p>
    <w:p>
      <w:pPr>
        <w:autoSpaceDE w:val="0"/>
        <w:autoSpaceDN w:val="0"/>
        <w:adjustRightInd w:val="0"/>
        <w:ind w:firstLine="420" w:firstLineChars="150"/>
        <w:jc w:val="left"/>
        <w:rPr>
          <w:rFonts w:ascii="宋体" w:cs="宋体"/>
          <w:kern w:val="0"/>
          <w:sz w:val="28"/>
          <w:szCs w:val="28"/>
          <w:lang w:val="zh-CN"/>
        </w:rPr>
      </w:pPr>
      <w:r>
        <w:rPr>
          <w:rFonts w:hint="eastAsia" w:ascii="宋体" w:hAnsi="宋体" w:cs="宋体"/>
          <w:kern w:val="0"/>
          <w:sz w:val="28"/>
          <w:szCs w:val="28"/>
          <w:lang w:val="zh-CN"/>
        </w:rPr>
        <w:t>进行参政议政：是对政治、经济、文化和社会生活中的重要问题以及人民群众普遍关心的问题，开展调查研究，反映社情民意，进行协商讨论。通过调研报告、提案、建议案或其他形式，向中国共产党和国家机关提出意见和建议。中国政协的参政议政是人民政协履行职能的重要形式。</w:t>
      </w:r>
    </w:p>
    <w:p>
      <w:pPr>
        <w:spacing w:line="620" w:lineRule="exact"/>
        <w:ind w:firstLine="280" w:firstLineChars="100"/>
        <w:rPr>
          <w:rFonts w:ascii="宋体" w:cs="宋体"/>
          <w:kern w:val="0"/>
          <w:sz w:val="28"/>
          <w:szCs w:val="28"/>
        </w:rPr>
      </w:pPr>
      <w:r>
        <w:rPr>
          <w:rFonts w:hint="eastAsia" w:ascii="宋体" w:hAnsi="宋体"/>
          <w:sz w:val="28"/>
          <w:szCs w:val="28"/>
        </w:rPr>
        <w:t>（二）机构设置：</w:t>
      </w:r>
      <w:r>
        <w:rPr>
          <w:rFonts w:hint="eastAsia" w:ascii="宋体" w:hAnsi="宋体" w:cs="Tahoma"/>
          <w:color w:val="333333"/>
          <w:kern w:val="0"/>
          <w:sz w:val="28"/>
          <w:szCs w:val="28"/>
        </w:rPr>
        <w:t>设有专委会办公室、政协办公室。</w:t>
      </w:r>
    </w:p>
    <w:p>
      <w:pPr>
        <w:pStyle w:val="7"/>
        <w:widowControl/>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第二部分</w:t>
      </w:r>
      <w:r>
        <w:rPr>
          <w:rStyle w:val="9"/>
          <w:rFonts w:ascii="微软雅黑" w:hAnsi="微软雅黑" w:eastAsia="微软雅黑" w:cs="微软雅黑"/>
          <w:color w:val="333333"/>
          <w:shd w:val="clear" w:color="auto" w:fill="FFFFFF"/>
        </w:rPr>
        <w:t xml:space="preserve"> </w:t>
      </w:r>
      <w:r>
        <w:rPr>
          <w:rStyle w:val="9"/>
          <w:rFonts w:hint="eastAsia" w:ascii="微软雅黑" w:hAnsi="微软雅黑" w:eastAsia="微软雅黑" w:cs="微软雅黑"/>
          <w:color w:val="333333"/>
          <w:shd w:val="clear" w:color="auto" w:fill="FFFFFF"/>
        </w:rPr>
        <w:t>部门</w:t>
      </w:r>
      <w:r>
        <w:rPr>
          <w:rStyle w:val="9"/>
          <w:rFonts w:ascii="微软雅黑" w:hAnsi="微软雅黑" w:eastAsia="微软雅黑" w:cs="微软雅黑"/>
          <w:color w:val="333333"/>
          <w:shd w:val="clear" w:color="auto" w:fill="FFFFFF"/>
        </w:rPr>
        <w:t>2019</w:t>
      </w:r>
      <w:r>
        <w:rPr>
          <w:rStyle w:val="9"/>
          <w:rFonts w:hint="eastAsia" w:ascii="微软雅黑" w:hAnsi="微软雅黑" w:eastAsia="微软雅黑" w:cs="微软雅黑"/>
          <w:color w:val="333333"/>
          <w:shd w:val="clear" w:color="auto" w:fill="FFFFFF"/>
        </w:rPr>
        <w:t>年部门决算表</w:t>
      </w:r>
    </w:p>
    <w:tbl>
      <w:tblPr>
        <w:tblStyle w:val="10"/>
        <w:tblW w:w="13264" w:type="dxa"/>
        <w:jc w:val="center"/>
        <w:tblInd w:w="0" w:type="dxa"/>
        <w:tblLayout w:type="fixed"/>
        <w:tblCellMar>
          <w:top w:w="0" w:type="dxa"/>
          <w:left w:w="108" w:type="dxa"/>
          <w:bottom w:w="0" w:type="dxa"/>
          <w:right w:w="108" w:type="dxa"/>
        </w:tblCellMar>
      </w:tblPr>
      <w:tblGrid>
        <w:gridCol w:w="4514"/>
        <w:gridCol w:w="338"/>
        <w:gridCol w:w="382"/>
        <w:gridCol w:w="1518"/>
        <w:gridCol w:w="4104"/>
        <w:gridCol w:w="580"/>
        <w:gridCol w:w="98"/>
        <w:gridCol w:w="1730"/>
      </w:tblGrid>
      <w:tr>
        <w:tblPrEx>
          <w:tblLayout w:type="fixed"/>
          <w:tblCellMar>
            <w:top w:w="0" w:type="dxa"/>
            <w:left w:w="108" w:type="dxa"/>
            <w:bottom w:w="0" w:type="dxa"/>
            <w:right w:w="108" w:type="dxa"/>
          </w:tblCellMar>
        </w:tblPrEx>
        <w:trPr>
          <w:trHeight w:val="375" w:hRule="atLeast"/>
          <w:jc w:val="center"/>
        </w:trPr>
        <w:tc>
          <w:tcPr>
            <w:tcW w:w="13264" w:type="dxa"/>
            <w:gridSpan w:val="8"/>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收入支出决算总表</w:t>
            </w:r>
          </w:p>
        </w:tc>
      </w:tr>
      <w:tr>
        <w:tblPrEx>
          <w:tblLayout w:type="fixed"/>
          <w:tblCellMar>
            <w:top w:w="0" w:type="dxa"/>
            <w:left w:w="108" w:type="dxa"/>
            <w:bottom w:w="0" w:type="dxa"/>
            <w:right w:w="108" w:type="dxa"/>
          </w:tblCellMar>
        </w:tblPrEx>
        <w:trPr>
          <w:trHeight w:val="300" w:hRule="atLeast"/>
          <w:jc w:val="center"/>
        </w:trPr>
        <w:tc>
          <w:tcPr>
            <w:tcW w:w="4852" w:type="dxa"/>
            <w:gridSpan w:val="2"/>
            <w:tcBorders>
              <w:top w:val="nil"/>
              <w:left w:val="nil"/>
              <w:bottom w:val="nil"/>
              <w:right w:val="nil"/>
            </w:tcBorders>
            <w:shd w:val="clear" w:color="auto" w:fill="FFFFFF"/>
            <w:noWrap/>
            <w:vAlign w:val="center"/>
          </w:tcPr>
          <w:p>
            <w:pPr>
              <w:widowControl/>
              <w:jc w:val="left"/>
              <w:rPr>
                <w:rFonts w:ascii="宋体" w:cs="Arial"/>
                <w:kern w:val="0"/>
                <w:sz w:val="22"/>
                <w:szCs w:val="22"/>
              </w:rPr>
            </w:pPr>
            <w:r>
              <w:rPr>
                <w:rFonts w:hint="eastAsia" w:ascii="宋体" w:hAnsi="宋体" w:cs="Arial"/>
                <w:kern w:val="0"/>
                <w:sz w:val="22"/>
                <w:szCs w:val="22"/>
              </w:rPr>
              <w:t>　</w:t>
            </w:r>
          </w:p>
        </w:tc>
        <w:tc>
          <w:tcPr>
            <w:tcW w:w="38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51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41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58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828"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r>
      <w:tr>
        <w:tblPrEx>
          <w:tblLayout w:type="fixed"/>
          <w:tblCellMar>
            <w:top w:w="0" w:type="dxa"/>
            <w:left w:w="108" w:type="dxa"/>
            <w:bottom w:w="0" w:type="dxa"/>
            <w:right w:w="108" w:type="dxa"/>
          </w:tblCellMar>
        </w:tblPrEx>
        <w:trPr>
          <w:trHeight w:val="300" w:hRule="atLeast"/>
          <w:jc w:val="center"/>
        </w:trPr>
        <w:tc>
          <w:tcPr>
            <w:tcW w:w="4852"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8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51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41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58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828" w:type="dxa"/>
            <w:gridSpan w:val="2"/>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01</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0" w:hRule="atLeast"/>
          <w:jc w:val="center"/>
        </w:trPr>
        <w:tc>
          <w:tcPr>
            <w:tcW w:w="5234" w:type="dxa"/>
            <w:gridSpan w:val="3"/>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部门：中国人民政治协商会议黄石市黄石港区委员会</w:t>
            </w:r>
          </w:p>
        </w:tc>
        <w:tc>
          <w:tcPr>
            <w:tcW w:w="1518"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4104"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580"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828" w:type="dxa"/>
            <w:gridSpan w:val="2"/>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jc w:val="center"/>
        </w:trPr>
        <w:tc>
          <w:tcPr>
            <w:tcW w:w="6752"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收入</w:t>
            </w:r>
          </w:p>
        </w:tc>
        <w:tc>
          <w:tcPr>
            <w:tcW w:w="6512" w:type="dxa"/>
            <w:gridSpan w:val="4"/>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支出</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151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金额</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173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金额</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栏次</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151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栏次</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173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一、一般公共预算财政拨款收入</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一、一般公共服务支出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29</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二、政府性基金预算财政拨款收入</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二、外交支出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30</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三、上级补助收入</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三、国防支出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31</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四、事业收入</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四、公共安全支出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32</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五、经营收入</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五、教育支出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33</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六、附属单位上缴收入</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6</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六、科学技术支出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34</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七、其他收入</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7</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七、文化旅游体育与传媒支出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35</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8</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八、社会保障和就业支出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36</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9</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九、卫生健康支出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37</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10</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十、节能环保支出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38</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11</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十一、城乡社区支出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39</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12</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十二、农林水支出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40</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13</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十三、交通运输支出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41</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14</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十四、资源勘探信息等支出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42</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15</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十五、商业服务业等支出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43</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16</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十六、金融支出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44</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17</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十七、援助其他地区支出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45</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18</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十八、自然资源海洋气象等支出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46</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19</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十九、住房保障支出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47</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20</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二十、粮油物资储备支出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48</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21</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二十一、灾害防治及应急管理支出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49</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22</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二十二、其他支出</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50</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23</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51</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本年收入合计</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24</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本年支出合计</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52</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用事业基金弥补收支差额</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25</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结余分配</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53</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年初结转和结余</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26</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180,873.77</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年末结转和结余</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54</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180,873.77</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27</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55</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jc w:val="center"/>
        </w:trPr>
        <w:tc>
          <w:tcPr>
            <w:tcW w:w="4514"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72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28</w:t>
            </w:r>
          </w:p>
        </w:tc>
        <w:tc>
          <w:tcPr>
            <w:tcW w:w="15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4,070,302.14</w:t>
            </w:r>
          </w:p>
        </w:tc>
        <w:tc>
          <w:tcPr>
            <w:tcW w:w="41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678"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56</w:t>
            </w:r>
          </w:p>
        </w:tc>
        <w:tc>
          <w:tcPr>
            <w:tcW w:w="17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4,070,302.14</w:t>
            </w:r>
          </w:p>
        </w:tc>
      </w:tr>
      <w:tr>
        <w:tblPrEx>
          <w:tblLayout w:type="fixed"/>
          <w:tblCellMar>
            <w:top w:w="0" w:type="dxa"/>
            <w:left w:w="108" w:type="dxa"/>
            <w:bottom w:w="0" w:type="dxa"/>
            <w:right w:w="108" w:type="dxa"/>
          </w:tblCellMar>
        </w:tblPrEx>
        <w:trPr>
          <w:trHeight w:val="300" w:hRule="atLeast"/>
          <w:jc w:val="center"/>
        </w:trPr>
        <w:tc>
          <w:tcPr>
            <w:tcW w:w="13264" w:type="dxa"/>
            <w:gridSpan w:val="8"/>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注：本表反映部门本年度的总收支和年末结转结余情况。</w:t>
            </w:r>
          </w:p>
        </w:tc>
      </w:tr>
    </w:tbl>
    <w:tbl>
      <w:tblPr>
        <w:tblStyle w:val="10"/>
        <w:tblpPr w:leftFromText="180" w:rightFromText="180" w:vertAnchor="text" w:horzAnchor="page" w:tblpX="1761" w:tblpY="267"/>
        <w:tblOverlap w:val="never"/>
        <w:tblW w:w="13361" w:type="dxa"/>
        <w:tblInd w:w="0" w:type="dxa"/>
        <w:tblLayout w:type="fixed"/>
        <w:tblCellMar>
          <w:top w:w="0" w:type="dxa"/>
          <w:left w:w="108" w:type="dxa"/>
          <w:bottom w:w="0" w:type="dxa"/>
          <w:right w:w="108" w:type="dxa"/>
        </w:tblCellMar>
      </w:tblPr>
      <w:tblGrid>
        <w:gridCol w:w="304"/>
        <w:gridCol w:w="304"/>
        <w:gridCol w:w="308"/>
        <w:gridCol w:w="2549"/>
        <w:gridCol w:w="1727"/>
        <w:gridCol w:w="1477"/>
        <w:gridCol w:w="1387"/>
        <w:gridCol w:w="1037"/>
        <w:gridCol w:w="1130"/>
        <w:gridCol w:w="1769"/>
        <w:gridCol w:w="1369"/>
      </w:tblGrid>
      <w:tr>
        <w:tblPrEx>
          <w:tblLayout w:type="fixed"/>
          <w:tblCellMar>
            <w:top w:w="0" w:type="dxa"/>
            <w:left w:w="108" w:type="dxa"/>
            <w:bottom w:w="0" w:type="dxa"/>
            <w:right w:w="108" w:type="dxa"/>
          </w:tblCellMar>
        </w:tblPrEx>
        <w:trPr>
          <w:trHeight w:val="614" w:hRule="atLeast"/>
        </w:trPr>
        <w:tc>
          <w:tcPr>
            <w:tcW w:w="13361" w:type="dxa"/>
            <w:gridSpan w:val="11"/>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收入决算表</w:t>
            </w:r>
          </w:p>
        </w:tc>
      </w:tr>
      <w:tr>
        <w:tblPrEx>
          <w:tblLayout w:type="fixed"/>
          <w:tblCellMar>
            <w:top w:w="0" w:type="dxa"/>
            <w:left w:w="108" w:type="dxa"/>
            <w:bottom w:w="0" w:type="dxa"/>
            <w:right w:w="108" w:type="dxa"/>
          </w:tblCellMar>
        </w:tblPrEx>
        <w:trPr>
          <w:trHeight w:val="307" w:hRule="atLeast"/>
        </w:trPr>
        <w:tc>
          <w:tcPr>
            <w:tcW w:w="3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54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2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7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8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3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3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6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69"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02</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614" w:hRule="atLeast"/>
        </w:trPr>
        <w:tc>
          <w:tcPr>
            <w:tcW w:w="5192" w:type="dxa"/>
            <w:gridSpan w:val="5"/>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部门：中国人民政治协商会议黄石市黄石港区委员会</w:t>
            </w:r>
          </w:p>
        </w:tc>
        <w:tc>
          <w:tcPr>
            <w:tcW w:w="1477"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1387"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037"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130"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769"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369"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17" w:hRule="atLeast"/>
        </w:trPr>
        <w:tc>
          <w:tcPr>
            <w:tcW w:w="3465"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172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本年收入合计</w:t>
            </w:r>
          </w:p>
        </w:tc>
        <w:tc>
          <w:tcPr>
            <w:tcW w:w="147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财政拨款收入</w:t>
            </w:r>
          </w:p>
        </w:tc>
        <w:tc>
          <w:tcPr>
            <w:tcW w:w="138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上级补助收入</w:t>
            </w:r>
          </w:p>
        </w:tc>
        <w:tc>
          <w:tcPr>
            <w:tcW w:w="103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事业收入</w:t>
            </w:r>
          </w:p>
        </w:tc>
        <w:tc>
          <w:tcPr>
            <w:tcW w:w="113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经营收入</w:t>
            </w:r>
          </w:p>
        </w:tc>
        <w:tc>
          <w:tcPr>
            <w:tcW w:w="1769"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附属单位上缴收入</w:t>
            </w:r>
          </w:p>
        </w:tc>
        <w:tc>
          <w:tcPr>
            <w:tcW w:w="1369"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其他收入</w:t>
            </w:r>
          </w:p>
        </w:tc>
      </w:tr>
      <w:tr>
        <w:tblPrEx>
          <w:tblLayout w:type="fixed"/>
          <w:tblCellMar>
            <w:top w:w="0" w:type="dxa"/>
            <w:left w:w="108" w:type="dxa"/>
            <w:bottom w:w="0" w:type="dxa"/>
            <w:right w:w="108" w:type="dxa"/>
          </w:tblCellMar>
        </w:tblPrEx>
        <w:trPr>
          <w:trHeight w:val="317" w:hRule="atLeast"/>
        </w:trPr>
        <w:tc>
          <w:tcPr>
            <w:tcW w:w="916"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功能分类科目编码</w:t>
            </w:r>
          </w:p>
        </w:tc>
        <w:tc>
          <w:tcPr>
            <w:tcW w:w="2549" w:type="dxa"/>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72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7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8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3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3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6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6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17" w:hRule="atLeast"/>
        </w:trPr>
        <w:tc>
          <w:tcPr>
            <w:tcW w:w="91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254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2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7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8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3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3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6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6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17" w:hRule="atLeast"/>
        </w:trPr>
        <w:tc>
          <w:tcPr>
            <w:tcW w:w="91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254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2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7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8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3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3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6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6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17" w:hRule="atLeast"/>
        </w:trPr>
        <w:tc>
          <w:tcPr>
            <w:tcW w:w="3465"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栏次</w:t>
            </w:r>
          </w:p>
        </w:tc>
        <w:tc>
          <w:tcPr>
            <w:tcW w:w="1727"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w:t>
            </w:r>
          </w:p>
        </w:tc>
        <w:tc>
          <w:tcPr>
            <w:tcW w:w="1477"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2</w:t>
            </w:r>
          </w:p>
        </w:tc>
        <w:tc>
          <w:tcPr>
            <w:tcW w:w="1387"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3</w:t>
            </w:r>
          </w:p>
        </w:tc>
        <w:tc>
          <w:tcPr>
            <w:tcW w:w="1037"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4</w:t>
            </w:r>
          </w:p>
        </w:tc>
        <w:tc>
          <w:tcPr>
            <w:tcW w:w="113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5</w:t>
            </w:r>
          </w:p>
        </w:tc>
        <w:tc>
          <w:tcPr>
            <w:tcW w:w="1769"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6</w:t>
            </w:r>
          </w:p>
        </w:tc>
        <w:tc>
          <w:tcPr>
            <w:tcW w:w="1369"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7</w:t>
            </w:r>
          </w:p>
        </w:tc>
      </w:tr>
      <w:tr>
        <w:tblPrEx>
          <w:tblLayout w:type="fixed"/>
          <w:tblCellMar>
            <w:top w:w="0" w:type="dxa"/>
            <w:left w:w="108" w:type="dxa"/>
            <w:bottom w:w="0" w:type="dxa"/>
            <w:right w:w="108" w:type="dxa"/>
          </w:tblCellMar>
        </w:tblPrEx>
        <w:trPr>
          <w:trHeight w:val="317" w:hRule="atLeast"/>
        </w:trPr>
        <w:tc>
          <w:tcPr>
            <w:tcW w:w="3465"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合计</w:t>
            </w:r>
          </w:p>
        </w:tc>
        <w:tc>
          <w:tcPr>
            <w:tcW w:w="172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138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0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1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7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3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17" w:hRule="atLeast"/>
        </w:trPr>
        <w:tc>
          <w:tcPr>
            <w:tcW w:w="916"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w:t>
            </w:r>
          </w:p>
        </w:tc>
        <w:tc>
          <w:tcPr>
            <w:tcW w:w="254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一般公共服务支出</w:t>
            </w:r>
          </w:p>
        </w:tc>
        <w:tc>
          <w:tcPr>
            <w:tcW w:w="172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147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138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03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13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769"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369"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17" w:hRule="atLeast"/>
        </w:trPr>
        <w:tc>
          <w:tcPr>
            <w:tcW w:w="916"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20102</w:t>
            </w:r>
          </w:p>
        </w:tc>
        <w:tc>
          <w:tcPr>
            <w:tcW w:w="254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政协事务</w:t>
            </w:r>
          </w:p>
        </w:tc>
        <w:tc>
          <w:tcPr>
            <w:tcW w:w="172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147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138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03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13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769"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369"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17" w:hRule="atLeast"/>
        </w:trPr>
        <w:tc>
          <w:tcPr>
            <w:tcW w:w="916"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2010201</w:t>
            </w:r>
          </w:p>
        </w:tc>
        <w:tc>
          <w:tcPr>
            <w:tcW w:w="2549"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行政运行</w:t>
            </w:r>
          </w:p>
        </w:tc>
        <w:tc>
          <w:tcPr>
            <w:tcW w:w="172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14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138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0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13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7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3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17" w:hRule="atLeast"/>
        </w:trPr>
        <w:tc>
          <w:tcPr>
            <w:tcW w:w="13361" w:type="dxa"/>
            <w:gridSpan w:val="11"/>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注：本表反映部门本年度取得的各项收入情况。</w:t>
            </w:r>
          </w:p>
        </w:tc>
      </w:tr>
    </w:tbl>
    <w:tbl>
      <w:tblPr>
        <w:tblStyle w:val="10"/>
        <w:tblpPr w:leftFromText="180" w:rightFromText="180" w:vertAnchor="page" w:horzAnchor="page" w:tblpXSpec="center" w:tblpY="3546"/>
        <w:tblW w:w="13595" w:type="dxa"/>
        <w:jc w:val="center"/>
        <w:tblInd w:w="0" w:type="dxa"/>
        <w:tblLayout w:type="fixed"/>
        <w:tblCellMar>
          <w:top w:w="0" w:type="dxa"/>
          <w:left w:w="108" w:type="dxa"/>
          <w:bottom w:w="0" w:type="dxa"/>
          <w:right w:w="108" w:type="dxa"/>
        </w:tblCellMar>
      </w:tblPr>
      <w:tblGrid>
        <w:gridCol w:w="304"/>
        <w:gridCol w:w="304"/>
        <w:gridCol w:w="308"/>
        <w:gridCol w:w="4015"/>
        <w:gridCol w:w="1426"/>
        <w:gridCol w:w="1426"/>
        <w:gridCol w:w="1167"/>
        <w:gridCol w:w="1500"/>
        <w:gridCol w:w="1107"/>
        <w:gridCol w:w="2038"/>
      </w:tblGrid>
      <w:tr>
        <w:tblPrEx>
          <w:tblLayout w:type="fixed"/>
          <w:tblCellMar>
            <w:top w:w="0" w:type="dxa"/>
            <w:left w:w="108" w:type="dxa"/>
            <w:bottom w:w="0" w:type="dxa"/>
            <w:right w:w="108" w:type="dxa"/>
          </w:tblCellMar>
        </w:tblPrEx>
        <w:trPr>
          <w:trHeight w:val="570" w:hRule="atLeast"/>
          <w:jc w:val="center"/>
        </w:trPr>
        <w:tc>
          <w:tcPr>
            <w:tcW w:w="13595" w:type="dxa"/>
            <w:gridSpan w:val="10"/>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支出决算表</w:t>
            </w:r>
          </w:p>
        </w:tc>
      </w:tr>
      <w:tr>
        <w:tblPrEx>
          <w:tblLayout w:type="fixed"/>
          <w:tblCellMar>
            <w:top w:w="0" w:type="dxa"/>
            <w:left w:w="108" w:type="dxa"/>
            <w:bottom w:w="0" w:type="dxa"/>
            <w:right w:w="108" w:type="dxa"/>
          </w:tblCellMar>
        </w:tblPrEx>
        <w:trPr>
          <w:trHeight w:val="285" w:hRule="atLeast"/>
          <w:jc w:val="center"/>
        </w:trPr>
        <w:tc>
          <w:tcPr>
            <w:tcW w:w="304" w:type="dxa"/>
            <w:tcBorders>
              <w:top w:val="nil"/>
              <w:left w:val="nil"/>
              <w:bottom w:val="nil"/>
              <w:right w:val="nil"/>
            </w:tcBorders>
            <w:shd w:val="clear" w:color="auto" w:fill="FFFFFF"/>
            <w:noWrap/>
            <w:vAlign w:val="center"/>
          </w:tcPr>
          <w:p>
            <w:pPr>
              <w:widowControl/>
              <w:jc w:val="left"/>
              <w:rPr>
                <w:rFonts w:ascii="宋体" w:cs="Arial"/>
                <w:kern w:val="0"/>
                <w:sz w:val="22"/>
                <w:szCs w:val="22"/>
              </w:rPr>
            </w:pPr>
            <w:r>
              <w:rPr>
                <w:rFonts w:hint="eastAsia" w:ascii="宋体" w:hAnsi="宋体" w:cs="Arial"/>
                <w:kern w:val="0"/>
                <w:sz w:val="22"/>
                <w:szCs w:val="22"/>
              </w:rPr>
              <w:t>　</w:t>
            </w:r>
          </w:p>
        </w:tc>
        <w:tc>
          <w:tcPr>
            <w:tcW w:w="3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401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2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2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6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50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0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03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r>
      <w:tr>
        <w:tblPrEx>
          <w:tblLayout w:type="fixed"/>
          <w:tblCellMar>
            <w:top w:w="0" w:type="dxa"/>
            <w:left w:w="108" w:type="dxa"/>
            <w:bottom w:w="0" w:type="dxa"/>
            <w:right w:w="108" w:type="dxa"/>
          </w:tblCellMar>
        </w:tblPrEx>
        <w:trPr>
          <w:trHeight w:val="285" w:hRule="atLeast"/>
          <w:jc w:val="center"/>
        </w:trPr>
        <w:tc>
          <w:tcPr>
            <w:tcW w:w="3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401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2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2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6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50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0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038"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03</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285" w:hRule="atLeast"/>
          <w:jc w:val="center"/>
        </w:trPr>
        <w:tc>
          <w:tcPr>
            <w:tcW w:w="4931" w:type="dxa"/>
            <w:gridSpan w:val="4"/>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部门：中国人民政治协商会议黄石市黄石港区委员会</w:t>
            </w:r>
          </w:p>
        </w:tc>
        <w:tc>
          <w:tcPr>
            <w:tcW w:w="1426"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142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167"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500"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107"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038"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294" w:hRule="atLeast"/>
          <w:jc w:val="center"/>
        </w:trPr>
        <w:tc>
          <w:tcPr>
            <w:tcW w:w="4931"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142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本年支出合计</w:t>
            </w:r>
          </w:p>
        </w:tc>
        <w:tc>
          <w:tcPr>
            <w:tcW w:w="142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基本支出</w:t>
            </w:r>
          </w:p>
        </w:tc>
        <w:tc>
          <w:tcPr>
            <w:tcW w:w="116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项目支出</w:t>
            </w:r>
          </w:p>
        </w:tc>
        <w:tc>
          <w:tcPr>
            <w:tcW w:w="150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上缴上级支出</w:t>
            </w:r>
          </w:p>
        </w:tc>
        <w:tc>
          <w:tcPr>
            <w:tcW w:w="110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经营支出</w:t>
            </w:r>
          </w:p>
        </w:tc>
        <w:tc>
          <w:tcPr>
            <w:tcW w:w="2038"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对附属单位补助支出</w:t>
            </w:r>
          </w:p>
        </w:tc>
      </w:tr>
      <w:tr>
        <w:tblPrEx>
          <w:tblLayout w:type="fixed"/>
          <w:tblCellMar>
            <w:top w:w="0" w:type="dxa"/>
            <w:left w:w="108" w:type="dxa"/>
            <w:bottom w:w="0" w:type="dxa"/>
            <w:right w:w="108" w:type="dxa"/>
          </w:tblCellMar>
        </w:tblPrEx>
        <w:trPr>
          <w:trHeight w:val="312" w:hRule="atLeast"/>
          <w:jc w:val="center"/>
        </w:trPr>
        <w:tc>
          <w:tcPr>
            <w:tcW w:w="916"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功能分类科目编码</w:t>
            </w:r>
          </w:p>
        </w:tc>
        <w:tc>
          <w:tcPr>
            <w:tcW w:w="4015" w:type="dxa"/>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42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2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6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50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0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03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12" w:hRule="atLeast"/>
          <w:jc w:val="center"/>
        </w:trPr>
        <w:tc>
          <w:tcPr>
            <w:tcW w:w="91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401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2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2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6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50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0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03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12" w:hRule="atLeast"/>
          <w:jc w:val="center"/>
        </w:trPr>
        <w:tc>
          <w:tcPr>
            <w:tcW w:w="91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401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2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2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6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50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0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03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294" w:hRule="atLeast"/>
          <w:jc w:val="center"/>
        </w:trPr>
        <w:tc>
          <w:tcPr>
            <w:tcW w:w="4931"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栏次</w:t>
            </w:r>
          </w:p>
        </w:tc>
        <w:tc>
          <w:tcPr>
            <w:tcW w:w="142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w:t>
            </w:r>
          </w:p>
        </w:tc>
        <w:tc>
          <w:tcPr>
            <w:tcW w:w="142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2</w:t>
            </w:r>
          </w:p>
        </w:tc>
        <w:tc>
          <w:tcPr>
            <w:tcW w:w="1167"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3</w:t>
            </w:r>
          </w:p>
        </w:tc>
        <w:tc>
          <w:tcPr>
            <w:tcW w:w="150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4</w:t>
            </w:r>
          </w:p>
        </w:tc>
        <w:tc>
          <w:tcPr>
            <w:tcW w:w="1107"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5</w:t>
            </w:r>
          </w:p>
        </w:tc>
        <w:tc>
          <w:tcPr>
            <w:tcW w:w="2038"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6</w:t>
            </w:r>
          </w:p>
        </w:tc>
      </w:tr>
      <w:tr>
        <w:tblPrEx>
          <w:tblLayout w:type="fixed"/>
          <w:tblCellMar>
            <w:top w:w="0" w:type="dxa"/>
            <w:left w:w="108" w:type="dxa"/>
            <w:bottom w:w="0" w:type="dxa"/>
            <w:right w:w="108" w:type="dxa"/>
          </w:tblCellMar>
        </w:tblPrEx>
        <w:trPr>
          <w:trHeight w:val="294" w:hRule="atLeast"/>
          <w:jc w:val="center"/>
        </w:trPr>
        <w:tc>
          <w:tcPr>
            <w:tcW w:w="4931"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合计</w:t>
            </w:r>
          </w:p>
        </w:tc>
        <w:tc>
          <w:tcPr>
            <w:tcW w:w="142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142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116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10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203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294" w:hRule="atLeast"/>
          <w:jc w:val="center"/>
        </w:trPr>
        <w:tc>
          <w:tcPr>
            <w:tcW w:w="916"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w:t>
            </w:r>
          </w:p>
        </w:tc>
        <w:tc>
          <w:tcPr>
            <w:tcW w:w="40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一般公共服务支出</w:t>
            </w:r>
          </w:p>
        </w:tc>
        <w:tc>
          <w:tcPr>
            <w:tcW w:w="142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142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116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5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10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2038"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294" w:hRule="atLeast"/>
          <w:jc w:val="center"/>
        </w:trPr>
        <w:tc>
          <w:tcPr>
            <w:tcW w:w="916"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20102</w:t>
            </w:r>
          </w:p>
        </w:tc>
        <w:tc>
          <w:tcPr>
            <w:tcW w:w="401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政协事务</w:t>
            </w:r>
          </w:p>
        </w:tc>
        <w:tc>
          <w:tcPr>
            <w:tcW w:w="142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142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116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5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10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2038"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294" w:hRule="atLeast"/>
          <w:jc w:val="center"/>
        </w:trPr>
        <w:tc>
          <w:tcPr>
            <w:tcW w:w="916"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2010201</w:t>
            </w:r>
          </w:p>
        </w:tc>
        <w:tc>
          <w:tcPr>
            <w:tcW w:w="4015"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行政运行</w:t>
            </w:r>
          </w:p>
        </w:tc>
        <w:tc>
          <w:tcPr>
            <w:tcW w:w="142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142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116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10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03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294" w:hRule="atLeast"/>
          <w:jc w:val="center"/>
        </w:trPr>
        <w:tc>
          <w:tcPr>
            <w:tcW w:w="13595" w:type="dxa"/>
            <w:gridSpan w:val="10"/>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注：本表反映部门本年度各项支出情况。</w:t>
            </w:r>
          </w:p>
        </w:tc>
      </w:tr>
    </w:tbl>
    <w:p>
      <w:pPr>
        <w:pStyle w:val="7"/>
        <w:widowControl/>
        <w:spacing w:before="76" w:beforeAutospacing="0" w:after="76" w:afterAutospacing="0" w:line="450" w:lineRule="atLeast"/>
        <w:rPr>
          <w:rStyle w:val="9"/>
          <w:rFonts w:ascii="微软雅黑" w:hAnsi="微软雅黑" w:eastAsia="微软雅黑" w:cs="微软雅黑"/>
          <w:b w:val="0"/>
          <w:color w:val="333333"/>
          <w:shd w:val="clear" w:color="auto" w:fill="FFFFFF"/>
        </w:rPr>
      </w:pPr>
    </w:p>
    <w:p>
      <w:pPr>
        <w:pStyle w:val="7"/>
        <w:widowControl/>
        <w:spacing w:before="76" w:beforeAutospacing="0" w:after="76" w:afterAutospacing="0" w:line="450" w:lineRule="atLeast"/>
        <w:jc w:val="both"/>
        <w:rPr>
          <w:color w:val="333333"/>
        </w:rPr>
      </w:pPr>
    </w:p>
    <w:tbl>
      <w:tblPr>
        <w:tblStyle w:val="10"/>
        <w:tblW w:w="13328" w:type="dxa"/>
        <w:jc w:val="center"/>
        <w:tblInd w:w="0" w:type="dxa"/>
        <w:tblLayout w:type="fixed"/>
        <w:tblCellMar>
          <w:top w:w="0" w:type="dxa"/>
          <w:left w:w="108" w:type="dxa"/>
          <w:bottom w:w="0" w:type="dxa"/>
          <w:right w:w="108" w:type="dxa"/>
        </w:tblCellMar>
      </w:tblPr>
      <w:tblGrid>
        <w:gridCol w:w="3040"/>
        <w:gridCol w:w="470"/>
        <w:gridCol w:w="1904"/>
        <w:gridCol w:w="3121"/>
        <w:gridCol w:w="416"/>
        <w:gridCol w:w="1416"/>
        <w:gridCol w:w="1424"/>
        <w:gridCol w:w="1537"/>
      </w:tblGrid>
      <w:tr>
        <w:tblPrEx>
          <w:tblLayout w:type="fixed"/>
          <w:tblCellMar>
            <w:top w:w="0" w:type="dxa"/>
            <w:left w:w="108" w:type="dxa"/>
            <w:bottom w:w="0" w:type="dxa"/>
            <w:right w:w="108" w:type="dxa"/>
          </w:tblCellMar>
        </w:tblPrEx>
        <w:trPr>
          <w:trHeight w:val="375" w:hRule="atLeast"/>
          <w:jc w:val="center"/>
        </w:trPr>
        <w:tc>
          <w:tcPr>
            <w:tcW w:w="13328" w:type="dxa"/>
            <w:gridSpan w:val="8"/>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财政拨款收入支出决算总表</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nil"/>
              <w:bottom w:val="nil"/>
              <w:right w:val="nil"/>
            </w:tcBorders>
            <w:shd w:val="clear" w:color="auto" w:fill="FFFFFF"/>
            <w:noWrap/>
            <w:vAlign w:val="center"/>
          </w:tcPr>
          <w:p>
            <w:pPr>
              <w:widowControl/>
              <w:jc w:val="left"/>
              <w:rPr>
                <w:rFonts w:ascii="宋体" w:cs="Arial"/>
                <w:kern w:val="0"/>
                <w:sz w:val="22"/>
                <w:szCs w:val="22"/>
              </w:rPr>
            </w:pPr>
            <w:r>
              <w:rPr>
                <w:rFonts w:hint="eastAsia" w:ascii="宋体" w:hAnsi="宋体" w:cs="Arial"/>
                <w:kern w:val="0"/>
                <w:sz w:val="22"/>
                <w:szCs w:val="22"/>
              </w:rPr>
              <w:t>　</w:t>
            </w:r>
          </w:p>
        </w:tc>
        <w:tc>
          <w:tcPr>
            <w:tcW w:w="47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9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121"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4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2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53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47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9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121"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4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2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537"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04</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0" w:hRule="atLeast"/>
          <w:jc w:val="center"/>
        </w:trPr>
        <w:tc>
          <w:tcPr>
            <w:tcW w:w="5414" w:type="dxa"/>
            <w:gridSpan w:val="3"/>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部门：中国人民政治协商会议黄石市黄石港区委员会</w:t>
            </w:r>
          </w:p>
        </w:tc>
        <w:tc>
          <w:tcPr>
            <w:tcW w:w="3121"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41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41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424"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537"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jc w:val="center"/>
        </w:trPr>
        <w:tc>
          <w:tcPr>
            <w:tcW w:w="5414"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收</w:t>
            </w:r>
            <w:r>
              <w:rPr>
                <w:rFonts w:ascii="宋体" w:hAnsi="宋体" w:cs="Arial"/>
                <w:kern w:val="0"/>
                <w:sz w:val="20"/>
                <w:szCs w:val="20"/>
              </w:rPr>
              <w:t xml:space="preserve">     </w:t>
            </w:r>
            <w:r>
              <w:rPr>
                <w:rFonts w:hint="eastAsia" w:ascii="宋体" w:hAnsi="宋体" w:cs="Arial"/>
                <w:kern w:val="0"/>
                <w:sz w:val="20"/>
                <w:szCs w:val="20"/>
              </w:rPr>
              <w:t>入</w:t>
            </w:r>
          </w:p>
        </w:tc>
        <w:tc>
          <w:tcPr>
            <w:tcW w:w="7914" w:type="dxa"/>
            <w:gridSpan w:val="5"/>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支</w:t>
            </w:r>
            <w:r>
              <w:rPr>
                <w:rFonts w:ascii="宋体" w:hAnsi="宋体" w:cs="Arial"/>
                <w:kern w:val="0"/>
                <w:sz w:val="20"/>
                <w:szCs w:val="20"/>
              </w:rPr>
              <w:t xml:space="preserve">     </w:t>
            </w:r>
            <w:r>
              <w:rPr>
                <w:rFonts w:hint="eastAsia" w:ascii="宋体" w:hAnsi="宋体" w:cs="Arial"/>
                <w:kern w:val="0"/>
                <w:sz w:val="20"/>
                <w:szCs w:val="20"/>
              </w:rPr>
              <w:t>出</w:t>
            </w:r>
          </w:p>
        </w:tc>
      </w:tr>
      <w:tr>
        <w:tblPrEx>
          <w:tblLayout w:type="fixed"/>
          <w:tblCellMar>
            <w:top w:w="0" w:type="dxa"/>
            <w:left w:w="108" w:type="dxa"/>
            <w:bottom w:w="0" w:type="dxa"/>
            <w:right w:w="108" w:type="dxa"/>
          </w:tblCellMar>
        </w:tblPrEx>
        <w:trPr>
          <w:trHeight w:val="312" w:hRule="atLeast"/>
          <w:jc w:val="center"/>
        </w:trPr>
        <w:tc>
          <w:tcPr>
            <w:tcW w:w="3040" w:type="dxa"/>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47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1904"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金额</w:t>
            </w:r>
          </w:p>
        </w:tc>
        <w:tc>
          <w:tcPr>
            <w:tcW w:w="3121" w:type="dxa"/>
            <w:vMerge w:val="restart"/>
            <w:tcBorders>
              <w:top w:val="nil"/>
              <w:left w:val="nil"/>
              <w:bottom w:val="single" w:color="000000" w:sz="4" w:space="0"/>
              <w:right w:val="single" w:color="000000" w:sz="4" w:space="0"/>
            </w:tcBorders>
            <w:shd w:val="clear" w:color="auto" w:fill="C0C0C0"/>
            <w:vAlign w:val="bottom"/>
          </w:tcPr>
          <w:p>
            <w:pPr>
              <w:widowControl/>
              <w:jc w:val="left"/>
              <w:rPr>
                <w:rFonts w:ascii="宋体" w:cs="Arial"/>
                <w:kern w:val="0"/>
                <w:sz w:val="20"/>
                <w:szCs w:val="20"/>
              </w:rPr>
            </w:pPr>
            <w:r>
              <w:rPr>
                <w:rFonts w:hint="eastAsia" w:ascii="宋体" w:hAnsi="宋体" w:cs="Arial"/>
                <w:kern w:val="0"/>
                <w:sz w:val="20"/>
                <w:szCs w:val="20"/>
              </w:rPr>
              <w:t>项目</w:t>
            </w:r>
          </w:p>
        </w:tc>
        <w:tc>
          <w:tcPr>
            <w:tcW w:w="41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1416" w:type="dxa"/>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合计</w:t>
            </w:r>
          </w:p>
        </w:tc>
        <w:tc>
          <w:tcPr>
            <w:tcW w:w="1424"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一般公共预算财政拨款</w:t>
            </w:r>
          </w:p>
        </w:tc>
        <w:tc>
          <w:tcPr>
            <w:tcW w:w="153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政府性基金预算财政拨款</w:t>
            </w:r>
          </w:p>
        </w:tc>
      </w:tr>
      <w:tr>
        <w:tblPrEx>
          <w:tblLayout w:type="fixed"/>
          <w:tblCellMar>
            <w:top w:w="0" w:type="dxa"/>
            <w:left w:w="108" w:type="dxa"/>
            <w:bottom w:w="0" w:type="dxa"/>
            <w:right w:w="108" w:type="dxa"/>
          </w:tblCellMar>
        </w:tblPrEx>
        <w:trPr>
          <w:trHeight w:val="600" w:hRule="atLeast"/>
          <w:jc w:val="center"/>
        </w:trPr>
        <w:tc>
          <w:tcPr>
            <w:tcW w:w="30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47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90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3121"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41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1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2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53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栏次</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190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3121" w:type="dxa"/>
            <w:tcBorders>
              <w:top w:val="nil"/>
              <w:left w:val="nil"/>
              <w:bottom w:val="single" w:color="000000" w:sz="4" w:space="0"/>
              <w:right w:val="single" w:color="000000" w:sz="4" w:space="0"/>
            </w:tcBorders>
            <w:shd w:val="clear" w:color="auto" w:fill="C0C0C0"/>
            <w:noWrap/>
            <w:vAlign w:val="bottom"/>
          </w:tcPr>
          <w:p>
            <w:pPr>
              <w:widowControl/>
              <w:jc w:val="left"/>
              <w:rPr>
                <w:rFonts w:ascii="宋体" w:cs="Arial"/>
                <w:kern w:val="0"/>
                <w:sz w:val="20"/>
                <w:szCs w:val="20"/>
              </w:rPr>
            </w:pPr>
            <w:r>
              <w:rPr>
                <w:rFonts w:hint="eastAsia" w:ascii="宋体" w:hAnsi="宋体" w:cs="Arial"/>
                <w:kern w:val="0"/>
                <w:sz w:val="20"/>
                <w:szCs w:val="20"/>
              </w:rPr>
              <w:t>栏次</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1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142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c>
          <w:tcPr>
            <w:tcW w:w="1537"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一、一般公共预算财政拨款</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一、一般公共服务支出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二、政府性基金预算财政拨款</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二、外交支出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31</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三、国防支出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32</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四、公共安全支出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33</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五、教育支出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34</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6</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六、科学技术支出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35</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7</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七、文化旅游体育与传媒支出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36</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8</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八、社会保障和就业支出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37</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9</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九、卫生健康支出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38</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10</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十、节能环保支出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39</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11</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十一、城乡社区支出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12</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十二、农林水支出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41</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13</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十三、交通运输支出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42</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14</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十四、资源勘探信息等支出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43</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15</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十五、商业服务业等支出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44</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16</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十六、金融支出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45</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17</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十七、援助其他地区支出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46</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18</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十八、自然资源海洋气象等支出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47</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19</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十九、住房保障支出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48</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20</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二十、粮油物资储备支出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49</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21</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二十一、灾害防治及应急管理支出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22</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二十二、其他支出</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51</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23</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52</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本年收入合计</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24</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本年支出合计</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53</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年初财政拨款结转和结余</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25</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年末财政拨款结转和结余</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54</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一、一般公共预算财政拨款</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26</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55</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二、政府性基金预算财政拨款</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27</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56</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28</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57</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jc w:val="center"/>
        </w:trPr>
        <w:tc>
          <w:tcPr>
            <w:tcW w:w="304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47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29</w:t>
            </w:r>
          </w:p>
        </w:tc>
        <w:tc>
          <w:tcPr>
            <w:tcW w:w="19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3121"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58</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14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153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13328" w:type="dxa"/>
            <w:gridSpan w:val="8"/>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注：本表反映部门本年度一般公共预算财政拨款和政府性基金预算财政拨款的总收支和年末结转结余情况。</w:t>
            </w:r>
          </w:p>
        </w:tc>
      </w:tr>
    </w:tbl>
    <w:p>
      <w:pPr>
        <w:pStyle w:val="7"/>
        <w:widowControl/>
        <w:spacing w:before="76" w:beforeAutospacing="0" w:after="76" w:afterAutospacing="0" w:line="450" w:lineRule="atLeast"/>
        <w:jc w:val="both"/>
        <w:rPr>
          <w:color w:val="333333"/>
        </w:rPr>
      </w:pPr>
    </w:p>
    <w:p>
      <w:pPr>
        <w:pStyle w:val="7"/>
        <w:widowControl/>
        <w:spacing w:before="76" w:beforeAutospacing="0" w:after="76" w:afterAutospacing="0" w:line="450" w:lineRule="atLeast"/>
        <w:jc w:val="both"/>
        <w:rPr>
          <w:color w:val="333333"/>
        </w:rPr>
      </w:pPr>
    </w:p>
    <w:p>
      <w:pPr>
        <w:pStyle w:val="7"/>
        <w:widowControl/>
        <w:spacing w:before="76" w:beforeAutospacing="0" w:after="76" w:afterAutospacing="0" w:line="450" w:lineRule="atLeast"/>
        <w:jc w:val="both"/>
        <w:rPr>
          <w:color w:val="333333"/>
        </w:rPr>
      </w:pPr>
    </w:p>
    <w:p>
      <w:pPr>
        <w:pStyle w:val="7"/>
        <w:widowControl/>
        <w:spacing w:before="76" w:beforeAutospacing="0" w:after="76" w:afterAutospacing="0" w:line="450" w:lineRule="atLeast"/>
        <w:jc w:val="both"/>
        <w:rPr>
          <w:color w:val="333333"/>
        </w:rPr>
      </w:pPr>
    </w:p>
    <w:p>
      <w:pPr>
        <w:pStyle w:val="7"/>
        <w:widowControl/>
        <w:spacing w:before="76" w:beforeAutospacing="0" w:after="76" w:afterAutospacing="0" w:line="450" w:lineRule="atLeast"/>
        <w:jc w:val="both"/>
        <w:rPr>
          <w:color w:val="333333"/>
        </w:rPr>
      </w:pPr>
    </w:p>
    <w:p>
      <w:pPr>
        <w:pStyle w:val="7"/>
        <w:widowControl/>
        <w:spacing w:before="76" w:beforeAutospacing="0" w:after="76" w:afterAutospacing="0" w:line="450" w:lineRule="atLeast"/>
        <w:jc w:val="both"/>
        <w:rPr>
          <w:color w:val="333333"/>
        </w:rPr>
      </w:pPr>
    </w:p>
    <w:p>
      <w:pPr>
        <w:pStyle w:val="7"/>
        <w:widowControl/>
        <w:spacing w:before="76" w:beforeAutospacing="0" w:after="76" w:afterAutospacing="0" w:line="450" w:lineRule="atLeast"/>
        <w:jc w:val="both"/>
        <w:rPr>
          <w:color w:val="333333"/>
        </w:rPr>
      </w:pPr>
    </w:p>
    <w:tbl>
      <w:tblPr>
        <w:tblStyle w:val="10"/>
        <w:tblW w:w="13968" w:type="dxa"/>
        <w:tblInd w:w="0" w:type="dxa"/>
        <w:tblLayout w:type="fixed"/>
        <w:tblCellMar>
          <w:top w:w="0" w:type="dxa"/>
          <w:left w:w="108" w:type="dxa"/>
          <w:bottom w:w="0" w:type="dxa"/>
          <w:right w:w="108" w:type="dxa"/>
        </w:tblCellMar>
      </w:tblPr>
      <w:tblGrid>
        <w:gridCol w:w="1696"/>
        <w:gridCol w:w="1696"/>
        <w:gridCol w:w="496"/>
        <w:gridCol w:w="1526"/>
        <w:gridCol w:w="1800"/>
        <w:gridCol w:w="1714"/>
        <w:gridCol w:w="1817"/>
        <w:gridCol w:w="1603"/>
        <w:gridCol w:w="1620"/>
      </w:tblGrid>
      <w:tr>
        <w:tblPrEx>
          <w:tblLayout w:type="fixed"/>
          <w:tblCellMar>
            <w:top w:w="0" w:type="dxa"/>
            <w:left w:w="108" w:type="dxa"/>
            <w:bottom w:w="0" w:type="dxa"/>
            <w:right w:w="108" w:type="dxa"/>
          </w:tblCellMar>
        </w:tblPrEx>
        <w:trPr>
          <w:trHeight w:val="375" w:hRule="atLeast"/>
        </w:trPr>
        <w:tc>
          <w:tcPr>
            <w:tcW w:w="13968" w:type="dxa"/>
            <w:gridSpan w:val="9"/>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一般公共预算财政拨款支出决算表</w:t>
            </w:r>
          </w:p>
        </w:tc>
      </w:tr>
      <w:tr>
        <w:tblPrEx>
          <w:tblLayout w:type="fixed"/>
          <w:tblCellMar>
            <w:top w:w="0" w:type="dxa"/>
            <w:left w:w="108" w:type="dxa"/>
            <w:bottom w:w="0" w:type="dxa"/>
            <w:right w:w="108" w:type="dxa"/>
          </w:tblCellMar>
        </w:tblPrEx>
        <w:trPr>
          <w:trHeight w:val="300" w:hRule="atLeast"/>
        </w:trPr>
        <w:tc>
          <w:tcPr>
            <w:tcW w:w="1696" w:type="dxa"/>
            <w:tcBorders>
              <w:top w:val="nil"/>
              <w:left w:val="nil"/>
              <w:bottom w:val="nil"/>
              <w:right w:val="nil"/>
            </w:tcBorders>
            <w:shd w:val="clear" w:color="auto" w:fill="FFFFFF"/>
            <w:noWrap/>
            <w:vAlign w:val="center"/>
          </w:tcPr>
          <w:p>
            <w:pPr>
              <w:widowControl/>
              <w:jc w:val="left"/>
              <w:rPr>
                <w:rFonts w:ascii="宋体" w:cs="Arial"/>
                <w:kern w:val="0"/>
                <w:sz w:val="22"/>
                <w:szCs w:val="22"/>
              </w:rPr>
            </w:pPr>
            <w:r>
              <w:rPr>
                <w:rFonts w:hint="eastAsia" w:ascii="宋体" w:hAnsi="宋体" w:cs="Arial"/>
                <w:kern w:val="0"/>
                <w:sz w:val="22"/>
                <w:szCs w:val="22"/>
              </w:rPr>
              <w:t>　</w:t>
            </w:r>
          </w:p>
        </w:tc>
        <w:tc>
          <w:tcPr>
            <w:tcW w:w="169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022"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80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531"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0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r>
      <w:tr>
        <w:tblPrEx>
          <w:tblLayout w:type="fixed"/>
          <w:tblCellMar>
            <w:top w:w="0" w:type="dxa"/>
            <w:left w:w="108" w:type="dxa"/>
            <w:bottom w:w="0" w:type="dxa"/>
            <w:right w:w="108" w:type="dxa"/>
          </w:tblCellMar>
        </w:tblPrEx>
        <w:trPr>
          <w:trHeight w:val="300" w:hRule="atLeast"/>
        </w:trPr>
        <w:tc>
          <w:tcPr>
            <w:tcW w:w="169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9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022"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80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531"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0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20"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05</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0" w:hRule="atLeast"/>
        </w:trPr>
        <w:tc>
          <w:tcPr>
            <w:tcW w:w="5414" w:type="dxa"/>
            <w:gridSpan w:val="4"/>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部门：中国人民政治协商会议黄石市黄石港区委员会</w:t>
            </w:r>
          </w:p>
        </w:tc>
        <w:tc>
          <w:tcPr>
            <w:tcW w:w="1800"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3531" w:type="dxa"/>
            <w:gridSpan w:val="2"/>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603"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620"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7214"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6754" w:type="dxa"/>
            <w:gridSpan w:val="4"/>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本年支出</w:t>
            </w:r>
          </w:p>
        </w:tc>
      </w:tr>
      <w:tr>
        <w:tblPrEx>
          <w:tblLayout w:type="fixed"/>
          <w:tblCellMar>
            <w:top w:w="0" w:type="dxa"/>
            <w:left w:w="108" w:type="dxa"/>
            <w:bottom w:w="0" w:type="dxa"/>
            <w:right w:w="108" w:type="dxa"/>
          </w:tblCellMar>
        </w:tblPrEx>
        <w:trPr>
          <w:trHeight w:val="312" w:hRule="atLeast"/>
        </w:trPr>
        <w:tc>
          <w:tcPr>
            <w:tcW w:w="3888"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功能分类科目编码</w:t>
            </w:r>
          </w:p>
        </w:tc>
        <w:tc>
          <w:tcPr>
            <w:tcW w:w="3326" w:type="dxa"/>
            <w:gridSpan w:val="2"/>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714"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小计</w:t>
            </w:r>
          </w:p>
        </w:tc>
        <w:tc>
          <w:tcPr>
            <w:tcW w:w="181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基本支出</w:t>
            </w:r>
          </w:p>
        </w:tc>
        <w:tc>
          <w:tcPr>
            <w:tcW w:w="3223" w:type="dxa"/>
            <w:gridSpan w:val="2"/>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项目支出</w:t>
            </w:r>
          </w:p>
        </w:tc>
      </w:tr>
      <w:tr>
        <w:tblPrEx>
          <w:tblLayout w:type="fixed"/>
          <w:tblCellMar>
            <w:top w:w="0" w:type="dxa"/>
            <w:left w:w="108" w:type="dxa"/>
            <w:bottom w:w="0" w:type="dxa"/>
            <w:right w:w="108" w:type="dxa"/>
          </w:tblCellMar>
        </w:tblPrEx>
        <w:trPr>
          <w:trHeight w:val="312" w:hRule="atLeast"/>
        </w:trPr>
        <w:tc>
          <w:tcPr>
            <w:tcW w:w="388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3326"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1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1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3223"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12" w:hRule="atLeast"/>
        </w:trPr>
        <w:tc>
          <w:tcPr>
            <w:tcW w:w="388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3326"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1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1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3223"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7214"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栏次</w:t>
            </w:r>
          </w:p>
        </w:tc>
        <w:tc>
          <w:tcPr>
            <w:tcW w:w="171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1817"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3223"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r>
      <w:tr>
        <w:tblPrEx>
          <w:tblLayout w:type="fixed"/>
          <w:tblCellMar>
            <w:top w:w="0" w:type="dxa"/>
            <w:left w:w="108" w:type="dxa"/>
            <w:bottom w:w="0" w:type="dxa"/>
            <w:right w:w="108" w:type="dxa"/>
          </w:tblCellMar>
        </w:tblPrEx>
        <w:trPr>
          <w:trHeight w:val="300" w:hRule="atLeast"/>
        </w:trPr>
        <w:tc>
          <w:tcPr>
            <w:tcW w:w="7214"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合计</w:t>
            </w:r>
          </w:p>
        </w:tc>
        <w:tc>
          <w:tcPr>
            <w:tcW w:w="17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18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322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3888"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w:t>
            </w:r>
          </w:p>
        </w:tc>
        <w:tc>
          <w:tcPr>
            <w:tcW w:w="3326"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一般公共服务支出</w:t>
            </w:r>
          </w:p>
        </w:tc>
        <w:tc>
          <w:tcPr>
            <w:tcW w:w="1714"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181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3223"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3888"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20102</w:t>
            </w:r>
          </w:p>
        </w:tc>
        <w:tc>
          <w:tcPr>
            <w:tcW w:w="3326"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政协事务</w:t>
            </w:r>
          </w:p>
        </w:tc>
        <w:tc>
          <w:tcPr>
            <w:tcW w:w="1714"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181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3,889,428.37</w:t>
            </w:r>
          </w:p>
        </w:tc>
        <w:tc>
          <w:tcPr>
            <w:tcW w:w="3223"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3888"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2010201</w:t>
            </w:r>
          </w:p>
        </w:tc>
        <w:tc>
          <w:tcPr>
            <w:tcW w:w="3326" w:type="dxa"/>
            <w:gridSpan w:val="2"/>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行政运行</w:t>
            </w:r>
          </w:p>
        </w:tc>
        <w:tc>
          <w:tcPr>
            <w:tcW w:w="17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18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3,889,428.37</w:t>
            </w:r>
          </w:p>
        </w:tc>
        <w:tc>
          <w:tcPr>
            <w:tcW w:w="322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13968" w:type="dxa"/>
            <w:gridSpan w:val="9"/>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注：本表反映部门本年度一般公共预算财政拨款支出情况。</w:t>
            </w:r>
          </w:p>
        </w:tc>
      </w:tr>
    </w:tbl>
    <w:p>
      <w:pPr>
        <w:pStyle w:val="7"/>
        <w:widowControl/>
        <w:spacing w:before="76" w:beforeAutospacing="0" w:after="76" w:afterAutospacing="0" w:line="450" w:lineRule="atLeast"/>
        <w:jc w:val="both"/>
        <w:rPr>
          <w:color w:val="333333"/>
        </w:rPr>
      </w:pPr>
    </w:p>
    <w:p>
      <w:pPr>
        <w:pStyle w:val="7"/>
        <w:widowControl/>
        <w:spacing w:before="76" w:beforeAutospacing="0" w:after="76" w:afterAutospacing="0" w:line="450" w:lineRule="atLeast"/>
        <w:jc w:val="both"/>
        <w:rPr>
          <w:color w:val="333333"/>
        </w:rPr>
      </w:pPr>
    </w:p>
    <w:p>
      <w:pPr>
        <w:pStyle w:val="7"/>
        <w:widowControl/>
        <w:spacing w:before="76" w:beforeAutospacing="0" w:after="76" w:afterAutospacing="0" w:line="450" w:lineRule="atLeast"/>
        <w:jc w:val="both"/>
        <w:rPr>
          <w:color w:val="333333"/>
        </w:rPr>
      </w:pPr>
    </w:p>
    <w:p>
      <w:pPr>
        <w:pStyle w:val="7"/>
        <w:widowControl/>
        <w:spacing w:before="76" w:beforeAutospacing="0" w:after="76" w:afterAutospacing="0" w:line="450" w:lineRule="atLeast"/>
        <w:jc w:val="both"/>
        <w:rPr>
          <w:color w:val="333333"/>
        </w:rPr>
      </w:pPr>
    </w:p>
    <w:p>
      <w:pPr>
        <w:pStyle w:val="7"/>
        <w:widowControl/>
        <w:spacing w:before="76" w:beforeAutospacing="0" w:after="76" w:afterAutospacing="0" w:line="450" w:lineRule="atLeast"/>
        <w:jc w:val="both"/>
        <w:rPr>
          <w:color w:val="333333"/>
        </w:rPr>
      </w:pPr>
    </w:p>
    <w:p>
      <w:pPr>
        <w:pStyle w:val="7"/>
        <w:widowControl/>
        <w:spacing w:before="76" w:beforeAutospacing="0" w:after="76" w:afterAutospacing="0" w:line="450" w:lineRule="atLeast"/>
        <w:jc w:val="both"/>
        <w:rPr>
          <w:color w:val="333333"/>
        </w:rPr>
      </w:pPr>
    </w:p>
    <w:tbl>
      <w:tblPr>
        <w:tblStyle w:val="10"/>
        <w:tblW w:w="14080" w:type="dxa"/>
        <w:tblInd w:w="94" w:type="dxa"/>
        <w:tblLayout w:type="fixed"/>
        <w:tblCellMar>
          <w:top w:w="0" w:type="dxa"/>
          <w:left w:w="108" w:type="dxa"/>
          <w:bottom w:w="0" w:type="dxa"/>
          <w:right w:w="108" w:type="dxa"/>
        </w:tblCellMar>
      </w:tblPr>
      <w:tblGrid>
        <w:gridCol w:w="715"/>
        <w:gridCol w:w="2788"/>
        <w:gridCol w:w="416"/>
        <w:gridCol w:w="1257"/>
        <w:gridCol w:w="775"/>
        <w:gridCol w:w="2006"/>
        <w:gridCol w:w="1384"/>
        <w:gridCol w:w="785"/>
        <w:gridCol w:w="2303"/>
        <w:gridCol w:w="242"/>
        <w:gridCol w:w="1409"/>
      </w:tblGrid>
      <w:tr>
        <w:tblPrEx>
          <w:tblLayout w:type="fixed"/>
          <w:tblCellMar>
            <w:top w:w="0" w:type="dxa"/>
            <w:left w:w="108" w:type="dxa"/>
            <w:bottom w:w="0" w:type="dxa"/>
            <w:right w:w="108" w:type="dxa"/>
          </w:tblCellMar>
        </w:tblPrEx>
        <w:trPr>
          <w:trHeight w:val="375" w:hRule="atLeast"/>
        </w:trPr>
        <w:tc>
          <w:tcPr>
            <w:tcW w:w="14080" w:type="dxa"/>
            <w:gridSpan w:val="11"/>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一般公共预算财政拨款基本支出决算表</w:t>
            </w:r>
          </w:p>
        </w:tc>
      </w:tr>
      <w:tr>
        <w:tblPrEx>
          <w:tblLayout w:type="fixed"/>
          <w:tblCellMar>
            <w:top w:w="0" w:type="dxa"/>
            <w:left w:w="108" w:type="dxa"/>
            <w:bottom w:w="0" w:type="dxa"/>
            <w:right w:w="108" w:type="dxa"/>
          </w:tblCellMar>
        </w:tblPrEx>
        <w:trPr>
          <w:trHeight w:val="300" w:hRule="atLeast"/>
        </w:trPr>
        <w:tc>
          <w:tcPr>
            <w:tcW w:w="71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204"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5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77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00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8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78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30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51" w:type="dxa"/>
            <w:gridSpan w:val="2"/>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06</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0" w:hRule="atLeast"/>
        </w:trPr>
        <w:tc>
          <w:tcPr>
            <w:tcW w:w="5951" w:type="dxa"/>
            <w:gridSpan w:val="5"/>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部门：中国人民政治协商会议黄石市黄石港区委员会</w:t>
            </w:r>
          </w:p>
        </w:tc>
        <w:tc>
          <w:tcPr>
            <w:tcW w:w="2006"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1384"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785"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303"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651" w:type="dxa"/>
            <w:gridSpan w:val="2"/>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5176"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人员经费</w:t>
            </w:r>
          </w:p>
        </w:tc>
        <w:tc>
          <w:tcPr>
            <w:tcW w:w="8904" w:type="dxa"/>
            <w:gridSpan w:val="7"/>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公用经费</w:t>
            </w:r>
          </w:p>
        </w:tc>
      </w:tr>
      <w:tr>
        <w:tblPrEx>
          <w:tblLayout w:type="fixed"/>
          <w:tblCellMar>
            <w:top w:w="0" w:type="dxa"/>
            <w:left w:w="108" w:type="dxa"/>
            <w:bottom w:w="0" w:type="dxa"/>
            <w:right w:w="108" w:type="dxa"/>
          </w:tblCellMar>
        </w:tblPrEx>
        <w:trPr>
          <w:trHeight w:val="312" w:hRule="atLeast"/>
        </w:trPr>
        <w:tc>
          <w:tcPr>
            <w:tcW w:w="715" w:type="dxa"/>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科目编码</w:t>
            </w:r>
          </w:p>
        </w:tc>
        <w:tc>
          <w:tcPr>
            <w:tcW w:w="2788"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673" w:type="dxa"/>
            <w:gridSpan w:val="2"/>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c>
          <w:tcPr>
            <w:tcW w:w="77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科目编码</w:t>
            </w:r>
          </w:p>
        </w:tc>
        <w:tc>
          <w:tcPr>
            <w:tcW w:w="200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384"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c>
          <w:tcPr>
            <w:tcW w:w="78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科目编码</w:t>
            </w:r>
          </w:p>
        </w:tc>
        <w:tc>
          <w:tcPr>
            <w:tcW w:w="2545" w:type="dxa"/>
            <w:gridSpan w:val="2"/>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409"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r>
      <w:tr>
        <w:tblPrEx>
          <w:tblLayout w:type="fixed"/>
          <w:tblCellMar>
            <w:top w:w="0" w:type="dxa"/>
            <w:left w:w="108" w:type="dxa"/>
            <w:bottom w:w="0" w:type="dxa"/>
            <w:right w:w="108" w:type="dxa"/>
          </w:tblCellMar>
        </w:tblPrEx>
        <w:trPr>
          <w:trHeight w:val="312" w:hRule="atLeast"/>
        </w:trPr>
        <w:tc>
          <w:tcPr>
            <w:tcW w:w="71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278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673"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77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00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8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78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545"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0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工资福利支出</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3,375,909.50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商品和服务支出</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509,718.87</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307</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债务利息及费用支出</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30101</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基本工资</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800,046.00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30201</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办公费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64,225.60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30701</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国内债务付息</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30102</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津贴补贴</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501,325.70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30202</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印刷费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16,640.00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30702</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国外债务付息</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30103</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奖金</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1,163,827.00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30203</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咨询费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资本性支出</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3,800.00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30106</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伙食补助费</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30204</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手续费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31001</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房屋建筑物购建</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30107</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绩效工资</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21,384.00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30205</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水费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31002</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办公设备购置</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3,800.00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30108</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机关事业单位基本养老保险缴费</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222,863.44</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30206</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电费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31003</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专用设备购置</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30109</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职业年金缴费</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82,111.28</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30207</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邮电费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8,460.77</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31005</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基础设施建设</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30110</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职工基本医疗保险缴费</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306,169.68</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30208</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取暖费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31006</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大型修缮</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30111</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公务员医疗补助缴费</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30209</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物业管理费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31007</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信息网络及软件购置更新</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30112</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其他社会保障缴费</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30211</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差旅费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10,949.50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31008</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物资储备</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30113</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住房公积金</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256,953.00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30212</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因公出国（境）费用</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29,583.00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31009</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土地补偿</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30114</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医疗费</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30213</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维修（护）费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4,040.00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31010</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安置补助</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30199</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其他工资福利支出</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21,229.40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30214</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租赁费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31011</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地上附着物和青苗补偿</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对个人和家庭的补助</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30215</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会议费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74,366.00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31012</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拆迁补偿</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30301</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离休费</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30216</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培训费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31013</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公务用车购置</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30302</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退休费</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30217</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公务接待费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31019</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其他交通工具购置</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30303</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退职（役）费</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30218</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专用材料费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31021</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文物和陈列品购置</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30304</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抚恤金</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30224</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被装购置费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31022</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无形资产购置</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30305</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生活补助</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30225</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专用燃料费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31099</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其他资本性支出</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30306</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救济费</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30226</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劳务费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51,000.00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其他支出</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30307</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医疗费补助</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30227</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委托业务费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18,000.00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39906</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赠与</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30308</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助学金</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30228</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工会经费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48,253.00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39907</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国家赔偿费用支出</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30309</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奖励金</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30229</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福利费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7,497.00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39908</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对民间非营利组织和群众性自治组织补贴</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30310</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个人农业生产补贴</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30231</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公务用车运行维护费</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39999</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其他支出</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30399</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其他对个人和家庭的补助</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30239</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其他交通费用</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119,520.00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30240</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税金及附加费用</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715"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78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7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30299</w:t>
            </w:r>
          </w:p>
        </w:tc>
        <w:tc>
          <w:tcPr>
            <w:tcW w:w="200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其他商品和服务支出</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57,184.00</w:t>
            </w:r>
          </w:p>
        </w:tc>
        <w:tc>
          <w:tcPr>
            <w:tcW w:w="78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54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3503"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人员经费合计</w:t>
            </w:r>
          </w:p>
        </w:tc>
        <w:tc>
          <w:tcPr>
            <w:tcW w:w="167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3,375,909.50</w:t>
            </w:r>
          </w:p>
        </w:tc>
        <w:tc>
          <w:tcPr>
            <w:tcW w:w="7495" w:type="dxa"/>
            <w:gridSpan w:val="6"/>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公用经费合计</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513,518.87</w:t>
            </w:r>
          </w:p>
        </w:tc>
      </w:tr>
      <w:tr>
        <w:tblPrEx>
          <w:tblLayout w:type="fixed"/>
          <w:tblCellMar>
            <w:top w:w="0" w:type="dxa"/>
            <w:left w:w="108" w:type="dxa"/>
            <w:bottom w:w="0" w:type="dxa"/>
            <w:right w:w="108" w:type="dxa"/>
          </w:tblCellMar>
        </w:tblPrEx>
        <w:trPr>
          <w:trHeight w:val="300" w:hRule="atLeast"/>
        </w:trPr>
        <w:tc>
          <w:tcPr>
            <w:tcW w:w="14080" w:type="dxa"/>
            <w:gridSpan w:val="11"/>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注：本表反映部门本年度一般公共预算财政拨款基本支出明细情况。</w:t>
            </w:r>
          </w:p>
        </w:tc>
      </w:tr>
    </w:tbl>
    <w:p>
      <w:pPr>
        <w:pStyle w:val="7"/>
        <w:widowControl/>
        <w:spacing w:before="76" w:beforeAutospacing="0" w:after="76" w:afterAutospacing="0" w:line="450" w:lineRule="atLeast"/>
        <w:jc w:val="both"/>
        <w:rPr>
          <w:color w:val="333333"/>
        </w:rPr>
      </w:pPr>
    </w:p>
    <w:tbl>
      <w:tblPr>
        <w:tblStyle w:val="10"/>
        <w:tblW w:w="14080" w:type="dxa"/>
        <w:tblInd w:w="94" w:type="dxa"/>
        <w:tblLayout w:type="fixed"/>
        <w:tblCellMar>
          <w:top w:w="0" w:type="dxa"/>
          <w:left w:w="108" w:type="dxa"/>
          <w:bottom w:w="0" w:type="dxa"/>
          <w:right w:w="108" w:type="dxa"/>
        </w:tblCellMar>
      </w:tblPr>
      <w:tblGrid>
        <w:gridCol w:w="1111"/>
        <w:gridCol w:w="1138"/>
        <w:gridCol w:w="976"/>
        <w:gridCol w:w="1154"/>
        <w:gridCol w:w="216"/>
        <w:gridCol w:w="815"/>
        <w:gridCol w:w="46"/>
        <w:gridCol w:w="1397"/>
        <w:gridCol w:w="1290"/>
        <w:gridCol w:w="1439"/>
        <w:gridCol w:w="556"/>
        <w:gridCol w:w="344"/>
        <w:gridCol w:w="232"/>
        <w:gridCol w:w="847"/>
        <w:gridCol w:w="216"/>
        <w:gridCol w:w="863"/>
        <w:gridCol w:w="1440"/>
      </w:tblGrid>
      <w:tr>
        <w:tblPrEx>
          <w:tblLayout w:type="fixed"/>
          <w:tblCellMar>
            <w:top w:w="0" w:type="dxa"/>
            <w:left w:w="108" w:type="dxa"/>
            <w:bottom w:w="0" w:type="dxa"/>
            <w:right w:w="108" w:type="dxa"/>
          </w:tblCellMar>
        </w:tblPrEx>
        <w:trPr>
          <w:trHeight w:val="375" w:hRule="atLeast"/>
        </w:trPr>
        <w:tc>
          <w:tcPr>
            <w:tcW w:w="14080" w:type="dxa"/>
            <w:gridSpan w:val="17"/>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财政拨款“三公”经费支出决算表</w:t>
            </w:r>
          </w:p>
        </w:tc>
      </w:tr>
      <w:tr>
        <w:tblPrEx>
          <w:tblLayout w:type="fixed"/>
          <w:tblCellMar>
            <w:top w:w="0" w:type="dxa"/>
            <w:left w:w="108" w:type="dxa"/>
            <w:bottom w:w="0" w:type="dxa"/>
            <w:right w:w="108" w:type="dxa"/>
          </w:tblCellMar>
        </w:tblPrEx>
        <w:trPr>
          <w:trHeight w:val="300" w:hRule="atLeast"/>
        </w:trPr>
        <w:tc>
          <w:tcPr>
            <w:tcW w:w="1111" w:type="dxa"/>
            <w:tcBorders>
              <w:top w:val="nil"/>
              <w:left w:val="nil"/>
              <w:bottom w:val="nil"/>
              <w:right w:val="nil"/>
            </w:tcBorders>
            <w:shd w:val="clear" w:color="auto" w:fill="FFFFFF"/>
            <w:noWrap/>
            <w:vAlign w:val="center"/>
          </w:tcPr>
          <w:p>
            <w:pPr>
              <w:widowControl/>
              <w:jc w:val="left"/>
              <w:rPr>
                <w:rFonts w:ascii="宋体" w:cs="Arial"/>
                <w:kern w:val="0"/>
                <w:sz w:val="22"/>
                <w:szCs w:val="22"/>
              </w:rPr>
            </w:pPr>
            <w:r>
              <w:rPr>
                <w:rFonts w:hint="eastAsia" w:ascii="宋体" w:hAnsi="宋体" w:cs="Arial"/>
                <w:kern w:val="0"/>
                <w:sz w:val="22"/>
                <w:szCs w:val="22"/>
              </w:rPr>
              <w:t>　</w:t>
            </w:r>
          </w:p>
        </w:tc>
        <w:tc>
          <w:tcPr>
            <w:tcW w:w="113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7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70"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861"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9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9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995"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576"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63"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86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4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r>
      <w:tr>
        <w:tblPrEx>
          <w:tblLayout w:type="fixed"/>
          <w:tblCellMar>
            <w:top w:w="0" w:type="dxa"/>
            <w:left w:w="108" w:type="dxa"/>
            <w:bottom w:w="0" w:type="dxa"/>
            <w:right w:w="108" w:type="dxa"/>
          </w:tblCellMar>
        </w:tblPrEx>
        <w:trPr>
          <w:trHeight w:val="300" w:hRule="atLeast"/>
        </w:trPr>
        <w:tc>
          <w:tcPr>
            <w:tcW w:w="1111"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3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7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70"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861"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9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9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995"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576"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63"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86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40"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07</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0" w:hRule="atLeast"/>
        </w:trPr>
        <w:tc>
          <w:tcPr>
            <w:tcW w:w="5456" w:type="dxa"/>
            <w:gridSpan w:val="7"/>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部门：中国人民政治协商会议黄石市黄石港区委员会</w:t>
            </w:r>
          </w:p>
        </w:tc>
        <w:tc>
          <w:tcPr>
            <w:tcW w:w="1397"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1290"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995" w:type="dxa"/>
            <w:gridSpan w:val="2"/>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576" w:type="dxa"/>
            <w:gridSpan w:val="2"/>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063" w:type="dxa"/>
            <w:gridSpan w:val="2"/>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863"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440"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6853" w:type="dxa"/>
            <w:gridSpan w:val="8"/>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预算数</w:t>
            </w:r>
          </w:p>
        </w:tc>
        <w:tc>
          <w:tcPr>
            <w:tcW w:w="7227" w:type="dxa"/>
            <w:gridSpan w:val="9"/>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r>
      <w:tr>
        <w:tblPrEx>
          <w:tblLayout w:type="fixed"/>
          <w:tblCellMar>
            <w:top w:w="0" w:type="dxa"/>
            <w:left w:w="108" w:type="dxa"/>
            <w:bottom w:w="0" w:type="dxa"/>
            <w:right w:w="108" w:type="dxa"/>
          </w:tblCellMar>
        </w:tblPrEx>
        <w:trPr>
          <w:trHeight w:val="300" w:hRule="atLeast"/>
        </w:trPr>
        <w:tc>
          <w:tcPr>
            <w:tcW w:w="1111" w:type="dxa"/>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合计</w:t>
            </w:r>
          </w:p>
        </w:tc>
        <w:tc>
          <w:tcPr>
            <w:tcW w:w="1138"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因公出国（境）费</w:t>
            </w:r>
          </w:p>
        </w:tc>
        <w:tc>
          <w:tcPr>
            <w:tcW w:w="3161" w:type="dxa"/>
            <w:gridSpan w:val="4"/>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公务用车购置及运行费</w:t>
            </w:r>
          </w:p>
        </w:tc>
        <w:tc>
          <w:tcPr>
            <w:tcW w:w="1443" w:type="dxa"/>
            <w:gridSpan w:val="2"/>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公务接待费</w:t>
            </w:r>
          </w:p>
        </w:tc>
        <w:tc>
          <w:tcPr>
            <w:tcW w:w="129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合计</w:t>
            </w:r>
          </w:p>
        </w:tc>
        <w:tc>
          <w:tcPr>
            <w:tcW w:w="1439"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因公出国（境）费</w:t>
            </w:r>
          </w:p>
        </w:tc>
        <w:tc>
          <w:tcPr>
            <w:tcW w:w="3058" w:type="dxa"/>
            <w:gridSpan w:val="6"/>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公务用车购置及运行费</w:t>
            </w:r>
          </w:p>
        </w:tc>
        <w:tc>
          <w:tcPr>
            <w:tcW w:w="144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公务接待费</w:t>
            </w:r>
          </w:p>
        </w:tc>
      </w:tr>
      <w:tr>
        <w:tblPrEx>
          <w:tblLayout w:type="fixed"/>
          <w:tblCellMar>
            <w:top w:w="0" w:type="dxa"/>
            <w:left w:w="108" w:type="dxa"/>
            <w:bottom w:w="0" w:type="dxa"/>
            <w:right w:w="108" w:type="dxa"/>
          </w:tblCellMar>
        </w:tblPrEx>
        <w:trPr>
          <w:trHeight w:val="600" w:hRule="atLeast"/>
        </w:trPr>
        <w:tc>
          <w:tcPr>
            <w:tcW w:w="111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113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7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小计</w:t>
            </w:r>
          </w:p>
        </w:tc>
        <w:tc>
          <w:tcPr>
            <w:tcW w:w="1154"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公务用车购置费</w:t>
            </w:r>
          </w:p>
        </w:tc>
        <w:tc>
          <w:tcPr>
            <w:tcW w:w="1031" w:type="dxa"/>
            <w:gridSpan w:val="2"/>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公务用车运行费</w:t>
            </w:r>
          </w:p>
        </w:tc>
        <w:tc>
          <w:tcPr>
            <w:tcW w:w="1443"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9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3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00" w:type="dxa"/>
            <w:gridSpan w:val="2"/>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小计</w:t>
            </w:r>
          </w:p>
        </w:tc>
        <w:tc>
          <w:tcPr>
            <w:tcW w:w="1079" w:type="dxa"/>
            <w:gridSpan w:val="2"/>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公务用车购置费</w:t>
            </w:r>
          </w:p>
        </w:tc>
        <w:tc>
          <w:tcPr>
            <w:tcW w:w="1079" w:type="dxa"/>
            <w:gridSpan w:val="2"/>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公务用车运行费</w:t>
            </w:r>
          </w:p>
        </w:tc>
        <w:tc>
          <w:tcPr>
            <w:tcW w:w="144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1111" w:type="dxa"/>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w:t>
            </w:r>
          </w:p>
        </w:tc>
        <w:tc>
          <w:tcPr>
            <w:tcW w:w="1138"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2</w:t>
            </w:r>
          </w:p>
        </w:tc>
        <w:tc>
          <w:tcPr>
            <w:tcW w:w="97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3</w:t>
            </w:r>
          </w:p>
        </w:tc>
        <w:tc>
          <w:tcPr>
            <w:tcW w:w="1154"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4</w:t>
            </w:r>
          </w:p>
        </w:tc>
        <w:tc>
          <w:tcPr>
            <w:tcW w:w="1031" w:type="dxa"/>
            <w:gridSpan w:val="2"/>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5</w:t>
            </w:r>
          </w:p>
        </w:tc>
        <w:tc>
          <w:tcPr>
            <w:tcW w:w="1443" w:type="dxa"/>
            <w:gridSpan w:val="2"/>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6</w:t>
            </w:r>
          </w:p>
        </w:tc>
        <w:tc>
          <w:tcPr>
            <w:tcW w:w="129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7</w:t>
            </w:r>
          </w:p>
        </w:tc>
        <w:tc>
          <w:tcPr>
            <w:tcW w:w="1439"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8</w:t>
            </w:r>
          </w:p>
        </w:tc>
        <w:tc>
          <w:tcPr>
            <w:tcW w:w="900" w:type="dxa"/>
            <w:gridSpan w:val="2"/>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9</w:t>
            </w:r>
          </w:p>
        </w:tc>
        <w:tc>
          <w:tcPr>
            <w:tcW w:w="1079" w:type="dxa"/>
            <w:gridSpan w:val="2"/>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10</w:t>
            </w:r>
          </w:p>
        </w:tc>
        <w:tc>
          <w:tcPr>
            <w:tcW w:w="1079" w:type="dxa"/>
            <w:gridSpan w:val="2"/>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11</w:t>
            </w:r>
          </w:p>
        </w:tc>
        <w:tc>
          <w:tcPr>
            <w:tcW w:w="144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12</w:t>
            </w:r>
          </w:p>
        </w:tc>
      </w:tr>
      <w:tr>
        <w:tblPrEx>
          <w:tblLayout w:type="fixed"/>
          <w:tblCellMar>
            <w:top w:w="0" w:type="dxa"/>
            <w:left w:w="108" w:type="dxa"/>
            <w:bottom w:w="0" w:type="dxa"/>
            <w:right w:w="108" w:type="dxa"/>
          </w:tblCellMar>
        </w:tblPrEx>
        <w:trPr>
          <w:trHeight w:val="300" w:hRule="atLeast"/>
        </w:trPr>
        <w:tc>
          <w:tcPr>
            <w:tcW w:w="1111" w:type="dxa"/>
            <w:tcBorders>
              <w:top w:val="nil"/>
              <w:left w:val="single" w:color="000000" w:sz="4" w:space="0"/>
              <w:bottom w:val="single" w:color="000000" w:sz="4" w:space="0"/>
              <w:right w:val="single" w:color="000000" w:sz="4" w:space="0"/>
            </w:tcBorders>
            <w:shd w:val="clear" w:color="auto" w:fill="00FF00"/>
            <w:noWrap/>
            <w:vAlign w:val="center"/>
          </w:tcPr>
          <w:p>
            <w:pPr>
              <w:widowControl/>
              <w:jc w:val="right"/>
              <w:rPr>
                <w:rFonts w:ascii="宋体" w:cs="Arial"/>
                <w:kern w:val="0"/>
                <w:sz w:val="20"/>
                <w:szCs w:val="20"/>
              </w:rPr>
            </w:pPr>
            <w:r>
              <w:rPr>
                <w:rFonts w:ascii="宋体" w:hAnsi="宋体" w:cs="Arial"/>
                <w:kern w:val="0"/>
                <w:sz w:val="20"/>
                <w:szCs w:val="20"/>
              </w:rPr>
              <w:t>0.00</w:t>
            </w:r>
          </w:p>
        </w:tc>
        <w:tc>
          <w:tcPr>
            <w:tcW w:w="113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976" w:type="dxa"/>
            <w:tcBorders>
              <w:top w:val="nil"/>
              <w:left w:val="nil"/>
              <w:bottom w:val="single" w:color="000000" w:sz="4" w:space="0"/>
              <w:right w:val="single" w:color="000000" w:sz="4" w:space="0"/>
            </w:tcBorders>
            <w:shd w:val="clear" w:color="auto" w:fill="00FF00"/>
            <w:noWrap/>
            <w:vAlign w:val="center"/>
          </w:tcPr>
          <w:p>
            <w:pPr>
              <w:widowControl/>
              <w:jc w:val="right"/>
              <w:rPr>
                <w:rFonts w:ascii="宋体" w:cs="Arial"/>
                <w:kern w:val="0"/>
                <w:sz w:val="20"/>
                <w:szCs w:val="20"/>
              </w:rPr>
            </w:pPr>
            <w:r>
              <w:rPr>
                <w:rFonts w:ascii="宋体" w:hAnsi="宋体" w:cs="Arial"/>
                <w:kern w:val="0"/>
                <w:sz w:val="20"/>
                <w:szCs w:val="20"/>
              </w:rPr>
              <w:t>0.00</w:t>
            </w:r>
          </w:p>
        </w:tc>
        <w:tc>
          <w:tcPr>
            <w:tcW w:w="11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031"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4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29,583.00</w:t>
            </w:r>
          </w:p>
        </w:tc>
        <w:tc>
          <w:tcPr>
            <w:tcW w:w="143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29,583.00</w:t>
            </w:r>
          </w:p>
        </w:tc>
        <w:tc>
          <w:tcPr>
            <w:tcW w:w="9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07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07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4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600" w:hRule="atLeast"/>
        </w:trPr>
        <w:tc>
          <w:tcPr>
            <w:tcW w:w="14080" w:type="dxa"/>
            <w:gridSpan w:val="17"/>
            <w:tcBorders>
              <w:top w:val="nil"/>
              <w:left w:val="nil"/>
              <w:bottom w:val="nil"/>
              <w:right w:val="nil"/>
            </w:tcBorders>
            <w:shd w:val="clear" w:color="auto" w:fill="FFFFFF"/>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pStyle w:val="7"/>
        <w:widowControl/>
        <w:spacing w:before="76" w:beforeAutospacing="0" w:after="76" w:afterAutospacing="0" w:line="450" w:lineRule="atLeast"/>
        <w:jc w:val="both"/>
        <w:rPr>
          <w:color w:val="333333"/>
        </w:rPr>
        <w:sectPr>
          <w:headerReference r:id="rId3" w:type="default"/>
          <w:pgSz w:w="16838" w:h="11906" w:orient="landscape"/>
          <w:pgMar w:top="1797" w:right="1440" w:bottom="1797" w:left="1440" w:header="851" w:footer="992" w:gutter="0"/>
          <w:cols w:space="425" w:num="1"/>
          <w:docGrid w:type="lines" w:linePitch="312" w:charSpace="0"/>
        </w:sectPr>
      </w:pPr>
    </w:p>
    <w:tbl>
      <w:tblPr>
        <w:tblStyle w:val="10"/>
        <w:tblpPr w:leftFromText="180" w:rightFromText="180" w:vertAnchor="text" w:horzAnchor="page" w:tblpXSpec="center" w:tblpY="-21"/>
        <w:tblOverlap w:val="never"/>
        <w:tblW w:w="13700" w:type="dxa"/>
        <w:jc w:val="center"/>
        <w:tblInd w:w="0" w:type="dxa"/>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shd w:val="clear" w:color="auto" w:fill="auto"/>
          <w:tblLayout w:type="fixed"/>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Layout w:type="fixed"/>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Layout w:type="fixed"/>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cs="宋体" w:eastAsiaTheme="minorEastAsia"/>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cs="Arial"/>
                <w:color w:val="000000"/>
                <w:kern w:val="0"/>
                <w:sz w:val="22"/>
                <w:szCs w:val="22"/>
              </w:rPr>
              <w:t>中国人民政治协商会议黄石市黄石港区委员会</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Layout w:type="fixed"/>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Layout w:type="fixed"/>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Layout w:type="fixed"/>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Layout w:type="fixed"/>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pStyle w:val="7"/>
        <w:widowControl/>
        <w:spacing w:before="76" w:beforeAutospacing="0" w:after="76" w:afterAutospacing="0" w:line="450" w:lineRule="atLeast"/>
        <w:ind w:firstLine="240" w:firstLineChars="100"/>
        <w:rPr>
          <w:rStyle w:val="9"/>
          <w:rFonts w:hint="eastAsia"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240" w:firstLineChars="100"/>
        <w:rPr>
          <w:color w:val="333333"/>
        </w:rPr>
      </w:pPr>
      <w:r>
        <w:rPr>
          <w:rStyle w:val="9"/>
          <w:rFonts w:hint="eastAsia" w:ascii="微软雅黑" w:hAnsi="微软雅黑" w:eastAsia="微软雅黑" w:cs="微软雅黑"/>
          <w:color w:val="333333"/>
          <w:shd w:val="clear" w:color="auto" w:fill="FFFFFF"/>
        </w:rPr>
        <w:t>第三部分</w:t>
      </w:r>
      <w:r>
        <w:rPr>
          <w:rStyle w:val="9"/>
          <w:rFonts w:ascii="微软雅黑" w:hAnsi="微软雅黑" w:eastAsia="微软雅黑" w:cs="微软雅黑"/>
          <w:color w:val="333333"/>
          <w:shd w:val="clear" w:color="auto" w:fill="FFFFFF"/>
        </w:rPr>
        <w:t xml:space="preserve"> 2019</w:t>
      </w:r>
      <w:r>
        <w:rPr>
          <w:rStyle w:val="9"/>
          <w:rFonts w:hint="eastAsia" w:ascii="微软雅黑" w:hAnsi="微软雅黑" w:eastAsia="微软雅黑" w:cs="微软雅黑"/>
          <w:color w:val="333333"/>
          <w:shd w:val="clear" w:color="auto" w:fill="FFFFFF"/>
        </w:rPr>
        <w:t>年部门决算情况说明</w:t>
      </w:r>
    </w:p>
    <w:p>
      <w:pPr>
        <w:pStyle w:val="7"/>
        <w:widowControl/>
        <w:spacing w:before="76" w:beforeAutospacing="0" w:after="76" w:afterAutospacing="0" w:line="450" w:lineRule="atLeast"/>
        <w:ind w:firstLine="420"/>
        <w:rPr>
          <w:rFonts w:ascii="宋体" w:cs="宋体"/>
          <w:b/>
          <w:bCs/>
          <w:sz w:val="28"/>
          <w:szCs w:val="28"/>
          <w:shd w:val="clear" w:color="auto" w:fill="FFFFFF"/>
          <w:lang w:val="zh-CN"/>
        </w:rPr>
      </w:pPr>
      <w:r>
        <w:rPr>
          <w:rFonts w:hint="eastAsia" w:ascii="宋体" w:hAnsi="宋体" w:cs="宋体"/>
          <w:b/>
          <w:bCs/>
          <w:sz w:val="28"/>
          <w:szCs w:val="28"/>
          <w:shd w:val="clear" w:color="auto" w:fill="FFFFFF"/>
          <w:lang w:val="zh-CN"/>
        </w:rPr>
        <w:t>（一）预算执行情况分析</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ascii="仿宋_GB2312" w:hAnsi="宋体" w:eastAsia="仿宋_GB2312" w:cs="宋体"/>
          <w:color w:val="333333"/>
          <w:sz w:val="32"/>
          <w:szCs w:val="32"/>
        </w:rPr>
        <w:t>1</w:t>
      </w:r>
      <w:r>
        <w:rPr>
          <w:rFonts w:hint="eastAsia" w:ascii="仿宋_GB2312" w:hAnsi="宋体" w:eastAsia="仿宋_GB2312" w:cs="宋体"/>
          <w:color w:val="333333"/>
          <w:sz w:val="32"/>
          <w:szCs w:val="32"/>
        </w:rPr>
        <w:t>、收入分析：</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本年总收入</w:t>
      </w:r>
      <w:r>
        <w:rPr>
          <w:rFonts w:ascii="仿宋_GB2312" w:hAnsi="宋体" w:eastAsia="仿宋_GB2312" w:cs="宋体"/>
          <w:color w:val="333333"/>
          <w:sz w:val="32"/>
          <w:szCs w:val="32"/>
        </w:rPr>
        <w:t>388.94</w:t>
      </w:r>
      <w:r>
        <w:rPr>
          <w:rFonts w:hint="eastAsia" w:ascii="仿宋_GB2312" w:hAnsi="宋体" w:eastAsia="仿宋_GB2312" w:cs="宋体"/>
          <w:color w:val="333333"/>
          <w:sz w:val="32"/>
          <w:szCs w:val="32"/>
        </w:rPr>
        <w:t>万元。比去年的</w:t>
      </w:r>
      <w:r>
        <w:rPr>
          <w:rFonts w:ascii="仿宋_GB2312" w:hAnsi="宋体" w:eastAsia="仿宋_GB2312" w:cs="宋体"/>
          <w:color w:val="333333"/>
          <w:sz w:val="32"/>
          <w:szCs w:val="32"/>
        </w:rPr>
        <w:t>399.60</w:t>
      </w:r>
      <w:r>
        <w:rPr>
          <w:rFonts w:hint="eastAsia" w:ascii="仿宋_GB2312" w:hAnsi="宋体" w:eastAsia="仿宋_GB2312" w:cs="宋体"/>
          <w:color w:val="333333"/>
          <w:sz w:val="32"/>
          <w:szCs w:val="32"/>
        </w:rPr>
        <w:t>万元减少</w:t>
      </w:r>
      <w:r>
        <w:rPr>
          <w:rFonts w:ascii="仿宋_GB2312" w:hAnsi="宋体" w:eastAsia="仿宋_GB2312" w:cs="宋体"/>
          <w:color w:val="333333"/>
          <w:sz w:val="32"/>
          <w:szCs w:val="32"/>
        </w:rPr>
        <w:t>10.66</w:t>
      </w:r>
      <w:r>
        <w:rPr>
          <w:rFonts w:hint="eastAsia" w:ascii="仿宋_GB2312" w:hAnsi="宋体" w:eastAsia="仿宋_GB2312" w:cs="宋体"/>
          <w:color w:val="333333"/>
          <w:sz w:val="32"/>
          <w:szCs w:val="32"/>
        </w:rPr>
        <w:t>万元，其主要原因为节约开支，其中全部为财政拨款收入。</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ascii="仿宋_GB2312" w:hAnsi="宋体" w:eastAsia="仿宋_GB2312" w:cs="宋体"/>
          <w:color w:val="333333"/>
          <w:sz w:val="32"/>
          <w:szCs w:val="32"/>
        </w:rPr>
        <w:t>2</w:t>
      </w:r>
      <w:r>
        <w:rPr>
          <w:rFonts w:hint="eastAsia" w:ascii="仿宋_GB2312" w:hAnsi="宋体" w:eastAsia="仿宋_GB2312" w:cs="宋体"/>
          <w:color w:val="333333"/>
          <w:sz w:val="32"/>
          <w:szCs w:val="32"/>
        </w:rPr>
        <w:t>、支出分析：</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本年总支出为</w:t>
      </w:r>
      <w:r>
        <w:rPr>
          <w:rFonts w:ascii="仿宋_GB2312" w:hAnsi="宋体" w:eastAsia="仿宋_GB2312" w:cs="宋体"/>
          <w:color w:val="333333"/>
          <w:sz w:val="32"/>
          <w:szCs w:val="32"/>
        </w:rPr>
        <w:t>388.94</w:t>
      </w:r>
      <w:r>
        <w:rPr>
          <w:rFonts w:hint="eastAsia" w:ascii="仿宋_GB2312" w:hAnsi="宋体" w:eastAsia="仿宋_GB2312" w:cs="宋体"/>
          <w:color w:val="333333"/>
          <w:sz w:val="32"/>
          <w:szCs w:val="32"/>
        </w:rPr>
        <w:t>万元。比去年的</w:t>
      </w:r>
      <w:r>
        <w:rPr>
          <w:rFonts w:ascii="仿宋_GB2312" w:hAnsi="宋体" w:eastAsia="仿宋_GB2312" w:cs="宋体"/>
          <w:color w:val="333333"/>
          <w:sz w:val="32"/>
          <w:szCs w:val="32"/>
        </w:rPr>
        <w:t>399.90</w:t>
      </w:r>
      <w:r>
        <w:rPr>
          <w:rFonts w:hint="eastAsia" w:ascii="仿宋_GB2312" w:hAnsi="宋体" w:eastAsia="仿宋_GB2312" w:cs="宋体"/>
          <w:color w:val="333333"/>
          <w:sz w:val="32"/>
          <w:szCs w:val="32"/>
        </w:rPr>
        <w:t>万元减少</w:t>
      </w:r>
      <w:r>
        <w:rPr>
          <w:rFonts w:ascii="仿宋_GB2312" w:hAnsi="宋体" w:eastAsia="仿宋_GB2312" w:cs="宋体"/>
          <w:color w:val="333333"/>
          <w:sz w:val="32"/>
          <w:szCs w:val="32"/>
        </w:rPr>
        <w:t>10.96</w:t>
      </w:r>
      <w:r>
        <w:rPr>
          <w:rFonts w:hint="eastAsia" w:ascii="仿宋_GB2312" w:hAnsi="宋体" w:eastAsia="仿宋_GB2312" w:cs="宋体"/>
          <w:color w:val="333333"/>
          <w:sz w:val="32"/>
          <w:szCs w:val="32"/>
        </w:rPr>
        <w:t>万元，其主要原因为节约开支，其中一般公共预算财政拨款支出</w:t>
      </w:r>
      <w:r>
        <w:rPr>
          <w:rFonts w:ascii="仿宋_GB2312" w:hAnsi="宋体" w:eastAsia="仿宋_GB2312" w:cs="宋体"/>
          <w:color w:val="333333"/>
          <w:sz w:val="32"/>
          <w:szCs w:val="32"/>
        </w:rPr>
        <w:t>388.94</w:t>
      </w:r>
      <w:r>
        <w:rPr>
          <w:rFonts w:hint="eastAsia" w:ascii="仿宋_GB2312" w:hAnsi="宋体" w:eastAsia="仿宋_GB2312" w:cs="宋体"/>
          <w:color w:val="333333"/>
          <w:sz w:val="32"/>
          <w:szCs w:val="32"/>
        </w:rPr>
        <w:t>万元，其具体构成如下：</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w:t>
      </w:r>
      <w:r>
        <w:rPr>
          <w:rFonts w:ascii="仿宋_GB2312" w:hAnsi="宋体" w:eastAsia="仿宋_GB2312" w:cs="宋体"/>
          <w:color w:val="333333"/>
          <w:sz w:val="32"/>
          <w:szCs w:val="32"/>
        </w:rPr>
        <w:t>1</w:t>
      </w:r>
      <w:r>
        <w:rPr>
          <w:rFonts w:hint="eastAsia" w:ascii="仿宋_GB2312" w:hAnsi="宋体" w:eastAsia="仿宋_GB2312" w:cs="宋体"/>
          <w:color w:val="333333"/>
          <w:sz w:val="32"/>
          <w:szCs w:val="32"/>
        </w:rPr>
        <w:t>）工资福利支出</w:t>
      </w:r>
      <w:r>
        <w:rPr>
          <w:rFonts w:ascii="仿宋_GB2312" w:hAnsi="宋体" w:eastAsia="仿宋_GB2312" w:cs="宋体"/>
          <w:color w:val="333333"/>
          <w:sz w:val="32"/>
          <w:szCs w:val="32"/>
        </w:rPr>
        <w:t>337.59</w:t>
      </w:r>
      <w:r>
        <w:rPr>
          <w:rFonts w:hint="eastAsia" w:ascii="仿宋_GB2312" w:hAnsi="宋体" w:eastAsia="仿宋_GB2312" w:cs="宋体"/>
          <w:color w:val="333333"/>
          <w:sz w:val="32"/>
          <w:szCs w:val="32"/>
        </w:rPr>
        <w:t>万元。占比</w:t>
      </w:r>
      <w:r>
        <w:rPr>
          <w:rFonts w:ascii="仿宋_GB2312" w:hAnsi="宋体" w:eastAsia="仿宋_GB2312" w:cs="宋体"/>
          <w:color w:val="333333"/>
          <w:sz w:val="32"/>
          <w:szCs w:val="32"/>
        </w:rPr>
        <w:t>86.80%</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w:t>
      </w:r>
      <w:r>
        <w:rPr>
          <w:rFonts w:ascii="仿宋_GB2312" w:hAnsi="宋体" w:eastAsia="仿宋_GB2312" w:cs="宋体"/>
          <w:color w:val="333333"/>
          <w:sz w:val="32"/>
          <w:szCs w:val="32"/>
        </w:rPr>
        <w:t>2</w:t>
      </w:r>
      <w:r>
        <w:rPr>
          <w:rFonts w:hint="eastAsia" w:ascii="仿宋_GB2312" w:hAnsi="宋体" w:eastAsia="仿宋_GB2312" w:cs="宋体"/>
          <w:color w:val="333333"/>
          <w:sz w:val="32"/>
          <w:szCs w:val="32"/>
        </w:rPr>
        <w:t>）商品和服务支出</w:t>
      </w:r>
      <w:r>
        <w:rPr>
          <w:rFonts w:ascii="仿宋_GB2312" w:hAnsi="宋体" w:eastAsia="仿宋_GB2312" w:cs="宋体"/>
          <w:color w:val="333333"/>
          <w:sz w:val="32"/>
          <w:szCs w:val="32"/>
        </w:rPr>
        <w:t>50.97</w:t>
      </w:r>
      <w:r>
        <w:rPr>
          <w:rFonts w:hint="eastAsia" w:ascii="仿宋_GB2312" w:hAnsi="宋体" w:eastAsia="仿宋_GB2312" w:cs="宋体"/>
          <w:color w:val="333333"/>
          <w:sz w:val="32"/>
          <w:szCs w:val="32"/>
        </w:rPr>
        <w:t>万元。占比</w:t>
      </w:r>
      <w:r>
        <w:rPr>
          <w:rFonts w:ascii="仿宋_GB2312" w:hAnsi="宋体" w:eastAsia="仿宋_GB2312" w:cs="宋体"/>
          <w:color w:val="333333"/>
          <w:sz w:val="32"/>
          <w:szCs w:val="32"/>
        </w:rPr>
        <w:t>13.10%</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w:t>
      </w:r>
      <w:r>
        <w:rPr>
          <w:rFonts w:ascii="仿宋_GB2312" w:hAnsi="宋体" w:eastAsia="仿宋_GB2312" w:cs="宋体"/>
          <w:color w:val="333333"/>
          <w:sz w:val="32"/>
          <w:szCs w:val="32"/>
        </w:rPr>
        <w:t>3</w:t>
      </w:r>
      <w:r>
        <w:rPr>
          <w:rFonts w:hint="eastAsia" w:ascii="仿宋_GB2312" w:hAnsi="宋体" w:eastAsia="仿宋_GB2312" w:cs="宋体"/>
          <w:color w:val="333333"/>
          <w:sz w:val="32"/>
          <w:szCs w:val="32"/>
        </w:rPr>
        <w:t>）资本性支出</w:t>
      </w:r>
      <w:r>
        <w:rPr>
          <w:rFonts w:ascii="仿宋_GB2312" w:hAnsi="宋体" w:eastAsia="仿宋_GB2312" w:cs="宋体"/>
          <w:color w:val="333333"/>
          <w:sz w:val="32"/>
          <w:szCs w:val="32"/>
        </w:rPr>
        <w:t>0.38</w:t>
      </w:r>
      <w:r>
        <w:rPr>
          <w:rFonts w:hint="eastAsia" w:ascii="仿宋_GB2312" w:hAnsi="宋体" w:eastAsia="仿宋_GB2312" w:cs="宋体"/>
          <w:color w:val="333333"/>
          <w:sz w:val="32"/>
          <w:szCs w:val="32"/>
        </w:rPr>
        <w:t>万元。占比</w:t>
      </w:r>
      <w:r>
        <w:rPr>
          <w:rFonts w:ascii="仿宋_GB2312" w:hAnsi="宋体" w:eastAsia="仿宋_GB2312" w:cs="宋体"/>
          <w:color w:val="333333"/>
          <w:sz w:val="32"/>
          <w:szCs w:val="32"/>
        </w:rPr>
        <w:t>0.10%</w:t>
      </w:r>
    </w:p>
    <w:p>
      <w:pPr>
        <w:pStyle w:val="7"/>
        <w:widowControl/>
        <w:spacing w:before="76" w:beforeAutospacing="0" w:after="76" w:afterAutospacing="0" w:line="450" w:lineRule="atLeast"/>
        <w:ind w:firstLine="281" w:firstLineChars="100"/>
        <w:rPr>
          <w:rFonts w:ascii="宋体" w:cs="宋体"/>
          <w:b/>
          <w:bCs/>
          <w:sz w:val="28"/>
          <w:szCs w:val="28"/>
          <w:shd w:val="clear" w:color="auto" w:fill="FFFFFF"/>
          <w:lang w:val="zh-CN"/>
        </w:rPr>
      </w:pPr>
      <w:r>
        <w:rPr>
          <w:rFonts w:hint="eastAsia" w:ascii="宋体" w:hAnsi="宋体" w:cs="宋体"/>
          <w:b/>
          <w:bCs/>
          <w:sz w:val="28"/>
          <w:szCs w:val="28"/>
          <w:shd w:val="clear" w:color="auto" w:fill="FFFFFF"/>
          <w:lang w:val="zh-CN"/>
        </w:rPr>
        <w:t>（二）关于“三公”经费支出说明</w:t>
      </w:r>
    </w:p>
    <w:p>
      <w:pPr>
        <w:ind w:firstLine="709"/>
        <w:rPr>
          <w:rFonts w:ascii="仿宋_GB2312" w:hAnsi="仿宋" w:eastAsia="仿宋_GB2312" w:cs="仿宋"/>
          <w:bCs/>
          <w:color w:val="000000"/>
          <w:sz w:val="32"/>
          <w:szCs w:val="32"/>
        </w:rPr>
      </w:pPr>
      <w:r>
        <w:rPr>
          <w:rFonts w:hint="eastAsia" w:ascii="仿宋_GB2312" w:hAnsi="宋体" w:eastAsia="仿宋_GB2312" w:cs="宋体"/>
          <w:color w:val="333333"/>
          <w:sz w:val="32"/>
          <w:szCs w:val="32"/>
        </w:rPr>
        <w:t>本年度</w:t>
      </w:r>
      <w:r>
        <w:rPr>
          <w:rFonts w:hint="eastAsia" w:ascii="仿宋_GB2312" w:hAnsi="仿宋" w:eastAsia="仿宋_GB2312" w:cs="仿宋"/>
          <w:bCs/>
          <w:color w:val="000000"/>
          <w:sz w:val="32"/>
          <w:szCs w:val="32"/>
        </w:rPr>
        <w:t>因公出国（境）费开支</w:t>
      </w:r>
      <w:r>
        <w:rPr>
          <w:rFonts w:ascii="仿宋_GB2312" w:hAnsi="仿宋" w:eastAsia="仿宋_GB2312" w:cs="仿宋"/>
          <w:bCs/>
          <w:color w:val="000000"/>
          <w:sz w:val="32"/>
          <w:szCs w:val="32"/>
        </w:rPr>
        <w:t>2.96</w:t>
      </w:r>
      <w:r>
        <w:rPr>
          <w:rFonts w:hint="eastAsia" w:ascii="仿宋_GB2312" w:hAnsi="仿宋" w:eastAsia="仿宋_GB2312" w:cs="仿宋"/>
          <w:bCs/>
          <w:color w:val="000000"/>
          <w:sz w:val="32"/>
          <w:szCs w:val="32"/>
        </w:rPr>
        <w:t>万元。原因为本年有一人因上级组织安排因公出国考察。</w:t>
      </w:r>
    </w:p>
    <w:p>
      <w:pPr>
        <w:pStyle w:val="7"/>
        <w:widowControl/>
        <w:spacing w:before="76" w:beforeAutospacing="0" w:after="76" w:afterAutospacing="0" w:line="450" w:lineRule="atLeast"/>
        <w:ind w:firstLine="138" w:firstLineChars="49"/>
        <w:rPr>
          <w:rFonts w:ascii="宋体" w:cs="宋体"/>
          <w:b/>
          <w:bCs/>
          <w:sz w:val="28"/>
          <w:szCs w:val="28"/>
          <w:shd w:val="clear" w:color="auto" w:fill="FFFFFF"/>
          <w:lang w:val="zh-CN"/>
        </w:rPr>
      </w:pPr>
      <w:r>
        <w:rPr>
          <w:rFonts w:hint="eastAsia" w:ascii="宋体" w:hAnsi="宋体" w:cs="宋体"/>
          <w:b/>
          <w:bCs/>
          <w:sz w:val="28"/>
          <w:szCs w:val="28"/>
          <w:shd w:val="clear" w:color="auto" w:fill="FFFFFF"/>
          <w:lang w:val="zh-CN"/>
        </w:rPr>
        <w:t>（三）关于机关运行经费支出说明</w:t>
      </w:r>
    </w:p>
    <w:p>
      <w:pPr>
        <w:shd w:val="clear" w:color="auto" w:fill="FFFFFF"/>
        <w:spacing w:line="360" w:lineRule="auto"/>
        <w:ind w:firstLine="640" w:firstLineChars="20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本单位机关运行经费本年支出</w:t>
      </w:r>
      <w:r>
        <w:rPr>
          <w:rFonts w:ascii="仿宋_GB2312" w:hAnsi="仿宋" w:eastAsia="仿宋_GB2312" w:cs="仿宋"/>
          <w:bCs/>
          <w:color w:val="000000"/>
          <w:sz w:val="32"/>
          <w:szCs w:val="32"/>
        </w:rPr>
        <w:t>51.35</w:t>
      </w:r>
      <w:r>
        <w:rPr>
          <w:rFonts w:hint="eastAsia" w:ascii="仿宋_GB2312" w:hAnsi="仿宋" w:eastAsia="仿宋_GB2312" w:cs="仿宋"/>
          <w:bCs/>
          <w:color w:val="000000"/>
          <w:sz w:val="32"/>
          <w:szCs w:val="32"/>
        </w:rPr>
        <w:t>万元，去年支出为</w:t>
      </w:r>
      <w:r>
        <w:rPr>
          <w:rFonts w:ascii="仿宋_GB2312" w:hAnsi="仿宋" w:eastAsia="仿宋_GB2312" w:cs="仿宋"/>
          <w:bCs/>
          <w:color w:val="000000"/>
          <w:sz w:val="32"/>
          <w:szCs w:val="32"/>
        </w:rPr>
        <w:t>47.45</w:t>
      </w:r>
      <w:r>
        <w:rPr>
          <w:rFonts w:hint="eastAsia" w:ascii="仿宋_GB2312" w:hAnsi="仿宋" w:eastAsia="仿宋_GB2312" w:cs="仿宋"/>
          <w:bCs/>
          <w:color w:val="000000"/>
          <w:sz w:val="32"/>
          <w:szCs w:val="32"/>
        </w:rPr>
        <w:t>万元，对比增加</w:t>
      </w:r>
      <w:r>
        <w:rPr>
          <w:rFonts w:ascii="仿宋_GB2312" w:hAnsi="仿宋" w:eastAsia="仿宋_GB2312" w:cs="仿宋"/>
          <w:bCs/>
          <w:color w:val="000000"/>
          <w:sz w:val="32"/>
          <w:szCs w:val="32"/>
        </w:rPr>
        <w:t>3.9</w:t>
      </w:r>
      <w:r>
        <w:rPr>
          <w:rFonts w:hint="eastAsia" w:ascii="仿宋_GB2312" w:hAnsi="仿宋" w:eastAsia="仿宋_GB2312" w:cs="仿宋"/>
          <w:bCs/>
          <w:color w:val="000000"/>
          <w:sz w:val="32"/>
          <w:szCs w:val="32"/>
        </w:rPr>
        <w:t>万元，主要原因为事务增加所致。</w:t>
      </w:r>
    </w:p>
    <w:p>
      <w:pPr>
        <w:pStyle w:val="7"/>
        <w:widowControl/>
        <w:spacing w:before="76" w:beforeAutospacing="0" w:after="76" w:afterAutospacing="0" w:line="450" w:lineRule="atLeast"/>
        <w:rPr>
          <w:rFonts w:ascii="宋体" w:cs="宋体"/>
          <w:b/>
          <w:bCs/>
          <w:sz w:val="28"/>
          <w:szCs w:val="28"/>
          <w:shd w:val="clear" w:color="auto" w:fill="FFFFFF"/>
          <w:lang w:val="zh-CN"/>
        </w:rPr>
      </w:pPr>
      <w:r>
        <w:rPr>
          <w:rFonts w:hint="eastAsia" w:ascii="宋体" w:hAnsi="宋体" w:cs="宋体"/>
          <w:b/>
          <w:bCs/>
          <w:sz w:val="28"/>
          <w:szCs w:val="28"/>
          <w:shd w:val="clear" w:color="auto" w:fill="FFFFFF"/>
          <w:lang w:val="zh-CN"/>
        </w:rPr>
        <w:t>（四）关于政府采购支出说明</w:t>
      </w:r>
    </w:p>
    <w:p>
      <w:pPr>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本部门本年度政府采购货物支出</w:t>
      </w:r>
      <w:r>
        <w:rPr>
          <w:rFonts w:ascii="仿宋_GB2312" w:hAnsi="仿宋" w:eastAsia="仿宋_GB2312" w:cs="仿宋"/>
          <w:bCs/>
          <w:sz w:val="32"/>
          <w:szCs w:val="32"/>
        </w:rPr>
        <w:t>0.4</w:t>
      </w:r>
      <w:r>
        <w:rPr>
          <w:rFonts w:hint="eastAsia" w:ascii="仿宋_GB2312" w:hAnsi="仿宋" w:eastAsia="仿宋_GB2312" w:cs="仿宋"/>
          <w:bCs/>
          <w:sz w:val="32"/>
          <w:szCs w:val="32"/>
        </w:rPr>
        <w:t>万元。</w:t>
      </w:r>
    </w:p>
    <w:p>
      <w:pPr>
        <w:pStyle w:val="7"/>
        <w:widowControl/>
        <w:spacing w:before="76" w:beforeAutospacing="0" w:after="76" w:afterAutospacing="0" w:line="450" w:lineRule="atLeast"/>
        <w:rPr>
          <w:rFonts w:ascii="宋体" w:cs="宋体"/>
          <w:b/>
          <w:bCs/>
          <w:sz w:val="28"/>
          <w:szCs w:val="28"/>
          <w:shd w:val="clear" w:color="auto" w:fill="FFFFFF"/>
          <w:lang w:val="zh-CN"/>
        </w:rPr>
      </w:pPr>
      <w:r>
        <w:rPr>
          <w:rFonts w:hint="eastAsia" w:ascii="宋体" w:hAnsi="宋体" w:cs="宋体"/>
          <w:b/>
          <w:bCs/>
          <w:sz w:val="28"/>
          <w:szCs w:val="28"/>
          <w:shd w:val="clear" w:color="auto" w:fill="FFFFFF"/>
          <w:lang w:val="zh-CN"/>
        </w:rPr>
        <w:t>（五）关于国有资产占用情况说明</w:t>
      </w:r>
    </w:p>
    <w:p>
      <w:pPr>
        <w:autoSpaceDE w:val="0"/>
        <w:autoSpaceDN w:val="0"/>
        <w:adjustRightInd w:val="0"/>
        <w:ind w:firstLine="560" w:firstLineChars="200"/>
        <w:jc w:val="left"/>
        <w:rPr>
          <w:rFonts w:hint="eastAsia" w:ascii="宋体" w:hAnsi="宋体" w:cs="宋体"/>
          <w:kern w:val="0"/>
          <w:sz w:val="28"/>
          <w:szCs w:val="28"/>
          <w:lang w:val="zh-CN"/>
        </w:rPr>
      </w:pPr>
      <w:r>
        <w:rPr>
          <w:rFonts w:hint="eastAsia" w:ascii="宋体" w:hAnsi="宋体" w:cs="宋体"/>
          <w:kern w:val="0"/>
          <w:sz w:val="28"/>
          <w:szCs w:val="28"/>
          <w:lang w:val="zh-CN"/>
        </w:rPr>
        <w:t>截至</w:t>
      </w:r>
      <w:r>
        <w:rPr>
          <w:rFonts w:ascii="宋体" w:hAnsi="宋体" w:cs="宋体"/>
          <w:kern w:val="0"/>
          <w:sz w:val="28"/>
          <w:szCs w:val="28"/>
          <w:lang w:val="zh-CN"/>
        </w:rPr>
        <w:t>2019</w:t>
      </w:r>
      <w:r>
        <w:rPr>
          <w:rFonts w:hint="eastAsia" w:ascii="宋体" w:hAnsi="宋体" w:cs="宋体"/>
          <w:kern w:val="0"/>
          <w:sz w:val="28"/>
          <w:szCs w:val="28"/>
          <w:lang w:val="zh-CN"/>
        </w:rPr>
        <w:t>年</w:t>
      </w:r>
      <w:r>
        <w:rPr>
          <w:rFonts w:ascii="宋体" w:hAnsi="宋体" w:cs="宋体"/>
          <w:kern w:val="0"/>
          <w:sz w:val="28"/>
          <w:szCs w:val="28"/>
          <w:lang w:val="zh-CN"/>
        </w:rPr>
        <w:t>12</w:t>
      </w:r>
      <w:r>
        <w:rPr>
          <w:rFonts w:hint="eastAsia" w:ascii="宋体" w:hAnsi="宋体" w:cs="宋体"/>
          <w:kern w:val="0"/>
          <w:sz w:val="28"/>
          <w:szCs w:val="28"/>
          <w:lang w:val="zh-CN"/>
        </w:rPr>
        <w:t>月</w:t>
      </w:r>
      <w:r>
        <w:rPr>
          <w:rFonts w:ascii="宋体" w:hAnsi="宋体" w:cs="宋体"/>
          <w:kern w:val="0"/>
          <w:sz w:val="28"/>
          <w:szCs w:val="28"/>
          <w:lang w:val="zh-CN"/>
        </w:rPr>
        <w:t>31</w:t>
      </w:r>
      <w:r>
        <w:rPr>
          <w:rFonts w:hint="eastAsia" w:ascii="宋体" w:hAnsi="宋体" w:cs="宋体"/>
          <w:kern w:val="0"/>
          <w:sz w:val="28"/>
          <w:szCs w:val="28"/>
          <w:lang w:val="zh-CN"/>
        </w:rPr>
        <w:t>日，本部门无公务用车。</w:t>
      </w:r>
    </w:p>
    <w:p>
      <w:pPr>
        <w:pStyle w:val="7"/>
        <w:widowControl/>
        <w:spacing w:before="76" w:beforeAutospacing="0" w:after="76" w:afterAutospacing="0" w:line="450" w:lineRule="atLeast"/>
        <w:rPr>
          <w:rFonts w:hint="eastAsia"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（六）重点绩效评价结果等预算绩效情况说明</w:t>
      </w:r>
    </w:p>
    <w:p>
      <w:pPr>
        <w:autoSpaceDE w:val="0"/>
        <w:autoSpaceDN w:val="0"/>
        <w:adjustRightInd w:val="0"/>
        <w:ind w:firstLine="560" w:firstLineChars="200"/>
        <w:jc w:val="left"/>
        <w:rPr>
          <w:rFonts w:hint="eastAsia" w:ascii="宋体" w:hAnsi="宋体" w:cs="宋体"/>
          <w:kern w:val="0"/>
          <w:sz w:val="28"/>
          <w:szCs w:val="28"/>
          <w:lang w:val="zh-CN" w:eastAsia="zh-CN"/>
        </w:rPr>
      </w:pPr>
      <w:r>
        <w:rPr>
          <w:rFonts w:hint="eastAsia" w:ascii="宋体" w:hAnsi="宋体" w:cs="宋体"/>
          <w:kern w:val="0"/>
          <w:sz w:val="28"/>
          <w:szCs w:val="28"/>
          <w:lang w:val="en-US" w:eastAsia="zh-CN"/>
        </w:rPr>
        <w:t>2019年， 根据预算绩效管理要求，我单位组织2019年度一般公共预算项目支出全面开展绩效自评，共涉及项目4个，资金21.9万元。 2019年项目资金投入21.9万元，已使用21.9万元，使用率达100%。使用从评价结果看，项目立项程序完整、规范，预算执行及时、有效，绩效目标得到较好实现，绩效管理水平不断提高，绩效指标体系建设逐渐丰富和完善。</w:t>
      </w:r>
    </w:p>
    <w:p>
      <w:pPr>
        <w:autoSpaceDE w:val="0"/>
        <w:autoSpaceDN w:val="0"/>
        <w:adjustRightInd w:val="0"/>
        <w:ind w:firstLine="560" w:firstLineChars="200"/>
        <w:jc w:val="left"/>
        <w:rPr>
          <w:rFonts w:hint="eastAsia" w:ascii="宋体" w:hAnsi="宋体" w:cs="宋体"/>
          <w:kern w:val="0"/>
          <w:sz w:val="28"/>
          <w:szCs w:val="28"/>
          <w:lang w:val="zh-CN"/>
        </w:rPr>
      </w:pPr>
    </w:p>
    <w:p>
      <w:pPr>
        <w:autoSpaceDE w:val="0"/>
        <w:autoSpaceDN w:val="0"/>
        <w:adjustRightInd w:val="0"/>
        <w:ind w:firstLine="560" w:firstLineChars="200"/>
        <w:jc w:val="left"/>
        <w:rPr>
          <w:rFonts w:hint="eastAsia" w:ascii="宋体" w:hAnsi="宋体" w:cs="宋体"/>
          <w:kern w:val="0"/>
          <w:sz w:val="28"/>
          <w:szCs w:val="28"/>
          <w:lang w:val="zh-CN"/>
        </w:rPr>
      </w:pPr>
    </w:p>
    <w:p>
      <w:pPr>
        <w:autoSpaceDE w:val="0"/>
        <w:autoSpaceDN w:val="0"/>
        <w:adjustRightInd w:val="0"/>
        <w:ind w:firstLine="560" w:firstLineChars="200"/>
        <w:jc w:val="left"/>
        <w:rPr>
          <w:rFonts w:hint="eastAsia" w:ascii="宋体" w:hAnsi="宋体" w:cs="宋体"/>
          <w:kern w:val="0"/>
          <w:sz w:val="28"/>
          <w:szCs w:val="28"/>
          <w:lang w:val="zh-CN"/>
        </w:rPr>
      </w:pPr>
    </w:p>
    <w:p>
      <w:pPr>
        <w:autoSpaceDE w:val="0"/>
        <w:autoSpaceDN w:val="0"/>
        <w:adjustRightInd w:val="0"/>
        <w:ind w:firstLine="560" w:firstLineChars="200"/>
        <w:jc w:val="left"/>
        <w:rPr>
          <w:rFonts w:hint="eastAsia" w:ascii="宋体" w:hAnsi="宋体" w:cs="宋体"/>
          <w:kern w:val="0"/>
          <w:sz w:val="28"/>
          <w:szCs w:val="28"/>
          <w:lang w:val="zh-CN"/>
        </w:rPr>
      </w:pPr>
    </w:p>
    <w:p>
      <w:pPr>
        <w:autoSpaceDE w:val="0"/>
        <w:autoSpaceDN w:val="0"/>
        <w:adjustRightInd w:val="0"/>
        <w:ind w:firstLine="560" w:firstLineChars="200"/>
        <w:jc w:val="left"/>
        <w:rPr>
          <w:rFonts w:hint="eastAsia" w:ascii="宋体" w:hAnsi="宋体" w:cs="宋体"/>
          <w:kern w:val="0"/>
          <w:sz w:val="28"/>
          <w:szCs w:val="28"/>
          <w:lang w:val="zh-CN"/>
        </w:rPr>
      </w:pPr>
      <w:bookmarkStart w:id="0" w:name="_GoBack"/>
      <w:bookmarkEnd w:id="0"/>
    </w:p>
    <w:p>
      <w:pPr>
        <w:autoSpaceDE w:val="0"/>
        <w:autoSpaceDN w:val="0"/>
        <w:adjustRightInd w:val="0"/>
        <w:ind w:firstLine="560" w:firstLineChars="200"/>
        <w:jc w:val="left"/>
        <w:rPr>
          <w:rFonts w:ascii="宋体" w:cs="宋体"/>
          <w:kern w:val="0"/>
          <w:sz w:val="28"/>
          <w:szCs w:val="28"/>
          <w:lang w:val="zh-CN"/>
        </w:rPr>
      </w:pPr>
    </w:p>
    <w:p>
      <w:pPr>
        <w:autoSpaceDE w:val="0"/>
        <w:autoSpaceDN w:val="0"/>
        <w:adjustRightInd w:val="0"/>
        <w:ind w:firstLine="480" w:firstLineChars="200"/>
        <w:jc w:val="left"/>
        <w:rPr>
          <w:rFonts w:ascii="微软雅黑" w:hAnsi="微软雅黑" w:eastAsia="微软雅黑" w:cs="微软雅黑"/>
          <w:b/>
          <w:bCs/>
          <w:kern w:val="0"/>
          <w:sz w:val="24"/>
          <w:lang w:val="zh-CN"/>
        </w:rPr>
      </w:pPr>
      <w:r>
        <w:rPr>
          <w:rFonts w:hint="eastAsia" w:ascii="微软雅黑" w:hAnsi="微软雅黑" w:eastAsia="微软雅黑" w:cs="微软雅黑"/>
          <w:b/>
          <w:bCs/>
          <w:kern w:val="0"/>
          <w:sz w:val="24"/>
          <w:lang w:val="zh-CN"/>
        </w:rPr>
        <w:t>第四部分</w:t>
      </w:r>
      <w:r>
        <w:rPr>
          <w:rFonts w:ascii="微软雅黑" w:hAnsi="微软雅黑" w:eastAsia="微软雅黑" w:cs="微软雅黑"/>
          <w:b/>
          <w:bCs/>
          <w:kern w:val="0"/>
          <w:sz w:val="24"/>
          <w:lang w:val="zh-CN"/>
        </w:rPr>
        <w:t xml:space="preserve"> </w:t>
      </w:r>
      <w:r>
        <w:rPr>
          <w:rFonts w:hint="eastAsia" w:ascii="微软雅黑" w:hAnsi="微软雅黑" w:eastAsia="微软雅黑" w:cs="微软雅黑"/>
          <w:b/>
          <w:bCs/>
          <w:kern w:val="0"/>
          <w:sz w:val="24"/>
          <w:lang w:val="zh-CN"/>
        </w:rPr>
        <w:t>名词解释</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一、财政补助收入：指县级财政当年拨付的资金。</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二、其他收入：指除“财政拨款收入”、“上级补助收入”、“事业收入”、“经营收入”等以外的收入。主要是存款利息收入等。</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三、年初结转和结余：指以前年度尚未完成、结转到本年按有关规定继续使用的资金。</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四、一般公共服务（类）行政运行（项）：指县行政单位及参照公务员管理事业单位用于保障机构正常运行、开展日常工作的基本支出。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五、一般公共服务（类）一般行政管理事务（项）：指县行政单位及参照公务员管理事业单位用于开展立法调研、财政信息宣传、非税收入征管等未单独设置项级科目的专门性财政管理工作的项目支出。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六、一般公共服务（类）机关服务（项）：指黄石港区政协服务中心为机关提供办公楼日常维修、维护等后勤保障服务的支出。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七、一般公共服务（类）其他一般公共服务支出（款）其他一般公共服务支出（项）：指黄石港区政协用于其他一般公共服务方面的支出。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八、教育（类）普通教育（款）高等教育（项）：指黄石港区政协支持地方高校的重点发展和特色办学，组织专家对省属院校申报的建设规划和项目预算进行评审等相关工作的支出。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九、社会保障和就业</w:t>
      </w:r>
      <w:r>
        <w:rPr>
          <w:rFonts w:ascii="宋体" w:hAnsi="宋体" w:cs="宋体"/>
          <w:kern w:val="0"/>
          <w:sz w:val="28"/>
          <w:szCs w:val="28"/>
          <w:lang w:val="zh-CN"/>
        </w:rPr>
        <w:t>(</w:t>
      </w:r>
      <w:r>
        <w:rPr>
          <w:rFonts w:hint="eastAsia" w:ascii="宋体" w:hAnsi="宋体" w:cs="宋体"/>
          <w:kern w:val="0"/>
          <w:sz w:val="28"/>
          <w:szCs w:val="28"/>
          <w:lang w:val="zh-CN"/>
        </w:rPr>
        <w:t>类</w:t>
      </w:r>
      <w:r>
        <w:rPr>
          <w:rFonts w:ascii="宋体" w:hAnsi="宋体" w:cs="宋体"/>
          <w:kern w:val="0"/>
          <w:sz w:val="28"/>
          <w:szCs w:val="28"/>
          <w:lang w:val="zh-CN"/>
        </w:rPr>
        <w:t>)</w:t>
      </w:r>
      <w:r>
        <w:rPr>
          <w:rFonts w:hint="eastAsia" w:ascii="宋体" w:hAnsi="宋体" w:cs="宋体"/>
          <w:kern w:val="0"/>
          <w:sz w:val="28"/>
          <w:szCs w:val="28"/>
          <w:lang w:val="zh-CN"/>
        </w:rPr>
        <w:t>行政事业单位离退休（款）归口管理的行政单位离退休（项）：指黄石港区政协用于离退休人员的支出、退休人员支出，以及提供管理服务工作的离退休干部处的支出。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十、社会保障和就业</w:t>
      </w:r>
      <w:r>
        <w:rPr>
          <w:rFonts w:ascii="宋体" w:hAnsi="宋体" w:cs="宋体"/>
          <w:kern w:val="0"/>
          <w:sz w:val="28"/>
          <w:szCs w:val="28"/>
          <w:lang w:val="zh-CN"/>
        </w:rPr>
        <w:t>(</w:t>
      </w:r>
      <w:r>
        <w:rPr>
          <w:rFonts w:hint="eastAsia" w:ascii="宋体" w:hAnsi="宋体" w:cs="宋体"/>
          <w:kern w:val="0"/>
          <w:sz w:val="28"/>
          <w:szCs w:val="28"/>
          <w:lang w:val="zh-CN"/>
        </w:rPr>
        <w:t>类</w:t>
      </w:r>
      <w:r>
        <w:rPr>
          <w:rFonts w:ascii="宋体" w:hAnsi="宋体" w:cs="宋体"/>
          <w:kern w:val="0"/>
          <w:sz w:val="28"/>
          <w:szCs w:val="28"/>
          <w:lang w:val="zh-CN"/>
        </w:rPr>
        <w:t>)</w:t>
      </w:r>
      <w:r>
        <w:rPr>
          <w:rFonts w:hint="eastAsia" w:ascii="宋体" w:hAnsi="宋体" w:cs="宋体"/>
          <w:kern w:val="0"/>
          <w:sz w:val="28"/>
          <w:szCs w:val="28"/>
          <w:lang w:val="zh-CN"/>
        </w:rPr>
        <w:t>行政事业单位离退休（款）其他行政事业单位离退休支出（项）：指黄石港区政协用于离退休方面的其他支出。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十一、医疗卫生与计划生育（类）医疗保障（款）行政单位医疗（项）：指黄石港区政协用于机关干部职工及离退休人员医疗方面的支出。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十二、住房保障（类）住房改革支出（款）购房补贴（项）：指按照相关住房分配货币化改革的政策规定和标准，对无房和住房未达标职工发放的住房分配货币化补贴资金。</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十三、年末结转和结余：指本年度或以前年度预算安排、因客观条件发生变化无法按原计划实施，需要延迟到以后年度按有关规定继续使用的资金。</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十四、基本支出：指为保障机构正常运转、完成日常工作任务而发生的人员支出（包括基本工资、津贴补贴等）和公用支出（包括办公费、水电费、邮电费、交通费、差旅费等）。</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十五、项目支出：指在基本支出之外为完成特定行政任务和事业发展目标所发生的支出。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十六、“三公”经费：是指用财政拨款安排的因公出国（境）费、公务用车购置及运行维护费、公务接待费。</w:t>
      </w:r>
    </w:p>
    <w:p>
      <w:pPr>
        <w:autoSpaceDE w:val="0"/>
        <w:autoSpaceDN w:val="0"/>
        <w:adjustRightInd w:val="0"/>
        <w:ind w:firstLine="560" w:firstLineChars="200"/>
        <w:jc w:val="left"/>
        <w:rPr>
          <w:rFonts w:ascii="宋体" w:cs="宋体"/>
          <w:kern w:val="0"/>
          <w:sz w:val="28"/>
          <w:szCs w:val="28"/>
          <w:lang w:val="zh-CN"/>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431E"/>
    <w:rsid w:val="00067A3A"/>
    <w:rsid w:val="00095B33"/>
    <w:rsid w:val="000B55E2"/>
    <w:rsid w:val="00135E1A"/>
    <w:rsid w:val="00170DAF"/>
    <w:rsid w:val="001F52BF"/>
    <w:rsid w:val="002A56BE"/>
    <w:rsid w:val="00315998"/>
    <w:rsid w:val="00320465"/>
    <w:rsid w:val="00336DF9"/>
    <w:rsid w:val="00337BB3"/>
    <w:rsid w:val="00356C09"/>
    <w:rsid w:val="004505D1"/>
    <w:rsid w:val="00485E66"/>
    <w:rsid w:val="00486B59"/>
    <w:rsid w:val="004D59FE"/>
    <w:rsid w:val="004E206E"/>
    <w:rsid w:val="00587F93"/>
    <w:rsid w:val="005B1270"/>
    <w:rsid w:val="005F081C"/>
    <w:rsid w:val="00642A52"/>
    <w:rsid w:val="00660DB2"/>
    <w:rsid w:val="006A2614"/>
    <w:rsid w:val="006B5497"/>
    <w:rsid w:val="006D5FE1"/>
    <w:rsid w:val="006E67AB"/>
    <w:rsid w:val="00702FA4"/>
    <w:rsid w:val="00794080"/>
    <w:rsid w:val="00797E35"/>
    <w:rsid w:val="007B6542"/>
    <w:rsid w:val="00851F58"/>
    <w:rsid w:val="0085273F"/>
    <w:rsid w:val="00923832"/>
    <w:rsid w:val="009E78E4"/>
    <w:rsid w:val="009F431E"/>
    <w:rsid w:val="00A77E90"/>
    <w:rsid w:val="00A87776"/>
    <w:rsid w:val="00B430E7"/>
    <w:rsid w:val="00C545B2"/>
    <w:rsid w:val="00CF5142"/>
    <w:rsid w:val="00DA5601"/>
    <w:rsid w:val="00DF26CD"/>
    <w:rsid w:val="00E30581"/>
    <w:rsid w:val="00F04F12"/>
    <w:rsid w:val="00FC04D5"/>
    <w:rsid w:val="0664587B"/>
    <w:rsid w:val="09FF39B4"/>
    <w:rsid w:val="11411182"/>
    <w:rsid w:val="219E41B4"/>
    <w:rsid w:val="255E033E"/>
    <w:rsid w:val="27390172"/>
    <w:rsid w:val="2CCE2491"/>
    <w:rsid w:val="2F081AB6"/>
    <w:rsid w:val="3266798C"/>
    <w:rsid w:val="33DA2CDE"/>
    <w:rsid w:val="457D21A1"/>
    <w:rsid w:val="5D166C2D"/>
    <w:rsid w:val="621B3808"/>
    <w:rsid w:val="67E4782B"/>
    <w:rsid w:val="717004E1"/>
    <w:rsid w:val="746766E2"/>
    <w:rsid w:val="74EA7B66"/>
    <w:rsid w:val="76597733"/>
    <w:rsid w:val="78186405"/>
    <w:rsid w:val="7BCB725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qFormat/>
    <w:uiPriority w:val="99"/>
    <w:pPr>
      <w:spacing w:beforeAutospacing="1" w:afterAutospacing="1"/>
      <w:jc w:val="left"/>
      <w:outlineLvl w:val="4"/>
    </w:pPr>
    <w:rPr>
      <w:rFonts w:ascii="宋体" w:hAnsi="宋体"/>
      <w:b/>
      <w:kern w:val="0"/>
      <w:sz w:val="20"/>
      <w:szCs w:val="20"/>
    </w:rPr>
  </w:style>
  <w:style w:type="character" w:default="1" w:styleId="8">
    <w:name w:val="Default Paragraph Font"/>
    <w:semiHidden/>
    <w:qFormat/>
    <w:uiPriority w:val="99"/>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2"/>
    <w:qFormat/>
    <w:uiPriority w:val="99"/>
    <w:pPr>
      <w:spacing w:line="500" w:lineRule="exact"/>
      <w:ind w:firstLine="640" w:firstLineChars="200"/>
    </w:pPr>
    <w:rPr>
      <w:rFonts w:ascii="宋体"/>
      <w:sz w:val="32"/>
    </w:rPr>
  </w:style>
  <w:style w:type="paragraph" w:styleId="4">
    <w:name w:val="Plain Text"/>
    <w:basedOn w:val="1"/>
    <w:link w:val="13"/>
    <w:qFormat/>
    <w:uiPriority w:val="99"/>
    <w:rPr>
      <w:rFonts w:ascii="宋体" w:hAnsi="Courier New" w:cs="Courier New"/>
      <w:szCs w:val="21"/>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9">
    <w:name w:val="Strong"/>
    <w:basedOn w:val="8"/>
    <w:qFormat/>
    <w:uiPriority w:val="99"/>
    <w:rPr>
      <w:rFonts w:cs="Times New Roman"/>
      <w:b/>
    </w:rPr>
  </w:style>
  <w:style w:type="character" w:customStyle="1" w:styleId="11">
    <w:name w:val="Heading 5 Char"/>
    <w:basedOn w:val="8"/>
    <w:link w:val="2"/>
    <w:semiHidden/>
    <w:qFormat/>
    <w:locked/>
    <w:uiPriority w:val="99"/>
    <w:rPr>
      <w:rFonts w:ascii="Calibri" w:hAnsi="Calibri" w:cs="Times New Roman"/>
      <w:b/>
      <w:bCs/>
      <w:sz w:val="28"/>
      <w:szCs w:val="28"/>
    </w:rPr>
  </w:style>
  <w:style w:type="character" w:customStyle="1" w:styleId="12">
    <w:name w:val="Body Text Indent Char"/>
    <w:basedOn w:val="8"/>
    <w:link w:val="3"/>
    <w:semiHidden/>
    <w:qFormat/>
    <w:locked/>
    <w:uiPriority w:val="99"/>
    <w:rPr>
      <w:rFonts w:ascii="Calibri" w:hAnsi="Calibri" w:cs="Times New Roman"/>
      <w:sz w:val="24"/>
      <w:szCs w:val="24"/>
    </w:rPr>
  </w:style>
  <w:style w:type="character" w:customStyle="1" w:styleId="13">
    <w:name w:val="Plain Text Char"/>
    <w:basedOn w:val="8"/>
    <w:link w:val="4"/>
    <w:semiHidden/>
    <w:qFormat/>
    <w:locked/>
    <w:uiPriority w:val="99"/>
    <w:rPr>
      <w:rFonts w:ascii="宋体" w:hAnsi="Courier New" w:cs="Courier New"/>
      <w:sz w:val="21"/>
      <w:szCs w:val="21"/>
    </w:rPr>
  </w:style>
  <w:style w:type="character" w:customStyle="1" w:styleId="14">
    <w:name w:val="Footer Char"/>
    <w:basedOn w:val="8"/>
    <w:link w:val="5"/>
    <w:semiHidden/>
    <w:qFormat/>
    <w:locked/>
    <w:uiPriority w:val="99"/>
    <w:rPr>
      <w:rFonts w:ascii="Calibri" w:hAnsi="Calibri" w:cs="Times New Roman"/>
      <w:sz w:val="18"/>
      <w:szCs w:val="18"/>
    </w:rPr>
  </w:style>
  <w:style w:type="character" w:customStyle="1" w:styleId="15">
    <w:name w:val="Header Char"/>
    <w:basedOn w:val="8"/>
    <w:link w:val="6"/>
    <w:semiHidden/>
    <w:qFormat/>
    <w:locked/>
    <w:uiPriority w:val="99"/>
    <w:rPr>
      <w:rFonts w:ascii="Calibri" w:hAnsi="Calibri" w:cs="Times New Roman"/>
      <w:sz w:val="18"/>
      <w:szCs w:val="18"/>
    </w:rPr>
  </w:style>
  <w:style w:type="paragraph" w:customStyle="1" w:styleId="16">
    <w:name w:val="正文缩进 + 首行缩进:  2 字符"/>
    <w:basedOn w:val="1"/>
    <w:qFormat/>
    <w:uiPriority w:val="99"/>
    <w:pPr>
      <w:spacing w:line="560" w:lineRule="exact"/>
      <w:ind w:firstLine="640"/>
    </w:pPr>
    <w:rPr>
      <w:rFonts w:ascii="仿宋" w:hAnsi="仿宋" w:cs="宋体"/>
      <w:sz w:val="32"/>
      <w:szCs w:val="32"/>
    </w:rPr>
  </w:style>
  <w:style w:type="character" w:customStyle="1" w:styleId="17">
    <w:name w:val="ca-2"/>
    <w:basedOn w:val="8"/>
    <w:qFormat/>
    <w:uiPriority w:val="99"/>
    <w:rPr>
      <w:rFonts w:cs="Times New Roman"/>
    </w:rPr>
  </w:style>
  <w:style w:type="paragraph" w:customStyle="1" w:styleId="18">
    <w:name w:val="Normal (Web)1"/>
    <w:basedOn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ca-3"/>
    <w:basedOn w:val="8"/>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18</Pages>
  <Words>1246</Words>
  <Characters>7107</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Administrator</cp:lastModifiedBy>
  <dcterms:modified xsi:type="dcterms:W3CDTF">2021-05-26T08:33:38Z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