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政协</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黄石港区政协</w:t>
      </w:r>
      <w:r>
        <w:rPr>
          <w:rStyle w:val="10"/>
          <w:rFonts w:ascii="微软雅黑" w:hAnsi="微软雅黑" w:eastAsia="微软雅黑" w:cs="微软雅黑"/>
          <w:color w:val="333333"/>
          <w:shd w:val="clear" w:color="auto" w:fill="FFFFFF"/>
        </w:rPr>
        <w:t>2020</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widowControl/>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2020</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ascii="微软雅黑" w:hAnsi="微软雅黑" w:eastAsia="微软雅黑" w:cs="微软雅黑"/>
          <w:color w:val="333333"/>
          <w:shd w:val="clear" w:color="auto" w:fill="FFFFFF"/>
        </w:rPr>
        <w:t>2020</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w:t>
      </w:r>
      <w:r>
        <w:rPr>
          <w:rStyle w:val="10"/>
          <w:rFonts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autoSpaceDE w:val="0"/>
        <w:autoSpaceDN w:val="0"/>
        <w:adjustRightInd w:val="0"/>
        <w:ind w:firstLine="560" w:firstLineChars="200"/>
        <w:jc w:val="left"/>
        <w:rPr>
          <w:rFonts w:ascii="宋体" w:cs="宋体"/>
          <w:kern w:val="0"/>
          <w:sz w:val="28"/>
          <w:szCs w:val="28"/>
          <w:lang w:val="zh-CN"/>
        </w:rPr>
      </w:pPr>
      <w:r>
        <w:rPr>
          <w:rFonts w:ascii="宋体" w:hAnsi="宋体" w:cs="宋体"/>
          <w:kern w:val="0"/>
          <w:sz w:val="28"/>
          <w:szCs w:val="28"/>
          <w:lang w:val="zh-CN"/>
        </w:rPr>
        <w:t xml:space="preserve"> </w:t>
      </w:r>
      <w:r>
        <w:rPr>
          <w:rFonts w:hint="eastAsia" w:ascii="宋体" w:hAnsi="宋体" w:cs="宋体"/>
          <w:kern w:val="0"/>
          <w:sz w:val="28"/>
          <w:szCs w:val="28"/>
          <w:lang w:val="zh-CN"/>
        </w:rPr>
        <w:t>进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autoSpaceDE w:val="0"/>
        <w:autoSpaceDN w:val="0"/>
        <w:adjustRightInd w:val="0"/>
        <w:ind w:firstLine="420" w:firstLineChars="150"/>
        <w:jc w:val="left"/>
        <w:rPr>
          <w:rFonts w:ascii="宋体" w:cs="宋体"/>
          <w:kern w:val="0"/>
          <w:sz w:val="28"/>
          <w:szCs w:val="28"/>
          <w:lang w:val="zh-CN"/>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spacing w:line="620" w:lineRule="exact"/>
        <w:ind w:firstLine="280" w:firstLineChars="100"/>
        <w:rPr>
          <w:rFonts w:hint="eastAsia" w:ascii="宋体" w:hAnsi="宋体" w:cs="Tahoma"/>
          <w:color w:val="333333"/>
          <w:kern w:val="0"/>
          <w:sz w:val="28"/>
          <w:szCs w:val="28"/>
        </w:rPr>
      </w:pPr>
      <w:r>
        <w:rPr>
          <w:rFonts w:hint="eastAsia" w:ascii="宋体" w:hAnsi="宋体"/>
          <w:sz w:val="28"/>
          <w:szCs w:val="28"/>
        </w:rPr>
        <w:t>（二）机构设置：</w:t>
      </w:r>
      <w:r>
        <w:rPr>
          <w:rFonts w:hint="eastAsia" w:ascii="宋体" w:hAnsi="宋体" w:cs="Tahoma"/>
          <w:color w:val="333333"/>
          <w:kern w:val="0"/>
          <w:sz w:val="28"/>
          <w:szCs w:val="28"/>
        </w:rPr>
        <w:t>设有专委会办公室、政协办公室。</w:t>
      </w:r>
    </w:p>
    <w:p>
      <w:pPr>
        <w:spacing w:line="620" w:lineRule="exact"/>
        <w:ind w:firstLine="240" w:firstLineChars="100"/>
        <w:jc w:val="left"/>
        <w:rPr>
          <w:rStyle w:val="10"/>
          <w:rFonts w:hint="eastAsia" w:ascii="微软雅黑" w:hAnsi="微软雅黑" w:eastAsia="微软雅黑" w:cs="微软雅黑"/>
          <w:color w:val="333333"/>
          <w:sz w:val="24"/>
          <w:szCs w:val="24"/>
          <w:shd w:val="clear" w:color="auto" w:fill="FFFFFF"/>
        </w:rPr>
      </w:pPr>
      <w:r>
        <w:rPr>
          <w:rStyle w:val="10"/>
          <w:rFonts w:hint="eastAsia" w:ascii="微软雅黑" w:hAnsi="微软雅黑" w:eastAsia="微软雅黑" w:cs="微软雅黑"/>
          <w:color w:val="333333"/>
          <w:sz w:val="24"/>
          <w:szCs w:val="24"/>
          <w:shd w:val="clear" w:color="auto" w:fill="FFFFFF"/>
        </w:rPr>
        <w:t>第二部分 部门2020年部门决算表</w:t>
      </w:r>
    </w:p>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ascii="微软雅黑" w:hAnsi="微软雅黑" w:eastAsia="微软雅黑" w:cs="微软雅黑"/>
          <w:b w:val="0"/>
          <w:color w:val="333333"/>
          <w:shd w:val="clear" w:color="auto" w:fill="FFFFFF"/>
        </w:rPr>
        <w:drawing>
          <wp:inline distT="0" distB="0" distL="114300" distR="114300">
            <wp:extent cx="6991350" cy="521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991350" cy="5219700"/>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r>
        <w:rPr>
          <w:rStyle w:val="10"/>
          <w:rFonts w:ascii="微软雅黑" w:hAnsi="微软雅黑" w:eastAsia="微软雅黑" w:cs="微软雅黑"/>
          <w:color w:val="333333"/>
          <w:shd w:val="clear" w:color="auto" w:fill="FFFFFF"/>
        </w:rPr>
        <w:drawing>
          <wp:inline distT="0" distB="0" distL="114300" distR="114300">
            <wp:extent cx="8791575" cy="1971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8791575" cy="1971675"/>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r>
        <w:rPr>
          <w:rStyle w:val="10"/>
          <w:rFonts w:ascii="微软雅黑" w:hAnsi="微软雅黑" w:eastAsia="微软雅黑" w:cs="微软雅黑"/>
          <w:color w:val="333333"/>
          <w:shd w:val="clear" w:color="auto" w:fill="FFFFFF"/>
        </w:rPr>
        <w:drawing>
          <wp:inline distT="0" distB="0" distL="114300" distR="114300">
            <wp:extent cx="8772525" cy="2114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772525" cy="2114550"/>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r>
        <w:rPr>
          <w:rStyle w:val="10"/>
          <w:rFonts w:ascii="微软雅黑" w:hAnsi="微软雅黑" w:eastAsia="微软雅黑" w:cs="微软雅黑"/>
          <w:color w:val="333333"/>
          <w:shd w:val="clear" w:color="auto" w:fill="FFFFFF"/>
        </w:rPr>
        <w:drawing>
          <wp:inline distT="0" distB="0" distL="114300" distR="114300">
            <wp:extent cx="7410450" cy="52292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7410450" cy="5229225"/>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r>
        <w:rPr>
          <w:rStyle w:val="10"/>
          <w:rFonts w:ascii="微软雅黑" w:hAnsi="微软雅黑" w:eastAsia="微软雅黑" w:cs="微软雅黑"/>
          <w:color w:val="333333"/>
          <w:shd w:val="clear" w:color="auto" w:fill="FFFFFF"/>
        </w:rPr>
        <w:drawing>
          <wp:inline distT="0" distB="0" distL="114300" distR="114300">
            <wp:extent cx="8848725" cy="21812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8848725" cy="2181225"/>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b w:val="0"/>
          <w:color w:val="333333"/>
          <w:shd w:val="clear" w:color="auto" w:fill="FFFFFF"/>
        </w:rPr>
      </w:pPr>
    </w:p>
    <w:p>
      <w:pPr>
        <w:pStyle w:val="7"/>
        <w:widowControl/>
        <w:spacing w:before="76" w:beforeAutospacing="0" w:after="76" w:afterAutospacing="0" w:line="450" w:lineRule="atLeast"/>
        <w:jc w:val="both"/>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ascii="微软雅黑" w:hAnsi="微软雅黑" w:eastAsia="微软雅黑" w:cs="微软雅黑"/>
          <w:b w:val="0"/>
          <w:color w:val="333333"/>
          <w:shd w:val="clear" w:color="auto" w:fill="FFFFFF"/>
        </w:rPr>
        <w:drawing>
          <wp:inline distT="0" distB="0" distL="114300" distR="114300">
            <wp:extent cx="8848725" cy="51625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8848725" cy="5162550"/>
                    </a:xfrm>
                    <a:prstGeom prst="rect">
                      <a:avLst/>
                    </a:prstGeom>
                    <a:noFill/>
                    <a:ln>
                      <a:noFill/>
                    </a:ln>
                  </pic:spPr>
                </pic:pic>
              </a:graphicData>
            </a:graphic>
          </wp:inline>
        </w:drawing>
      </w:r>
    </w:p>
    <w:p>
      <w:pPr>
        <w:pStyle w:val="7"/>
        <w:widowControl/>
        <w:spacing w:before="76" w:beforeAutospacing="0" w:after="76" w:afterAutospacing="0" w:line="450" w:lineRule="atLeast"/>
        <w:jc w:val="both"/>
        <w:rPr>
          <w:color w:val="333333"/>
        </w:rPr>
      </w:pPr>
      <w:r>
        <w:rPr>
          <w:color w:val="333333"/>
        </w:rPr>
        <w:drawing>
          <wp:inline distT="0" distB="0" distL="114300" distR="114300">
            <wp:extent cx="8820150"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8820150" cy="1924050"/>
                    </a:xfrm>
                    <a:prstGeom prst="rect">
                      <a:avLst/>
                    </a:prstGeom>
                    <a:noFill/>
                    <a:ln>
                      <a:noFill/>
                    </a:ln>
                  </pic:spPr>
                </pic:pic>
              </a:graphicData>
            </a:graphic>
          </wp:inline>
        </w:drawing>
      </w:r>
    </w:p>
    <w:tbl>
      <w:tblPr>
        <w:tblStyle w:val="8"/>
        <w:tblpPr w:leftFromText="180" w:rightFromText="180" w:vertAnchor="text" w:horzAnchor="page" w:tblpX="1198" w:tblpY="413"/>
        <w:tblOverlap w:val="never"/>
        <w:tblW w:w="1428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496"/>
      </w:tblGrid>
      <w:tr>
        <w:tblPrEx>
          <w:shd w:val="clear" w:color="auto" w:fill="auto"/>
          <w:tblCellMar>
            <w:top w:w="0" w:type="dxa"/>
            <w:left w:w="0" w:type="dxa"/>
            <w:bottom w:w="0" w:type="dxa"/>
            <w:right w:w="0" w:type="dxa"/>
          </w:tblCellMar>
        </w:tblPrEx>
        <w:trPr>
          <w:trHeight w:val="215" w:hRule="atLeast"/>
        </w:trPr>
        <w:tc>
          <w:tcPr>
            <w:tcW w:w="1428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428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2"/>
                <w:szCs w:val="22"/>
                <w:u w:val="none"/>
                <w:lang w:val="en-US" w:eastAsia="zh-CN" w:bidi="ar"/>
              </w:rPr>
              <w:t>中国人民政治协商会议黄石市黄石港区委员会</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4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4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4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428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7"/>
        <w:widowControl/>
        <w:spacing w:before="76" w:beforeAutospacing="0" w:after="76" w:afterAutospacing="0" w:line="450" w:lineRule="atLeast"/>
        <w:jc w:val="both"/>
        <w:rPr>
          <w:color w:val="333333"/>
        </w:rPr>
      </w:pPr>
    </w:p>
    <w:p>
      <w:pPr>
        <w:pStyle w:val="7"/>
        <w:widowControl/>
        <w:spacing w:before="76" w:beforeAutospacing="0" w:after="76" w:afterAutospacing="0" w:line="450" w:lineRule="atLeast"/>
        <w:rPr>
          <w:color w:val="333333"/>
        </w:rPr>
      </w:pPr>
      <w:r>
        <w:rPr>
          <w:rStyle w:val="10"/>
          <w:rFonts w:hint="eastAsia" w:ascii="微软雅黑" w:hAnsi="微软雅黑" w:eastAsia="微软雅黑" w:cs="微软雅黑"/>
          <w:color w:val="333333"/>
          <w:shd w:val="clear" w:color="auto" w:fill="FFFFFF"/>
        </w:rPr>
        <w:t>第三部分</w:t>
      </w:r>
      <w:r>
        <w:rPr>
          <w:rStyle w:val="10"/>
          <w:rFonts w:ascii="微软雅黑" w:hAnsi="微软雅黑" w:eastAsia="微软雅黑" w:cs="微软雅黑"/>
          <w:color w:val="333333"/>
          <w:shd w:val="clear" w:color="auto" w:fill="FFFFFF"/>
        </w:rPr>
        <w:t xml:space="preserve"> 2020</w:t>
      </w:r>
      <w:r>
        <w:rPr>
          <w:rStyle w:val="10"/>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宋体" w:cs="宋体"/>
          <w:b/>
          <w:bCs/>
          <w:sz w:val="28"/>
          <w:szCs w:val="28"/>
          <w:shd w:val="clear" w:color="auto" w:fill="FFFFFF"/>
          <w:lang w:val="zh-CN"/>
        </w:rPr>
      </w:pPr>
      <w:r>
        <w:rPr>
          <w:rFonts w:hint="eastAsia" w:ascii="宋体" w:hAnsi="宋体" w:cs="宋体"/>
          <w:b/>
          <w:bCs/>
          <w:sz w:val="28"/>
          <w:szCs w:val="28"/>
          <w:shd w:val="clear" w:color="auto" w:fill="FFFFFF"/>
          <w:lang w:val="zh-CN"/>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宋体"/>
          <w:color w:val="333333"/>
          <w:sz w:val="28"/>
          <w:szCs w:val="28"/>
        </w:rPr>
        <w:t>376.02</w:t>
      </w:r>
      <w:r>
        <w:rPr>
          <w:rFonts w:hint="eastAsia" w:ascii="宋体" w:hAnsi="宋体" w:cs="宋体"/>
          <w:color w:val="333333"/>
          <w:sz w:val="28"/>
          <w:szCs w:val="28"/>
        </w:rPr>
        <w:t>万元。比去年的</w:t>
      </w:r>
      <w:r>
        <w:rPr>
          <w:rFonts w:ascii="宋体" w:hAnsi="宋体" w:cs="宋体"/>
          <w:color w:val="333333"/>
          <w:sz w:val="28"/>
          <w:szCs w:val="28"/>
        </w:rPr>
        <w:t>388.94</w:t>
      </w:r>
      <w:r>
        <w:rPr>
          <w:rFonts w:hint="eastAsia" w:ascii="宋体" w:hAnsi="宋体" w:cs="宋体"/>
          <w:color w:val="333333"/>
          <w:sz w:val="28"/>
          <w:szCs w:val="28"/>
        </w:rPr>
        <w:t>万元减少</w:t>
      </w:r>
      <w:r>
        <w:rPr>
          <w:rFonts w:ascii="宋体" w:hAnsi="宋体" w:cs="宋体"/>
          <w:color w:val="333333"/>
          <w:sz w:val="28"/>
          <w:szCs w:val="28"/>
        </w:rPr>
        <w:t>12.92</w:t>
      </w:r>
      <w:r>
        <w:rPr>
          <w:rFonts w:hint="eastAsia" w:ascii="宋体" w:hAnsi="宋体" w:cs="宋体"/>
          <w:color w:val="333333"/>
          <w:sz w:val="28"/>
          <w:szCs w:val="28"/>
        </w:rPr>
        <w:t>万元，减幅</w:t>
      </w:r>
      <w:r>
        <w:rPr>
          <w:rFonts w:ascii="宋体" w:hAnsi="宋体" w:cs="宋体"/>
          <w:color w:val="333333"/>
          <w:sz w:val="28"/>
          <w:szCs w:val="28"/>
        </w:rPr>
        <w:t>3.32%</w:t>
      </w:r>
      <w:r>
        <w:rPr>
          <w:rFonts w:hint="eastAsia" w:ascii="宋体" w:hAnsi="宋体" w:cs="宋体"/>
          <w:color w:val="333333"/>
          <w:sz w:val="28"/>
          <w:szCs w:val="28"/>
        </w:rPr>
        <w:t>，其主要原因为因人员变动人员经费减少，其中财政拨款收入</w:t>
      </w:r>
      <w:r>
        <w:rPr>
          <w:rFonts w:ascii="宋体" w:hAnsi="宋体" w:cs="宋体"/>
          <w:color w:val="333333"/>
          <w:sz w:val="28"/>
          <w:szCs w:val="28"/>
        </w:rPr>
        <w:t>375.82</w:t>
      </w:r>
      <w:r>
        <w:rPr>
          <w:rFonts w:hint="eastAsia" w:ascii="宋体" w:hAnsi="宋体" w:cs="宋体"/>
          <w:color w:val="333333"/>
          <w:sz w:val="28"/>
          <w:szCs w:val="28"/>
        </w:rPr>
        <w:t>万元，占比</w:t>
      </w:r>
      <w:r>
        <w:rPr>
          <w:rFonts w:ascii="宋体" w:hAnsi="宋体" w:cs="宋体"/>
          <w:color w:val="333333"/>
          <w:sz w:val="28"/>
          <w:szCs w:val="28"/>
        </w:rPr>
        <w:t>99.95%</w:t>
      </w:r>
      <w:r>
        <w:rPr>
          <w:rFonts w:hint="eastAsia" w:ascii="宋体" w:hAnsi="宋体" w:cs="宋体"/>
          <w:color w:val="333333"/>
          <w:sz w:val="28"/>
          <w:szCs w:val="28"/>
        </w:rPr>
        <w:t>，其他收入</w:t>
      </w:r>
      <w:r>
        <w:rPr>
          <w:rFonts w:ascii="宋体" w:hAnsi="宋体" w:cs="宋体"/>
          <w:color w:val="333333"/>
          <w:sz w:val="28"/>
          <w:szCs w:val="28"/>
        </w:rPr>
        <w:t>0.2</w:t>
      </w:r>
      <w:r>
        <w:rPr>
          <w:rFonts w:hint="eastAsia" w:ascii="宋体" w:hAnsi="宋体" w:cs="宋体"/>
          <w:color w:val="333333"/>
          <w:sz w:val="28"/>
          <w:szCs w:val="28"/>
        </w:rPr>
        <w:t>万元，占比</w:t>
      </w:r>
      <w:r>
        <w:rPr>
          <w:rFonts w:ascii="宋体" w:hAnsi="宋体" w:cs="宋体"/>
          <w:color w:val="333333"/>
          <w:sz w:val="28"/>
          <w:szCs w:val="28"/>
        </w:rPr>
        <w:t>0.05%</w:t>
      </w:r>
      <w:r>
        <w:rPr>
          <w:rFonts w:hint="eastAsia" w:ascii="宋体" w:hAnsi="宋体" w:cs="宋体"/>
          <w:color w:val="333333"/>
          <w:sz w:val="28"/>
          <w:szCs w:val="28"/>
        </w:rPr>
        <w:t>。</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宋体"/>
          <w:color w:val="333333"/>
          <w:sz w:val="28"/>
          <w:szCs w:val="28"/>
        </w:rPr>
        <w:t>376.85</w:t>
      </w:r>
      <w:r>
        <w:rPr>
          <w:rFonts w:hint="eastAsia" w:ascii="宋体" w:hAnsi="宋体" w:cs="宋体"/>
          <w:color w:val="333333"/>
          <w:sz w:val="28"/>
          <w:szCs w:val="28"/>
        </w:rPr>
        <w:t>万元。比去年的</w:t>
      </w:r>
      <w:r>
        <w:rPr>
          <w:rFonts w:ascii="宋体" w:hAnsi="宋体" w:cs="宋体"/>
          <w:color w:val="333333"/>
          <w:sz w:val="28"/>
          <w:szCs w:val="28"/>
        </w:rPr>
        <w:t>388.94</w:t>
      </w:r>
      <w:r>
        <w:rPr>
          <w:rFonts w:hint="eastAsia" w:ascii="宋体" w:hAnsi="宋体" w:cs="宋体"/>
          <w:color w:val="333333"/>
          <w:sz w:val="28"/>
          <w:szCs w:val="28"/>
        </w:rPr>
        <w:t>万元减少</w:t>
      </w:r>
      <w:r>
        <w:rPr>
          <w:rFonts w:ascii="宋体" w:hAnsi="宋体" w:cs="宋体"/>
          <w:color w:val="333333"/>
          <w:sz w:val="28"/>
          <w:szCs w:val="28"/>
        </w:rPr>
        <w:t>12.09</w:t>
      </w:r>
      <w:r>
        <w:rPr>
          <w:rFonts w:hint="eastAsia" w:ascii="宋体" w:hAnsi="宋体" w:cs="宋体"/>
          <w:color w:val="333333"/>
          <w:sz w:val="28"/>
          <w:szCs w:val="28"/>
        </w:rPr>
        <w:t>万元，减幅</w:t>
      </w:r>
      <w:r>
        <w:rPr>
          <w:rFonts w:ascii="宋体" w:hAnsi="宋体" w:cs="宋体"/>
          <w:color w:val="333333"/>
          <w:sz w:val="28"/>
          <w:szCs w:val="28"/>
        </w:rPr>
        <w:t>3.11%</w:t>
      </w:r>
      <w:r>
        <w:rPr>
          <w:rFonts w:hint="eastAsia" w:ascii="宋体" w:hAnsi="宋体" w:cs="宋体"/>
          <w:color w:val="333333"/>
          <w:sz w:val="28"/>
          <w:szCs w:val="28"/>
        </w:rPr>
        <w:t>，其主要原因为因人员变动人员经费减少所致。其中一般公共预算财政拨款支出</w:t>
      </w:r>
      <w:r>
        <w:rPr>
          <w:rFonts w:ascii="宋体" w:hAnsi="宋体" w:cs="宋体"/>
          <w:color w:val="333333"/>
          <w:sz w:val="28"/>
          <w:szCs w:val="28"/>
        </w:rPr>
        <w:t>375.82</w:t>
      </w:r>
      <w:r>
        <w:rPr>
          <w:rFonts w:hint="eastAsia" w:ascii="宋体" w:hAnsi="宋体" w:cs="宋体"/>
          <w:color w:val="333333"/>
          <w:sz w:val="28"/>
          <w:szCs w:val="28"/>
        </w:rPr>
        <w:t>万元，其具体构成如下：</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319.07</w:t>
      </w:r>
      <w:r>
        <w:rPr>
          <w:rFonts w:hint="eastAsia" w:ascii="宋体" w:hAnsi="宋体" w:cs="宋体"/>
          <w:color w:val="333333"/>
          <w:sz w:val="28"/>
          <w:szCs w:val="28"/>
        </w:rPr>
        <w:t>万元。占比</w:t>
      </w:r>
      <w:r>
        <w:rPr>
          <w:rFonts w:ascii="宋体" w:hAnsi="宋体" w:cs="宋体"/>
          <w:color w:val="333333"/>
          <w:sz w:val="28"/>
          <w:szCs w:val="28"/>
        </w:rPr>
        <w:t>84.90%</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56.75</w:t>
      </w:r>
      <w:r>
        <w:rPr>
          <w:rFonts w:hint="eastAsia" w:ascii="宋体" w:hAnsi="宋体" w:cs="宋体"/>
          <w:color w:val="333333"/>
          <w:sz w:val="28"/>
          <w:szCs w:val="28"/>
        </w:rPr>
        <w:t>万元。占比</w:t>
      </w:r>
      <w:r>
        <w:rPr>
          <w:rFonts w:ascii="宋体" w:hAnsi="宋体" w:cs="宋体"/>
          <w:color w:val="333333"/>
          <w:sz w:val="28"/>
          <w:szCs w:val="28"/>
        </w:rPr>
        <w:t>15.10%</w:t>
      </w:r>
    </w:p>
    <w:p>
      <w:pPr>
        <w:shd w:val="clear" w:color="auto" w:fill="FFFFFF"/>
        <w:snapToGrid w:val="0"/>
        <w:spacing w:line="560" w:lineRule="atLeast"/>
        <w:ind w:firstLine="640" w:firstLineChars="200"/>
        <w:rPr>
          <w:rFonts w:ascii="仿宋_GB2312" w:hAnsi="宋体" w:eastAsia="仿宋_GB2312" w:cs="宋体"/>
          <w:color w:val="333333"/>
          <w:sz w:val="32"/>
          <w:szCs w:val="32"/>
        </w:rPr>
      </w:pPr>
    </w:p>
    <w:p>
      <w:pPr>
        <w:pStyle w:val="7"/>
        <w:widowControl/>
        <w:spacing w:before="76" w:beforeAutospacing="0" w:after="76" w:afterAutospacing="0" w:line="450" w:lineRule="atLeast"/>
        <w:ind w:firstLine="420"/>
        <w:rPr>
          <w:rFonts w:hint="eastAsia"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（二）关于“三公”经费支出说明</w:t>
      </w:r>
    </w:p>
    <w:p>
      <w:pPr>
        <w:ind w:firstLine="709"/>
        <w:rPr>
          <w:rFonts w:ascii="仿宋_GB2312" w:hAnsi="仿宋" w:eastAsia="仿宋_GB2312" w:cs="仿宋"/>
          <w:bCs/>
          <w:color w:val="000000"/>
          <w:sz w:val="32"/>
          <w:szCs w:val="32"/>
        </w:rPr>
      </w:pPr>
      <w:r>
        <w:rPr>
          <w:rFonts w:hint="eastAsia" w:ascii="仿宋_GB2312" w:hAnsi="宋体" w:eastAsia="仿宋_GB2312"/>
          <w:sz w:val="32"/>
          <w:szCs w:val="32"/>
        </w:rPr>
        <w:t>本部门本年度无</w:t>
      </w:r>
      <w:r>
        <w:rPr>
          <w:rFonts w:hint="eastAsia" w:ascii="仿宋_GB2312" w:hAnsi="宋体" w:eastAsia="仿宋_GB2312"/>
          <w:b/>
          <w:sz w:val="32"/>
          <w:szCs w:val="32"/>
        </w:rPr>
        <w:t>“</w:t>
      </w:r>
      <w:r>
        <w:rPr>
          <w:rFonts w:hint="eastAsia" w:ascii="仿宋_GB2312" w:hAnsi="宋体" w:eastAsia="仿宋_GB2312"/>
          <w:sz w:val="32"/>
          <w:szCs w:val="32"/>
        </w:rPr>
        <w:t>三公</w:t>
      </w:r>
      <w:r>
        <w:rPr>
          <w:rFonts w:hint="eastAsia" w:ascii="仿宋_GB2312" w:hAnsi="宋体" w:eastAsia="仿宋_GB2312"/>
          <w:b/>
          <w:sz w:val="32"/>
          <w:szCs w:val="32"/>
        </w:rPr>
        <w:t>”</w:t>
      </w:r>
      <w:r>
        <w:rPr>
          <w:rFonts w:hint="eastAsia" w:ascii="仿宋_GB2312" w:hAnsi="宋体" w:eastAsia="仿宋_GB2312"/>
          <w:sz w:val="32"/>
          <w:szCs w:val="32"/>
        </w:rPr>
        <w:t>经费支出。</w:t>
      </w:r>
    </w:p>
    <w:p>
      <w:pPr>
        <w:pStyle w:val="7"/>
        <w:widowControl/>
        <w:spacing w:before="76" w:beforeAutospacing="0" w:after="76" w:afterAutospacing="0" w:line="450" w:lineRule="atLeast"/>
        <w:ind w:firstLine="420"/>
        <w:rPr>
          <w:rFonts w:hint="eastAsia"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（三）关于机关运行经费支出说明</w:t>
      </w:r>
    </w:p>
    <w:p>
      <w:pPr>
        <w:shd w:val="clear" w:color="auto" w:fill="FFFFFF"/>
        <w:spacing w:line="360" w:lineRule="auto"/>
        <w:ind w:firstLine="560" w:firstLineChars="200"/>
        <w:rPr>
          <w:rFonts w:ascii="宋体" w:cs="仿宋"/>
          <w:bCs/>
          <w:color w:val="000000"/>
          <w:sz w:val="28"/>
          <w:szCs w:val="28"/>
        </w:rPr>
      </w:pPr>
      <w:r>
        <w:rPr>
          <w:rFonts w:hint="eastAsia" w:ascii="宋体" w:hAnsi="宋体" w:cs="仿宋"/>
          <w:bCs/>
          <w:color w:val="000000"/>
          <w:sz w:val="28"/>
          <w:szCs w:val="28"/>
        </w:rPr>
        <w:t>本部门机关运行经费本年支出</w:t>
      </w:r>
      <w:r>
        <w:rPr>
          <w:rFonts w:ascii="宋体" w:hAnsi="宋体" w:cs="仿宋"/>
          <w:bCs/>
          <w:color w:val="000000"/>
          <w:sz w:val="28"/>
          <w:szCs w:val="28"/>
        </w:rPr>
        <w:t>56.75</w:t>
      </w:r>
      <w:r>
        <w:rPr>
          <w:rFonts w:hint="eastAsia" w:ascii="宋体" w:hAnsi="宋体" w:cs="仿宋"/>
          <w:bCs/>
          <w:color w:val="000000"/>
          <w:sz w:val="28"/>
          <w:szCs w:val="28"/>
        </w:rPr>
        <w:t>万元，去年支出为</w:t>
      </w:r>
      <w:r>
        <w:rPr>
          <w:rFonts w:ascii="宋体" w:hAnsi="宋体" w:cs="仿宋"/>
          <w:bCs/>
          <w:color w:val="000000"/>
          <w:sz w:val="28"/>
          <w:szCs w:val="28"/>
        </w:rPr>
        <w:t>51.35</w:t>
      </w:r>
      <w:r>
        <w:rPr>
          <w:rFonts w:hint="eastAsia" w:ascii="宋体" w:hAnsi="宋体" w:cs="仿宋"/>
          <w:bCs/>
          <w:color w:val="000000"/>
          <w:sz w:val="28"/>
          <w:szCs w:val="28"/>
        </w:rPr>
        <w:t>万元，对比增加</w:t>
      </w:r>
      <w:r>
        <w:rPr>
          <w:rFonts w:ascii="宋体" w:hAnsi="宋体" w:cs="仿宋"/>
          <w:bCs/>
          <w:color w:val="000000"/>
          <w:sz w:val="28"/>
          <w:szCs w:val="28"/>
        </w:rPr>
        <w:t>5.40</w:t>
      </w:r>
      <w:r>
        <w:rPr>
          <w:rFonts w:hint="eastAsia" w:ascii="宋体" w:hAnsi="宋体" w:cs="仿宋"/>
          <w:bCs/>
          <w:color w:val="000000"/>
          <w:sz w:val="28"/>
          <w:szCs w:val="28"/>
        </w:rPr>
        <w:t>万元，增幅</w:t>
      </w:r>
      <w:r>
        <w:rPr>
          <w:rFonts w:ascii="宋体" w:hAnsi="宋体" w:cs="仿宋"/>
          <w:bCs/>
          <w:color w:val="000000"/>
          <w:sz w:val="28"/>
          <w:szCs w:val="28"/>
        </w:rPr>
        <w:t>10.51%</w:t>
      </w:r>
      <w:r>
        <w:rPr>
          <w:rFonts w:hint="eastAsia" w:ascii="宋体" w:hAnsi="宋体" w:cs="仿宋"/>
          <w:bCs/>
          <w:color w:val="000000"/>
          <w:sz w:val="28"/>
          <w:szCs w:val="28"/>
        </w:rPr>
        <w:t>，主要原因为印刷开支增加所致。</w:t>
      </w:r>
    </w:p>
    <w:p>
      <w:pPr>
        <w:pStyle w:val="7"/>
        <w:widowControl/>
        <w:spacing w:before="76" w:beforeAutospacing="0" w:after="76" w:afterAutospacing="0" w:line="450" w:lineRule="atLeast"/>
        <w:ind w:firstLine="420"/>
        <w:rPr>
          <w:rFonts w:hint="eastAsia"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（四）关于政府采购支出说明</w:t>
      </w:r>
    </w:p>
    <w:p>
      <w:pPr>
        <w:ind w:firstLine="560" w:firstLineChars="200"/>
        <w:rPr>
          <w:rFonts w:ascii="宋体" w:cs="仿宋"/>
          <w:sz w:val="28"/>
          <w:szCs w:val="28"/>
        </w:rPr>
      </w:pPr>
      <w:r>
        <w:rPr>
          <w:rFonts w:hint="eastAsia" w:ascii="宋体" w:hAnsi="宋体" w:cs="仿宋"/>
          <w:bCs/>
          <w:sz w:val="28"/>
          <w:szCs w:val="28"/>
        </w:rPr>
        <w:t>本部门本年度政府采购货物支出</w:t>
      </w:r>
      <w:r>
        <w:rPr>
          <w:rFonts w:ascii="宋体" w:hAnsi="宋体" w:cs="仿宋"/>
          <w:bCs/>
          <w:sz w:val="28"/>
          <w:szCs w:val="28"/>
        </w:rPr>
        <w:t>7.66</w:t>
      </w:r>
      <w:r>
        <w:rPr>
          <w:rFonts w:hint="eastAsia" w:ascii="宋体" w:hAnsi="宋体" w:cs="仿宋"/>
          <w:bCs/>
          <w:sz w:val="28"/>
          <w:szCs w:val="28"/>
        </w:rPr>
        <w:t>万元。</w:t>
      </w:r>
    </w:p>
    <w:p>
      <w:pPr>
        <w:pStyle w:val="7"/>
        <w:widowControl/>
        <w:spacing w:before="76" w:beforeAutospacing="0" w:after="76" w:afterAutospacing="0" w:line="450" w:lineRule="atLeast"/>
        <w:ind w:firstLine="420"/>
        <w:rPr>
          <w:rFonts w:hint="eastAsia"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（五）关于国有资产占用情况说明</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截至</w:t>
      </w:r>
      <w:r>
        <w:rPr>
          <w:rFonts w:ascii="宋体" w:hAnsi="宋体" w:cs="宋体"/>
          <w:kern w:val="0"/>
          <w:sz w:val="28"/>
          <w:szCs w:val="28"/>
          <w:lang w:val="zh-CN"/>
        </w:rPr>
        <w:t>2020</w:t>
      </w:r>
      <w:r>
        <w:rPr>
          <w:rFonts w:hint="eastAsia" w:ascii="宋体" w:hAnsi="宋体" w:cs="宋体"/>
          <w:kern w:val="0"/>
          <w:sz w:val="28"/>
          <w:szCs w:val="28"/>
          <w:lang w:val="zh-CN"/>
        </w:rPr>
        <w:t>年</w:t>
      </w:r>
      <w:r>
        <w:rPr>
          <w:rFonts w:ascii="宋体" w:hAnsi="宋体" w:cs="宋体"/>
          <w:kern w:val="0"/>
          <w:sz w:val="28"/>
          <w:szCs w:val="28"/>
          <w:lang w:val="zh-CN"/>
        </w:rPr>
        <w:t>12</w:t>
      </w:r>
      <w:r>
        <w:rPr>
          <w:rFonts w:hint="eastAsia" w:ascii="宋体" w:hAnsi="宋体" w:cs="宋体"/>
          <w:kern w:val="0"/>
          <w:sz w:val="28"/>
          <w:szCs w:val="28"/>
          <w:lang w:val="zh-CN"/>
        </w:rPr>
        <w:t>月</w:t>
      </w:r>
      <w:r>
        <w:rPr>
          <w:rFonts w:ascii="宋体" w:hAnsi="宋体" w:cs="宋体"/>
          <w:kern w:val="0"/>
          <w:sz w:val="28"/>
          <w:szCs w:val="28"/>
          <w:lang w:val="zh-CN"/>
        </w:rPr>
        <w:t>31</w:t>
      </w:r>
      <w:r>
        <w:rPr>
          <w:rFonts w:hint="eastAsia" w:ascii="宋体" w:hAnsi="宋体" w:cs="宋体"/>
          <w:kern w:val="0"/>
          <w:sz w:val="28"/>
          <w:szCs w:val="28"/>
          <w:lang w:val="zh-CN"/>
        </w:rPr>
        <w:t>日，本部门无公务用车。</w:t>
      </w:r>
    </w:p>
    <w:p>
      <w:pPr>
        <w:pStyle w:val="7"/>
        <w:widowControl/>
        <w:spacing w:before="76" w:beforeAutospacing="0" w:after="76" w:afterAutospacing="0" w:line="450" w:lineRule="atLeast"/>
        <w:ind w:firstLine="420"/>
        <w:rPr>
          <w:rFonts w:hint="eastAsia" w:ascii="宋体" w:hAnsi="宋体" w:cs="宋体"/>
          <w:b/>
          <w:bCs/>
          <w:sz w:val="28"/>
          <w:szCs w:val="28"/>
          <w:shd w:val="clear" w:color="auto" w:fill="FFFFFF"/>
          <w:lang w:val="zh-CN"/>
        </w:rPr>
      </w:pPr>
      <w:r>
        <w:rPr>
          <w:rFonts w:hint="eastAsia" w:ascii="宋体" w:hAnsi="宋体" w:cs="宋体"/>
          <w:b/>
          <w:bCs/>
          <w:sz w:val="28"/>
          <w:szCs w:val="28"/>
          <w:shd w:val="clear" w:color="auto" w:fill="FFFFFF"/>
          <w:lang w:val="zh-CN"/>
        </w:rPr>
        <w:t>（六）重点效绩评价结果等预算绩效情况说明</w:t>
      </w:r>
    </w:p>
    <w:p>
      <w:pPr>
        <w:shd w:val="clear" w:color="auto" w:fill="FFFFFF"/>
        <w:tabs>
          <w:tab w:val="left" w:pos="580"/>
        </w:tabs>
        <w:snapToGrid w:val="0"/>
        <w:spacing w:line="560" w:lineRule="atLeast"/>
        <w:ind w:firstLine="560" w:firstLineChars="200"/>
        <w:rPr>
          <w:rFonts w:ascii="宋体" w:cs="宋体"/>
          <w:color w:val="333333"/>
          <w:sz w:val="28"/>
          <w:szCs w:val="28"/>
        </w:rPr>
      </w:pPr>
      <w:r>
        <w:rPr>
          <w:rFonts w:ascii="宋体" w:cs="宋体"/>
          <w:color w:val="333333"/>
          <w:sz w:val="28"/>
          <w:szCs w:val="28"/>
        </w:rPr>
        <w:t>2020</w:t>
      </w:r>
      <w:r>
        <w:rPr>
          <w:rFonts w:hint="eastAsia" w:ascii="宋体" w:cs="宋体"/>
          <w:color w:val="333333"/>
          <w:sz w:val="28"/>
          <w:szCs w:val="28"/>
        </w:rPr>
        <w:t>年，我单位本年度没有重点项目，因此未展开绩效评价。</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407.03万</w:t>
      </w:r>
      <w:r>
        <w:rPr>
          <w:rFonts w:hint="eastAsia" w:ascii="宋体" w:hAnsi="宋体"/>
          <w:spacing w:val="2"/>
          <w:sz w:val="28"/>
          <w:szCs w:val="28"/>
        </w:rPr>
        <w:t>元,2020年全年总收入</w:t>
      </w:r>
      <w:r>
        <w:rPr>
          <w:rFonts w:hint="eastAsia" w:ascii="宋体" w:hAnsi="宋体"/>
          <w:spacing w:val="2"/>
          <w:sz w:val="28"/>
          <w:szCs w:val="28"/>
          <w:lang w:val="en-US" w:eastAsia="zh-CN"/>
        </w:rPr>
        <w:t>376.85万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30.18万</w:t>
      </w:r>
      <w:r>
        <w:rPr>
          <w:rFonts w:hint="eastAsia" w:ascii="宋体" w:hAnsi="宋体"/>
          <w:spacing w:val="2"/>
          <w:sz w:val="28"/>
          <w:szCs w:val="28"/>
        </w:rPr>
        <w:t>元，</w:t>
      </w:r>
      <w:r>
        <w:rPr>
          <w:rFonts w:hint="eastAsia" w:ascii="宋体" w:hAnsi="宋体"/>
          <w:spacing w:val="2"/>
          <w:sz w:val="28"/>
          <w:szCs w:val="28"/>
          <w:lang w:eastAsia="zh-CN"/>
        </w:rPr>
        <w:t>降低</w:t>
      </w:r>
      <w:r>
        <w:rPr>
          <w:rFonts w:hint="eastAsia" w:ascii="宋体" w:hAnsi="宋体"/>
          <w:spacing w:val="2"/>
          <w:sz w:val="28"/>
          <w:szCs w:val="28"/>
        </w:rPr>
        <w:t>幅度为</w:t>
      </w:r>
      <w:r>
        <w:rPr>
          <w:rFonts w:hint="eastAsia" w:ascii="宋体" w:hAnsi="宋体"/>
          <w:spacing w:val="2"/>
          <w:sz w:val="28"/>
          <w:szCs w:val="28"/>
          <w:lang w:val="en-US" w:eastAsia="zh-CN"/>
        </w:rPr>
        <w:t>7.41</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407.03万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376.85万</w:t>
      </w:r>
      <w:r>
        <w:rPr>
          <w:rFonts w:hint="eastAsia" w:ascii="宋体" w:hAnsi="宋体"/>
          <w:spacing w:val="2"/>
          <w:sz w:val="28"/>
          <w:szCs w:val="28"/>
        </w:rPr>
        <w:t>元，同比上年</w:t>
      </w:r>
      <w:r>
        <w:rPr>
          <w:rFonts w:hint="eastAsia" w:ascii="宋体" w:hAnsi="宋体"/>
          <w:spacing w:val="2"/>
          <w:sz w:val="28"/>
          <w:szCs w:val="28"/>
          <w:lang w:eastAsia="zh-CN"/>
        </w:rPr>
        <w:t>减少</w:t>
      </w:r>
      <w:r>
        <w:rPr>
          <w:rFonts w:hint="eastAsia" w:ascii="宋体" w:hAnsi="宋体"/>
          <w:spacing w:val="2"/>
          <w:sz w:val="28"/>
          <w:szCs w:val="28"/>
          <w:lang w:val="en-US" w:eastAsia="zh-CN"/>
        </w:rPr>
        <w:t>30.18万</w:t>
      </w:r>
      <w:r>
        <w:rPr>
          <w:rFonts w:hint="eastAsia" w:ascii="宋体" w:hAnsi="宋体"/>
          <w:spacing w:val="2"/>
          <w:sz w:val="28"/>
          <w:szCs w:val="28"/>
        </w:rPr>
        <w:t>元，</w:t>
      </w:r>
      <w:r>
        <w:rPr>
          <w:rFonts w:hint="eastAsia" w:ascii="宋体" w:hAnsi="宋体"/>
          <w:spacing w:val="2"/>
          <w:sz w:val="28"/>
          <w:szCs w:val="28"/>
          <w:lang w:eastAsia="zh-CN"/>
        </w:rPr>
        <w:t>降低</w:t>
      </w:r>
      <w:r>
        <w:rPr>
          <w:rFonts w:hint="eastAsia" w:ascii="宋体" w:hAnsi="宋体"/>
          <w:spacing w:val="2"/>
          <w:sz w:val="28"/>
          <w:szCs w:val="28"/>
        </w:rPr>
        <w:t>幅度为</w:t>
      </w:r>
      <w:r>
        <w:rPr>
          <w:rFonts w:hint="eastAsia" w:ascii="宋体" w:hAnsi="宋体"/>
          <w:spacing w:val="2"/>
          <w:sz w:val="28"/>
          <w:szCs w:val="28"/>
          <w:lang w:val="en-US" w:eastAsia="zh-CN"/>
        </w:rPr>
        <w:t>7.41</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autoSpaceDE w:val="0"/>
        <w:autoSpaceDN w:val="0"/>
        <w:adjustRightInd w:val="0"/>
        <w:ind w:firstLine="560" w:firstLineChars="200"/>
        <w:jc w:val="left"/>
        <w:rPr>
          <w:rFonts w:ascii="宋体" w:cs="宋体"/>
          <w:kern w:val="0"/>
          <w:sz w:val="28"/>
          <w:szCs w:val="28"/>
          <w:lang w:val="zh-CN"/>
        </w:rPr>
      </w:pPr>
    </w:p>
    <w:p>
      <w:pPr>
        <w:autoSpaceDE w:val="0"/>
        <w:autoSpaceDN w:val="0"/>
        <w:adjustRightInd w:val="0"/>
        <w:ind w:firstLine="560" w:firstLineChars="200"/>
        <w:jc w:val="left"/>
        <w:rPr>
          <w:rFonts w:ascii="宋体" w:cs="宋体"/>
          <w:kern w:val="0"/>
          <w:sz w:val="28"/>
          <w:szCs w:val="28"/>
          <w:lang w:val="zh-CN"/>
        </w:rPr>
      </w:pPr>
    </w:p>
    <w:p>
      <w:pPr>
        <w:autoSpaceDE w:val="0"/>
        <w:autoSpaceDN w:val="0"/>
        <w:adjustRightInd w:val="0"/>
        <w:ind w:firstLine="560" w:firstLineChars="200"/>
        <w:jc w:val="left"/>
        <w:rPr>
          <w:rFonts w:ascii="宋体" w:cs="宋体"/>
          <w:kern w:val="0"/>
          <w:sz w:val="28"/>
          <w:szCs w:val="28"/>
          <w:lang w:val="zh-CN"/>
        </w:rPr>
      </w:pPr>
      <w:bookmarkStart w:id="0" w:name="_GoBack"/>
      <w:bookmarkEnd w:id="0"/>
    </w:p>
    <w:p>
      <w:pPr>
        <w:autoSpaceDE w:val="0"/>
        <w:autoSpaceDN w:val="0"/>
        <w:adjustRightInd w:val="0"/>
        <w:ind w:firstLine="560" w:firstLineChars="200"/>
        <w:jc w:val="left"/>
        <w:rPr>
          <w:rFonts w:ascii="宋体" w:cs="宋体"/>
          <w:kern w:val="0"/>
          <w:sz w:val="28"/>
          <w:szCs w:val="28"/>
          <w:lang w:val="zh-CN"/>
        </w:rPr>
      </w:pPr>
    </w:p>
    <w:p>
      <w:pPr>
        <w:autoSpaceDE w:val="0"/>
        <w:autoSpaceDN w:val="0"/>
        <w:adjustRightInd w:val="0"/>
        <w:ind w:firstLine="560" w:firstLineChars="200"/>
        <w:jc w:val="left"/>
        <w:rPr>
          <w:rFonts w:ascii="宋体" w:cs="宋体"/>
          <w:kern w:val="0"/>
          <w:sz w:val="28"/>
          <w:szCs w:val="28"/>
          <w:lang w:val="zh-CN"/>
        </w:rPr>
      </w:pPr>
    </w:p>
    <w:p>
      <w:pPr>
        <w:autoSpaceDE w:val="0"/>
        <w:autoSpaceDN w:val="0"/>
        <w:adjustRightInd w:val="0"/>
        <w:ind w:firstLine="560" w:firstLineChars="200"/>
        <w:jc w:val="left"/>
        <w:rPr>
          <w:rFonts w:ascii="宋体" w:cs="宋体"/>
          <w:kern w:val="0"/>
          <w:sz w:val="28"/>
          <w:szCs w:val="28"/>
          <w:lang w:val="zh-CN"/>
        </w:rPr>
      </w:pPr>
    </w:p>
    <w:p>
      <w:pPr>
        <w:pStyle w:val="7"/>
        <w:widowControl/>
        <w:spacing w:before="76" w:beforeAutospacing="0" w:after="76" w:afterAutospacing="0" w:line="450" w:lineRule="atLeast"/>
        <w:rPr>
          <w:rStyle w:val="10"/>
          <w:rFonts w:hint="eastAsia" w:ascii="微软雅黑" w:hAnsi="微软雅黑" w:eastAsia="微软雅黑" w:cs="微软雅黑"/>
          <w:color w:val="333333"/>
          <w:sz w:val="24"/>
          <w:szCs w:val="24"/>
          <w:shd w:val="clear" w:color="auto" w:fill="FFFFFF"/>
          <w:lang w:val="zh-CN"/>
        </w:rPr>
      </w:pPr>
      <w:r>
        <w:rPr>
          <w:rStyle w:val="10"/>
          <w:rFonts w:hint="eastAsia" w:ascii="微软雅黑" w:hAnsi="微软雅黑" w:eastAsia="微软雅黑" w:cs="微软雅黑"/>
          <w:color w:val="333333"/>
          <w:sz w:val="24"/>
          <w:szCs w:val="24"/>
          <w:shd w:val="clear" w:color="auto" w:fill="FFFFFF"/>
          <w:lang w:val="zh-CN"/>
        </w:rPr>
        <w:t>第四部分 名词解释</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一、财政补助收入：指县级财政当年拨付的资金。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二、其他收入：指除“财政拨款收入”、“上级补助收入”、“事业收入”、“经营收入”等以外的收入。主要是存款利息收入等。</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三、年初结转和结余：指以前年度尚未完成、结转到本年按有关规定继续使用的资金。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四、一般公共服务（类）行政运行（项）：指县行政单位及参照公务员管理事业单位用于保障机构正常运行、开展日常工作的基本支出。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五、一般公共服务（类）一般行政管理事务（项）：指县行政单位及参照公务员管理事业单位用于开展立法调研、财政信息宣传、非税收入征管等未单独设置项级科目的专门性财政管理工作的项目支出。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六、一般公共服务（类）机关服务（项）：指黄石港区政协服务中心为机关提供办公楼日常维修、维护等后勤保障服务的支出。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七、一般公共服务（类）其他一般公共服务支出（款）其他一般公共服务支出（项）：指黄石港区政协用于其他一般公共服务方面的支出。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八、教育（类）普通教育（款）高等教育（项）：指黄石港区政协支持地方高校的重点发展和特色办学，组织专家对省属院校申报的建设规划和项目预算进行评审等相关工作的支出。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九、社会保障和就业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行政事业单位离退休（款）归口管理的行政单位离退休（项）：指黄石港区政协用于离退休人员的支出、退休人员支出，以及提供管理服务工作的离退休干部处的支出。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十、社会保障和就业</w:t>
      </w:r>
      <w:r>
        <w:rPr>
          <w:rFonts w:ascii="宋体" w:hAnsi="宋体" w:cs="宋体"/>
          <w:kern w:val="0"/>
          <w:sz w:val="28"/>
          <w:szCs w:val="28"/>
          <w:lang w:val="zh-CN"/>
        </w:rPr>
        <w:t>(</w:t>
      </w:r>
      <w:r>
        <w:rPr>
          <w:rFonts w:hint="eastAsia" w:ascii="宋体" w:hAnsi="宋体" w:cs="宋体"/>
          <w:kern w:val="0"/>
          <w:sz w:val="28"/>
          <w:szCs w:val="28"/>
          <w:lang w:val="zh-CN"/>
        </w:rPr>
        <w:t>类</w:t>
      </w:r>
      <w:r>
        <w:rPr>
          <w:rFonts w:ascii="宋体" w:hAnsi="宋体" w:cs="宋体"/>
          <w:kern w:val="0"/>
          <w:sz w:val="28"/>
          <w:szCs w:val="28"/>
          <w:lang w:val="zh-CN"/>
        </w:rPr>
        <w:t>)</w:t>
      </w:r>
      <w:r>
        <w:rPr>
          <w:rFonts w:hint="eastAsia" w:ascii="宋体" w:hAnsi="宋体" w:cs="宋体"/>
          <w:kern w:val="0"/>
          <w:sz w:val="28"/>
          <w:szCs w:val="28"/>
          <w:lang w:val="zh-CN"/>
        </w:rPr>
        <w:t>行政事业单位离退休（款）其他行政事业单位离退休支出（项）：指黄石港区政协用于离退休方面的其他支出。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十一、医疗卫生与计划生育（类）医疗保障（款）行政单位医疗（项）：指黄石港区政协用于机关干部职工及离退休人员医疗方面的支出。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十二、住房保障（类）住房改革支出（款）购房补贴（项）：指按照相关住房分配货币化改革的政策规定和标准，对无房和住房未达标职工发放的住房分配货币化补贴资金。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十三、年末结转和结余：指本年度或以前年度预算安排、因客观条件发生变化无法按原计划实施，需要延迟到以后年度按有关规定继续使用的资金。</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十四、基本支出：指为保障机构正常运转、完成日常工作任务而发生的人员支出（包括基本工资、津贴补贴等）和公用支出（包括办公费、水电费、邮电费、交通费、差旅费等）。</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十五、项目支出：指在基本支出之外为完成特定行政任务和事业发展目标所发生的支出。</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十六、“三公”经费：是指用财政拨款安排的因公出国（境）费、公务用车购置及运行维护费、公务接待费。</w:t>
      </w:r>
    </w:p>
    <w:p>
      <w:pPr>
        <w:autoSpaceDE w:val="0"/>
        <w:autoSpaceDN w:val="0"/>
        <w:adjustRightInd w:val="0"/>
        <w:ind w:firstLine="560" w:firstLineChars="200"/>
        <w:jc w:val="left"/>
        <w:rPr>
          <w:rFonts w:ascii="宋体" w:cs="宋体"/>
          <w:kern w:val="0"/>
          <w:sz w:val="28"/>
          <w:szCs w:val="28"/>
          <w:lang w:val="zh-CN"/>
        </w:rPr>
      </w:pPr>
    </w:p>
    <w:sectPr>
      <w:head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1E"/>
    <w:rsid w:val="00067A3A"/>
    <w:rsid w:val="00083789"/>
    <w:rsid w:val="00095B33"/>
    <w:rsid w:val="000B55E2"/>
    <w:rsid w:val="00135E1A"/>
    <w:rsid w:val="00170DAF"/>
    <w:rsid w:val="001F52BF"/>
    <w:rsid w:val="002629B6"/>
    <w:rsid w:val="002A56BE"/>
    <w:rsid w:val="00315998"/>
    <w:rsid w:val="00320465"/>
    <w:rsid w:val="00327E1C"/>
    <w:rsid w:val="00336DF9"/>
    <w:rsid w:val="00337BB3"/>
    <w:rsid w:val="00356C09"/>
    <w:rsid w:val="004505D1"/>
    <w:rsid w:val="00485E66"/>
    <w:rsid w:val="00486B59"/>
    <w:rsid w:val="004D59FE"/>
    <w:rsid w:val="004E206E"/>
    <w:rsid w:val="00514AE2"/>
    <w:rsid w:val="00587F93"/>
    <w:rsid w:val="005B1270"/>
    <w:rsid w:val="005F081C"/>
    <w:rsid w:val="00642A52"/>
    <w:rsid w:val="00660DB2"/>
    <w:rsid w:val="006A2614"/>
    <w:rsid w:val="006B5497"/>
    <w:rsid w:val="006D5FE1"/>
    <w:rsid w:val="006E67AB"/>
    <w:rsid w:val="00702FA4"/>
    <w:rsid w:val="007175D0"/>
    <w:rsid w:val="00794080"/>
    <w:rsid w:val="00797E35"/>
    <w:rsid w:val="007B6542"/>
    <w:rsid w:val="00851F58"/>
    <w:rsid w:val="0085273F"/>
    <w:rsid w:val="008542E4"/>
    <w:rsid w:val="008D5320"/>
    <w:rsid w:val="00913C84"/>
    <w:rsid w:val="00923832"/>
    <w:rsid w:val="00945511"/>
    <w:rsid w:val="009E78E4"/>
    <w:rsid w:val="009F211A"/>
    <w:rsid w:val="009F431E"/>
    <w:rsid w:val="00A71CF2"/>
    <w:rsid w:val="00A77E90"/>
    <w:rsid w:val="00A87776"/>
    <w:rsid w:val="00B21156"/>
    <w:rsid w:val="00B40057"/>
    <w:rsid w:val="00B430E7"/>
    <w:rsid w:val="00C545B2"/>
    <w:rsid w:val="00CF5142"/>
    <w:rsid w:val="00DA5601"/>
    <w:rsid w:val="00DF26CD"/>
    <w:rsid w:val="00E234DD"/>
    <w:rsid w:val="00E30581"/>
    <w:rsid w:val="00E9358C"/>
    <w:rsid w:val="00F04F12"/>
    <w:rsid w:val="00FC04D5"/>
    <w:rsid w:val="0664587B"/>
    <w:rsid w:val="09FF39B4"/>
    <w:rsid w:val="11411182"/>
    <w:rsid w:val="219E41B4"/>
    <w:rsid w:val="255E033E"/>
    <w:rsid w:val="27390172"/>
    <w:rsid w:val="2CCE2491"/>
    <w:rsid w:val="2F081AB6"/>
    <w:rsid w:val="325D23D5"/>
    <w:rsid w:val="33DA2CDE"/>
    <w:rsid w:val="38F961A5"/>
    <w:rsid w:val="457D21A1"/>
    <w:rsid w:val="458E538D"/>
    <w:rsid w:val="621B3808"/>
    <w:rsid w:val="67E4782B"/>
    <w:rsid w:val="6DA8363C"/>
    <w:rsid w:val="746766E2"/>
    <w:rsid w:val="74EA7B66"/>
    <w:rsid w:val="76597733"/>
    <w:rsid w:val="781864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uiPriority w:val="99"/>
    <w:rPr>
      <w:rFonts w:ascii="宋体" w:hAnsi="Courier New" w:cs="Courier New"/>
      <w:szCs w:val="21"/>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customStyle="1" w:styleId="11">
    <w:name w:val="Heading 5 Char"/>
    <w:basedOn w:val="9"/>
    <w:link w:val="2"/>
    <w:semiHidden/>
    <w:qFormat/>
    <w:locked/>
    <w:uiPriority w:val="99"/>
    <w:rPr>
      <w:rFonts w:ascii="Calibri" w:hAnsi="Calibri" w:cs="Times New Roman"/>
      <w:b/>
      <w:bCs/>
      <w:sz w:val="28"/>
      <w:szCs w:val="28"/>
    </w:rPr>
  </w:style>
  <w:style w:type="character" w:customStyle="1" w:styleId="12">
    <w:name w:val="Body Text Indent Char"/>
    <w:basedOn w:val="9"/>
    <w:link w:val="3"/>
    <w:semiHidden/>
    <w:qFormat/>
    <w:locked/>
    <w:uiPriority w:val="99"/>
    <w:rPr>
      <w:rFonts w:ascii="Calibri" w:hAnsi="Calibri" w:cs="Times New Roman"/>
      <w:sz w:val="24"/>
      <w:szCs w:val="24"/>
    </w:rPr>
  </w:style>
  <w:style w:type="character" w:customStyle="1" w:styleId="13">
    <w:name w:val="Plain Text Char"/>
    <w:basedOn w:val="9"/>
    <w:link w:val="4"/>
    <w:semiHidden/>
    <w:qFormat/>
    <w:locked/>
    <w:uiPriority w:val="99"/>
    <w:rPr>
      <w:rFonts w:ascii="宋体" w:hAnsi="Courier New" w:cs="Courier New"/>
      <w:sz w:val="21"/>
      <w:szCs w:val="21"/>
    </w:rPr>
  </w:style>
  <w:style w:type="character" w:customStyle="1" w:styleId="14">
    <w:name w:val="Footer Char"/>
    <w:basedOn w:val="9"/>
    <w:link w:val="5"/>
    <w:semiHidden/>
    <w:qFormat/>
    <w:locked/>
    <w:uiPriority w:val="99"/>
    <w:rPr>
      <w:rFonts w:ascii="Calibri" w:hAnsi="Calibri" w:cs="Times New Roman"/>
      <w:sz w:val="18"/>
      <w:szCs w:val="18"/>
    </w:rPr>
  </w:style>
  <w:style w:type="character" w:customStyle="1" w:styleId="15">
    <w:name w:val="Header Char"/>
    <w:basedOn w:val="9"/>
    <w:link w:val="6"/>
    <w:semiHidden/>
    <w:qFormat/>
    <w:locked/>
    <w:uiPriority w:val="99"/>
    <w:rPr>
      <w:rFonts w:ascii="Calibri" w:hAnsi="Calibri" w:cs="Times New Roman"/>
      <w:sz w:val="18"/>
      <w:szCs w:val="18"/>
    </w:rPr>
  </w:style>
  <w:style w:type="paragraph" w:customStyle="1" w:styleId="16">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7">
    <w:name w:val="ca-2"/>
    <w:basedOn w:val="9"/>
    <w:qFormat/>
    <w:uiPriority w:val="99"/>
    <w:rPr>
      <w:rFonts w:cs="Times New Roman"/>
    </w:rPr>
  </w:style>
  <w:style w:type="paragraph" w:customStyle="1" w:styleId="18">
    <w:name w:val="Normal (Web)1"/>
    <w:basedOn w:val="1"/>
    <w:uiPriority w:val="99"/>
    <w:pPr>
      <w:widowControl/>
      <w:spacing w:before="100" w:beforeAutospacing="1" w:after="100" w:afterAutospacing="1"/>
      <w:jc w:val="left"/>
    </w:pPr>
    <w:rPr>
      <w:rFonts w:ascii="宋体" w:hAnsi="宋体" w:cs="宋体"/>
      <w:kern w:val="0"/>
      <w:sz w:val="24"/>
    </w:rPr>
  </w:style>
  <w:style w:type="character" w:customStyle="1" w:styleId="19">
    <w:name w:val="ca-3"/>
    <w:basedOn w:val="9"/>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353</Words>
  <Characters>2017</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2021-09-15T01:50:14Z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