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黄石港区政协</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黄石港区政协</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宋体" w:cs="宋体"/>
          <w:kern w:val="0"/>
          <w:sz w:val="28"/>
          <w:szCs w:val="28"/>
          <w:lang w:val="zh-CN"/>
        </w:rPr>
      </w:pPr>
      <w:r>
        <w:rPr>
          <w:rStyle w:val="12"/>
          <w:rFonts w:hint="eastAsia" w:asciiTheme="minorEastAsia" w:hAnsiTheme="minorEastAsia" w:eastAsiaTheme="minorEastAsia" w:cstheme="minorEastAsia"/>
          <w:sz w:val="28"/>
          <w:szCs w:val="28"/>
        </w:rPr>
        <w:t>进</w:t>
      </w:r>
      <w:r>
        <w:rPr>
          <w:rFonts w:hint="eastAsia" w:ascii="宋体" w:hAnsi="宋体" w:cs="宋体"/>
          <w:kern w:val="0"/>
          <w:sz w:val="28"/>
          <w:szCs w:val="28"/>
          <w:lang w:val="zh-CN"/>
        </w:rPr>
        <w:t>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numPr>
          <w:ilvl w:val="0"/>
          <w:numId w:val="2"/>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snapToGrid w:val="0"/>
        <w:spacing w:line="560" w:lineRule="atLeast"/>
        <w:ind w:firstLine="560" w:firstLineChars="200"/>
        <w:jc w:val="left"/>
        <w:rPr>
          <w:rFonts w:asciiTheme="minorEastAsia" w:hAnsiTheme="minorEastAsia" w:cstheme="minorEastAsia"/>
          <w:kern w:val="0"/>
          <w:sz w:val="28"/>
          <w:szCs w:val="28"/>
        </w:rPr>
      </w:pPr>
      <w:r>
        <w:rPr>
          <w:rFonts w:hint="eastAsia" w:ascii="宋体" w:hAnsi="宋体" w:cs="Tahoma"/>
          <w:color w:val="333333"/>
          <w:kern w:val="0"/>
          <w:sz w:val="28"/>
          <w:szCs w:val="28"/>
          <w:lang w:eastAsia="zh-CN"/>
        </w:rPr>
        <w:t>本部门机构设置有：</w:t>
      </w:r>
      <w:r>
        <w:rPr>
          <w:rFonts w:hint="eastAsia" w:ascii="宋体" w:hAnsi="宋体" w:cs="Tahoma"/>
          <w:color w:val="333333"/>
          <w:kern w:val="0"/>
          <w:sz w:val="28"/>
          <w:szCs w:val="28"/>
        </w:rPr>
        <w:t>设有专委会办公室、政协办公室</w:t>
      </w:r>
      <w:r>
        <w:rPr>
          <w:rFonts w:hint="eastAsia" w:asciiTheme="minorEastAsia" w:hAnsiTheme="minorEastAsia" w:eastAsiaTheme="minorEastAsia" w:cstheme="minorEastAsia"/>
          <w:kern w:val="0"/>
          <w:sz w:val="28"/>
          <w:szCs w:val="28"/>
        </w:rPr>
        <w:t>。</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黄石港区政协</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3260931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035" w:type="dxa"/>
            <w:vAlign w:val="center"/>
          </w:tcPr>
          <w:p>
            <w:pPr>
              <w:widowControl/>
              <w:jc w:val="center"/>
              <w:rPr>
                <w:rFonts w:hint="default"/>
                <w:lang w:val="en-US"/>
              </w:rPr>
            </w:pPr>
            <w:r>
              <w:rPr>
                <w:rFonts w:hint="eastAsia" w:ascii="宋体" w:hAnsi="宋体" w:cs="宋体"/>
                <w:kern w:val="0"/>
                <w:sz w:val="24"/>
                <w:lang w:val="en-US" w:eastAsia="zh-CN"/>
              </w:rPr>
              <w:t>3015931</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035" w:type="dxa"/>
            <w:vAlign w:val="center"/>
          </w:tcPr>
          <w:p>
            <w:pPr>
              <w:widowControl/>
              <w:jc w:val="center"/>
            </w:pPr>
            <w:r>
              <w:rPr>
                <w:rFonts w:hint="eastAsia" w:ascii="宋体" w:hAnsi="宋体" w:cs="宋体"/>
                <w:kern w:val="0"/>
                <w:sz w:val="24"/>
                <w:lang w:val="en-US" w:eastAsia="zh-CN"/>
              </w:rPr>
              <w:t>3015931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20102</w:t>
            </w:r>
          </w:p>
        </w:tc>
        <w:tc>
          <w:tcPr>
            <w:tcW w:w="1710" w:type="dxa"/>
            <w:vAlign w:val="center"/>
          </w:tcPr>
          <w:p>
            <w:pPr>
              <w:widowControl/>
              <w:ind w:firstLine="360" w:firstLineChars="150"/>
              <w:jc w:val="left"/>
            </w:pPr>
            <w:r>
              <w:rPr>
                <w:rFonts w:hint="eastAsia" w:ascii="宋体" w:hAnsi="宋体" w:cs="宋体"/>
                <w:kern w:val="0"/>
                <w:sz w:val="24"/>
              </w:rPr>
              <w:t>政协事务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035" w:type="dxa"/>
            <w:vAlign w:val="center"/>
          </w:tcPr>
          <w:p>
            <w:pPr>
              <w:widowControl/>
              <w:jc w:val="center"/>
            </w:pPr>
            <w:r>
              <w:rPr>
                <w:rFonts w:hint="eastAsia" w:ascii="宋体" w:hAnsi="宋体" w:cs="宋体"/>
                <w:kern w:val="0"/>
                <w:sz w:val="24"/>
                <w:lang w:val="en-US" w:eastAsia="zh-CN"/>
              </w:rPr>
              <w:t>3015931</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 w:eastAsia="zh-CN"/>
              </w:rPr>
              <w:t xml:space="preserve">3260931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3015931</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3015931</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3015931</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20102</w:t>
            </w:r>
          </w:p>
        </w:tc>
        <w:tc>
          <w:tcPr>
            <w:tcW w:w="2100" w:type="dxa"/>
            <w:vAlign w:val="center"/>
          </w:tcPr>
          <w:p>
            <w:pPr>
              <w:widowControl/>
              <w:ind w:firstLine="360" w:firstLineChars="150"/>
              <w:jc w:val="left"/>
            </w:pPr>
            <w:r>
              <w:rPr>
                <w:rFonts w:hint="eastAsia" w:ascii="宋体" w:hAnsi="宋体" w:cs="宋体"/>
                <w:kern w:val="0"/>
                <w:sz w:val="24"/>
              </w:rPr>
              <w:t>政协事务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3260931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3015931</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 w:eastAsia="zh-CN"/>
              </w:rPr>
              <w:t xml:space="preserve">3260931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3015931</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3"/>
        <w:gridCol w:w="2579"/>
        <w:gridCol w:w="1396"/>
        <w:gridCol w:w="1715"/>
        <w:gridCol w:w="2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黄石港区政协</w:t>
            </w:r>
            <w:r>
              <w:rPr>
                <w:rStyle w:val="15"/>
                <w:rFonts w:hint="eastAsia"/>
                <w:lang w:val="en-US" w:eastAsia="zh-CN" w:bidi="ar"/>
              </w:rPr>
              <w:t>2022</w:t>
            </w:r>
            <w:r>
              <w:rPr>
                <w:rStyle w:val="15"/>
                <w:lang w:val="en-US" w:eastAsia="zh-CN" w:bidi="ar"/>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bottom"/>
          </w:tcPr>
          <w:p>
            <w:pPr>
              <w:keepNext w:val="0"/>
              <w:keepLines w:val="0"/>
              <w:widowControl/>
              <w:suppressLineNumbers w:val="0"/>
              <w:jc w:val="left"/>
              <w:textAlignment w:val="bottom"/>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312"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396"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4292"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33"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579"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396" w:type="dxa"/>
            <w:vMerge w:val="continue"/>
            <w:shd w:val="clear" w:color="auto" w:fill="D7D7D7" w:themeFill="background1" w:themeFillShade="D8"/>
            <w:vAlign w:val="bottom"/>
          </w:tcPr>
          <w:p>
            <w:pPr>
              <w:jc w:val="center"/>
            </w:pPr>
          </w:p>
        </w:tc>
        <w:tc>
          <w:tcPr>
            <w:tcW w:w="1715" w:type="dxa"/>
            <w:shd w:val="clear" w:color="auto" w:fill="D7D7D7" w:themeFill="background1" w:themeFillShade="D8"/>
            <w:vAlign w:val="bottom"/>
          </w:tcPr>
          <w:p>
            <w:pPr>
              <w:keepNext w:val="0"/>
              <w:keepLines w:val="0"/>
              <w:widowControl/>
              <w:suppressLineNumbers w:val="0"/>
              <w:jc w:val="center"/>
              <w:textAlignment w:val="bottom"/>
              <w:rPr>
                <w:rFonts w:ascii="宋体"/>
                <w:sz w:val="24"/>
              </w:rPr>
            </w:pPr>
            <w:r>
              <w:rPr>
                <w:rFonts w:hint="eastAsia" w:ascii="宋体" w:hAnsi="宋体" w:eastAsia="宋体" w:cs="宋体"/>
                <w:i w:val="0"/>
                <w:color w:val="000000"/>
                <w:kern w:val="0"/>
                <w:sz w:val="24"/>
                <w:szCs w:val="24"/>
                <w:u w:val="none"/>
                <w:lang w:val="en-US" w:eastAsia="zh-CN" w:bidi="ar"/>
              </w:rPr>
              <w:t>人员经费</w:t>
            </w:r>
          </w:p>
        </w:tc>
        <w:tc>
          <w:tcPr>
            <w:tcW w:w="2577"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33" w:type="dxa"/>
            <w:shd w:val="clear" w:color="auto" w:fill="D7D7D7" w:themeFill="background1" w:themeFillShade="D8"/>
            <w:vAlign w:val="bottom"/>
          </w:tcPr>
          <w:p>
            <w:pPr>
              <w:jc w:val="center"/>
              <w:rPr>
                <w:rFonts w:ascii="宋体" w:cs="宋体"/>
                <w:kern w:val="0"/>
                <w:sz w:val="24"/>
              </w:rPr>
            </w:pPr>
          </w:p>
        </w:tc>
        <w:tc>
          <w:tcPr>
            <w:tcW w:w="2579"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396" w:type="dxa"/>
            <w:shd w:val="clear" w:color="auto" w:fill="D7D7D7" w:themeFill="background1" w:themeFillShade="D8"/>
            <w:vAlign w:val="bottom"/>
          </w:tcPr>
          <w:p>
            <w:pPr>
              <w:jc w:val="center"/>
              <w:rPr>
                <w:rFonts w:hint="eastAsia" w:eastAsia="宋体"/>
                <w:lang w:val="en-US" w:eastAsia="zh-CN"/>
              </w:rPr>
            </w:pPr>
            <w:r>
              <w:rPr>
                <w:rFonts w:hint="eastAsia" w:ascii="宋体" w:hAnsi="宋体" w:cs="宋体"/>
                <w:b/>
                <w:i w:val="0"/>
                <w:color w:val="000000"/>
                <w:kern w:val="0"/>
                <w:sz w:val="24"/>
                <w:szCs w:val="24"/>
                <w:u w:val="none"/>
                <w:lang w:val="en-US" w:eastAsia="zh-CN" w:bidi="ar"/>
              </w:rPr>
              <w:t xml:space="preserve">3260931 </w:t>
            </w:r>
          </w:p>
        </w:tc>
        <w:tc>
          <w:tcPr>
            <w:tcW w:w="1715"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2618544</w:t>
            </w:r>
          </w:p>
        </w:tc>
        <w:tc>
          <w:tcPr>
            <w:tcW w:w="2577"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248396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2544907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2544907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615588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615588 </w:t>
            </w:r>
          </w:p>
        </w:tc>
        <w:tc>
          <w:tcPr>
            <w:tcW w:w="2577" w:type="dxa"/>
            <w:vAlign w:val="bottom"/>
          </w:tcPr>
          <w:p>
            <w:pPr>
              <w:jc w:val="both"/>
              <w:rPr>
                <w:rFonts w:hint="default"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1336700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1336700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48337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48337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396" w:type="dxa"/>
            <w:vAlign w:val="bottom"/>
          </w:tcPr>
          <w:p>
            <w:pPr>
              <w:jc w:val="center"/>
            </w:pPr>
          </w:p>
        </w:tc>
        <w:tc>
          <w:tcPr>
            <w:tcW w:w="1715" w:type="dxa"/>
            <w:vAlign w:val="bottom"/>
          </w:tcPr>
          <w:p>
            <w:pPr>
              <w:jc w:val="center"/>
              <w:rPr>
                <w:rFonts w:ascii="Calibri" w:hAnsi="Calibri" w:eastAsia="宋体" w:cs="Times New Roman"/>
                <w:kern w:val="2"/>
                <w:sz w:val="21"/>
                <w:szCs w:val="24"/>
                <w:lang w:val="en-US" w:eastAsia="zh-CN" w:bidi="ar-SA"/>
              </w:rPr>
            </w:pP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279982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279982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396" w:type="dxa"/>
            <w:vAlign w:val="bottom"/>
          </w:tcPr>
          <w:p>
            <w:pPr>
              <w:jc w:val="center"/>
            </w:pPr>
          </w:p>
        </w:tc>
        <w:tc>
          <w:tcPr>
            <w:tcW w:w="1715" w:type="dxa"/>
            <w:vAlign w:val="bottom"/>
          </w:tcPr>
          <w:p>
            <w:pPr>
              <w:jc w:val="center"/>
              <w:rPr>
                <w:rFonts w:ascii="Calibri" w:hAnsi="Calibri" w:eastAsia="宋体" w:cs="Times New Roman"/>
                <w:kern w:val="2"/>
                <w:sz w:val="21"/>
                <w:szCs w:val="24"/>
                <w:lang w:val="en-US" w:eastAsia="zh-CN" w:bidi="ar-SA"/>
              </w:rPr>
            </w:pP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579" w:type="dxa"/>
            <w:vAlign w:val="bottom"/>
          </w:tcPr>
          <w:p>
            <w:pPr>
              <w:keepNext w:val="0"/>
              <w:keepLines w:val="0"/>
              <w:widowControl/>
              <w:suppressLineNumbers w:val="0"/>
              <w:ind w:firstLine="240" w:firstLineChars="100"/>
              <w:jc w:val="both"/>
              <w:textAlignment w:val="bottom"/>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152377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152377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396" w:type="dxa"/>
            <w:vAlign w:val="bottom"/>
          </w:tcPr>
          <w:p>
            <w:pPr>
              <w:jc w:val="center"/>
            </w:pPr>
          </w:p>
        </w:tc>
        <w:tc>
          <w:tcPr>
            <w:tcW w:w="1715" w:type="dxa"/>
            <w:vAlign w:val="bottom"/>
          </w:tcPr>
          <w:p>
            <w:pPr>
              <w:jc w:val="center"/>
              <w:rPr>
                <w:rFonts w:ascii="Calibri" w:hAnsi="Calibri" w:eastAsia="宋体" w:cs="Times New Roman"/>
                <w:kern w:val="2"/>
                <w:sz w:val="21"/>
                <w:szCs w:val="24"/>
                <w:lang w:val="en-US" w:eastAsia="zh-CN" w:bidi="ar-SA"/>
              </w:rPr>
            </w:pP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139991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139991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111923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111923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248396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248396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c>
          <w:tcPr>
            <w:tcW w:w="1715" w:type="dxa"/>
            <w:vAlign w:val="bottom"/>
          </w:tcPr>
          <w:p>
            <w:pPr>
              <w:jc w:val="center"/>
              <w:rPr>
                <w:rFonts w:hint="default" w:cs="宋体" w:asciiTheme="minorEastAsia" w:hAnsiTheme="minorEastAsia" w:eastAsiaTheme="minorEastAsia"/>
                <w:b/>
                <w:bCs/>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c>
          <w:tcPr>
            <w:tcW w:w="1715" w:type="dxa"/>
            <w:vAlign w:val="bottom"/>
          </w:tcPr>
          <w:p>
            <w:pPr>
              <w:jc w:val="center"/>
              <w:rPr>
                <w:rFonts w:cs="宋体" w:asciiTheme="minorEastAsia" w:hAnsiTheme="minorEastAsia" w:eastAsiaTheme="minorEastAsia"/>
                <w:color w:val="000000"/>
                <w:sz w:val="24"/>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396" w:type="dxa"/>
            <w:vAlign w:val="bottom"/>
          </w:tcPr>
          <w:p>
            <w:pPr>
              <w:keepNext w:val="0"/>
              <w:keepLines w:val="0"/>
              <w:widowControl/>
              <w:suppressLineNumbers w:val="0"/>
              <w:jc w:val="center"/>
              <w:textAlignment w:val="bottom"/>
            </w:pP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17499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17499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44500</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r>
              <w:rPr>
                <w:rFonts w:hint="eastAsia" w:ascii="宋体" w:hAnsi="宋体" w:eastAsia="宋体" w:cs="宋体"/>
                <w:i w:val="0"/>
                <w:color w:val="000000"/>
                <w:kern w:val="0"/>
                <w:sz w:val="24"/>
                <w:szCs w:val="24"/>
                <w:u w:val="none"/>
                <w:lang w:val="en-US" w:eastAsia="zh-CN" w:bidi="ar"/>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40013 </w:t>
            </w:r>
          </w:p>
        </w:tc>
        <w:tc>
          <w:tcPr>
            <w:tcW w:w="1715" w:type="dxa"/>
            <w:vAlign w:val="bottom"/>
          </w:tcPr>
          <w:p>
            <w:pPr>
              <w:jc w:val="center"/>
              <w:rPr>
                <w:rFonts w:cs="宋体" w:asciiTheme="minorEastAsia" w:hAnsiTheme="minorEastAsia" w:eastAsiaTheme="minorEastAsia"/>
                <w:color w:val="000000"/>
                <w:sz w:val="24"/>
              </w:rPr>
            </w:pPr>
          </w:p>
        </w:tc>
        <w:tc>
          <w:tcPr>
            <w:tcW w:w="25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40013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29165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29165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396" w:type="dxa"/>
            <w:vAlign w:val="bottom"/>
          </w:tcPr>
          <w:p>
            <w:pPr>
              <w:jc w:val="center"/>
            </w:pP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jc w:val="center"/>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396" w:type="dxa"/>
            <w:vAlign w:val="bottom"/>
          </w:tcPr>
          <w:p>
            <w:pPr>
              <w:keepNext w:val="0"/>
              <w:keepLines w:val="0"/>
              <w:widowControl/>
              <w:suppressLineNumbers w:val="0"/>
              <w:jc w:val="center"/>
              <w:textAlignment w:val="bottom"/>
            </w:pPr>
          </w:p>
        </w:tc>
        <w:tc>
          <w:tcPr>
            <w:tcW w:w="1715" w:type="dxa"/>
            <w:vAlign w:val="bottom"/>
          </w:tcPr>
          <w:p>
            <w:pPr>
              <w:jc w:val="center"/>
              <w:rPr>
                <w:rFonts w:cs="宋体" w:asciiTheme="minorEastAsia" w:hAnsiTheme="minorEastAsia" w:eastAsiaTheme="minorEastAsia"/>
                <w:color w:val="000000"/>
                <w:sz w:val="24"/>
              </w:rPr>
            </w:pPr>
          </w:p>
        </w:tc>
        <w:tc>
          <w:tcPr>
            <w:tcW w:w="2577"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44500</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r>
              <w:rPr>
                <w:rFonts w:hint="eastAsia" w:ascii="宋体" w:hAnsi="宋体" w:eastAsia="宋体" w:cs="宋体"/>
                <w:i w:val="0"/>
                <w:color w:val="000000"/>
                <w:kern w:val="0"/>
                <w:sz w:val="24"/>
                <w:szCs w:val="24"/>
                <w:u w:val="none"/>
                <w:lang w:val="en-US" w:eastAsia="zh-CN" w:bidi="ar"/>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24"/>
                <w:szCs w:val="24"/>
                <w:u w:val="none"/>
                <w:lang w:val="en-US" w:eastAsia="zh-CN" w:bidi="ar"/>
              </w:rPr>
              <w:t>73637</w:t>
            </w:r>
          </w:p>
        </w:tc>
        <w:tc>
          <w:tcPr>
            <w:tcW w:w="1715"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73637</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 xml:space="preserve">  医疗费补助</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73637</w:t>
            </w:r>
          </w:p>
        </w:tc>
        <w:tc>
          <w:tcPr>
            <w:tcW w:w="1715" w:type="dxa"/>
            <w:vAlign w:val="bottom"/>
          </w:tcPr>
          <w:p>
            <w:pPr>
              <w:keepNext w:val="0"/>
              <w:keepLines w:val="0"/>
              <w:widowControl/>
              <w:suppressLineNumbers w:val="0"/>
              <w:jc w:val="center"/>
              <w:textAlignment w:val="bottom"/>
              <w:rPr>
                <w:rFonts w:cs="宋体" w:asciiTheme="minorEastAsia" w:hAnsiTheme="minorEastAsia" w:eastAsiaTheme="minorEastAsia"/>
                <w:b/>
                <w:bCs/>
                <w:color w:val="000000"/>
                <w:sz w:val="24"/>
              </w:rPr>
            </w:pPr>
            <w:r>
              <w:rPr>
                <w:rFonts w:hint="eastAsia" w:ascii="宋体" w:hAnsi="宋体" w:eastAsia="宋体" w:cs="宋体"/>
                <w:i w:val="0"/>
                <w:color w:val="000000"/>
                <w:kern w:val="0"/>
                <w:sz w:val="24"/>
                <w:szCs w:val="24"/>
                <w:u w:val="none"/>
                <w:lang w:val="en-US" w:eastAsia="zh-CN" w:bidi="ar"/>
              </w:rPr>
              <w:t>73637</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黄石港区政协</w:t>
            </w:r>
            <w:r>
              <w:rPr>
                <w:rStyle w:val="15"/>
                <w:rFonts w:hint="eastAsia"/>
                <w:lang w:val="en-US" w:eastAsia="zh-CN" w:bidi="ar"/>
              </w:rPr>
              <w:t>2022</w:t>
            </w:r>
            <w:r>
              <w:rPr>
                <w:rStyle w:val="15"/>
                <w:lang w:val="en-US" w:eastAsia="zh-CN" w:bidi="ar"/>
              </w:rPr>
              <w:t>年一般公共预算基本支出表</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9000" w:type="dxa"/>
            <w:gridSpan w:val="5"/>
            <w:vAlign w:val="center"/>
          </w:tcPr>
          <w:p>
            <w:pPr>
              <w:widowControl/>
              <w:jc w:val="left"/>
            </w:pPr>
            <w:r>
              <w:rPr>
                <w:rFonts w:hint="eastAsia" w:ascii="宋体" w:hAnsi="宋体" w:cs="宋体"/>
                <w:kern w:val="0"/>
                <w:sz w:val="24"/>
              </w:rPr>
              <w:t>　　　</w:t>
            </w:r>
          </w:p>
          <w:p>
            <w:pPr>
              <w:widowControl/>
              <w:jc w:val="left"/>
              <w:rPr>
                <w:rFonts w:hint="eastAsia" w:eastAsia="宋体"/>
                <w:highlight w:val="none"/>
                <w:lang w:eastAsia="zh-CN"/>
              </w:rPr>
            </w:pPr>
            <w:r>
              <w:rPr>
                <w:rFonts w:hint="eastAsia" w:ascii="宋体" w:hAnsi="宋体" w:cs="宋体"/>
                <w:kern w:val="0"/>
                <w:sz w:val="24"/>
              </w:rPr>
              <w:t>　</w:t>
            </w:r>
            <w:r>
              <w:rPr>
                <w:rFonts w:hint="eastAsia" w:ascii="宋体" w:hAnsi="宋体" w:cs="宋体"/>
                <w:kern w:val="0"/>
                <w:sz w:val="24"/>
                <w:lang w:eastAsia="zh-CN"/>
              </w:rPr>
              <w:t>说明</w:t>
            </w:r>
            <w:r>
              <w:rPr>
                <w:rFonts w:hint="eastAsia" w:ascii="宋体" w:hAnsi="宋体" w:cs="宋体"/>
                <w:kern w:val="0"/>
                <w:sz w:val="24"/>
                <w:highlight w:val="none"/>
                <w:lang w:eastAsia="zh-CN"/>
              </w:rPr>
              <w:t>：本单位无政府性基金预算</w:t>
            </w:r>
          </w:p>
          <w:p>
            <w:pPr>
              <w:widowControl/>
              <w:jc w:val="left"/>
            </w:pPr>
            <w:r>
              <w:rPr>
                <w:rFonts w:hint="eastAsia" w:ascii="宋体" w:hAnsi="宋体" w:cs="宋体"/>
                <w:kern w:val="0"/>
                <w:sz w:val="24"/>
              </w:rPr>
              <w:t>　　　</w:t>
            </w:r>
          </w:p>
          <w:p>
            <w:pPr>
              <w:widowControl/>
              <w:jc w:val="left"/>
            </w:pPr>
            <w:r>
              <w:rPr>
                <w:rFonts w:hint="eastAsia" w:ascii="宋体" w:hAnsi="宋体" w:cs="宋体"/>
                <w:kern w:val="0"/>
                <w:sz w:val="24"/>
              </w:rPr>
              <w:t>　　　</w:t>
            </w:r>
          </w:p>
          <w:p>
            <w:pPr>
              <w:widowControl/>
              <w:jc w:val="left"/>
            </w:pPr>
            <w:r>
              <w:rPr>
                <w:rFonts w:hint="eastAsia" w:ascii="宋体" w:hAnsi="宋体" w:cs="宋体"/>
                <w:kern w:val="0"/>
                <w:sz w:val="24"/>
              </w:rPr>
              <w:t>　　　</w:t>
            </w:r>
          </w:p>
        </w:tc>
      </w:tr>
    </w:tbl>
    <w:tbl>
      <w:tblPr>
        <w:tblStyle w:val="6"/>
        <w:tblpPr w:leftFromText="180" w:rightFromText="180" w:vertAnchor="text" w:horzAnchor="page" w:tblpX="1585" w:tblpY="495"/>
        <w:tblOverlap w:val="never"/>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440"/>
        <w:gridCol w:w="990"/>
        <w:gridCol w:w="975"/>
        <w:gridCol w:w="360"/>
        <w:gridCol w:w="480"/>
        <w:gridCol w:w="630"/>
        <w:gridCol w:w="675"/>
        <w:gridCol w:w="600"/>
        <w:gridCol w:w="93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3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4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955" w:type="dxa"/>
            <w:gridSpan w:val="11"/>
            <w:tcBorders>
              <w:top w:val="nil"/>
              <w:left w:val="nil"/>
              <w:bottom w:val="nil"/>
              <w:right w:val="nil"/>
            </w:tcBorders>
            <w:shd w:val="clear" w:color="auto" w:fill="auto"/>
            <w:noWrap/>
            <w:vAlign w:val="center"/>
          </w:tcPr>
          <w:p>
            <w:pPr>
              <w:keepNext w:val="0"/>
              <w:keepLines w:val="0"/>
              <w:widowControl/>
              <w:suppressLineNumbers w:val="0"/>
              <w:ind w:firstLine="3975" w:firstLineChars="110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35"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25400 </w:t>
            </w:r>
          </w:p>
        </w:tc>
        <w:tc>
          <w:tcPr>
            <w:tcW w:w="9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25400 </w:t>
            </w:r>
          </w:p>
        </w:tc>
        <w:tc>
          <w:tcPr>
            <w:tcW w:w="36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8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3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4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1、政协委员活动经费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164000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2、政协常委会经费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3、座谈会经费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4、专委会人员经费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5、征订《中国政协报》专项经费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US" w:eastAsia="zh-CN"/>
        </w:rPr>
        <w:t>3260931</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US" w:eastAsia="zh-CN"/>
        </w:rPr>
        <w:t>3260931</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US" w:eastAsia="zh-CN"/>
        </w:rPr>
        <w:t>3260931</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highlight w:val="none"/>
          <w:lang w:val="en-US" w:eastAsia="zh-CN"/>
        </w:rPr>
        <w:t>3235531</w:t>
      </w:r>
      <w:r>
        <w:rPr>
          <w:rFonts w:hint="eastAsia" w:ascii="宋体" w:hAnsi="宋体"/>
          <w:color w:val="000000"/>
          <w:spacing w:val="2"/>
          <w:kern w:val="2"/>
          <w:sz w:val="28"/>
          <w:szCs w:val="28"/>
          <w:highlight w:val="none"/>
          <w:lang w:val="en-US" w:eastAsia="zh-CN"/>
        </w:rPr>
        <w:t>元，占比99.21%。项目支出25400元，占比0.79%。</w:t>
      </w:r>
    </w:p>
    <w:p>
      <w:pPr>
        <w:numPr>
          <w:numId w:val="0"/>
        </w:numPr>
        <w:ind w:leftChars="0" w:firstLine="281" w:firstLineChars="100"/>
        <w:rPr>
          <w:rFonts w:hint="eastAsia" w:ascii="宋体" w:hAns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US" w:eastAsia="zh-CN"/>
        </w:rPr>
        <w:t>3260931</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2021年预算收入2149412元增加</w:t>
      </w:r>
      <w:r>
        <w:rPr>
          <w:rFonts w:hint="eastAsia" w:ascii="宋体" w:hAnsi="宋体" w:cs="宋体"/>
          <w:sz w:val="28"/>
          <w:szCs w:val="28"/>
          <w:lang w:val="en-US" w:eastAsia="zh-CN"/>
        </w:rPr>
        <w:t>1111519</w:t>
      </w:r>
      <w:r>
        <w:rPr>
          <w:rFonts w:hint="eastAsia" w:ascii="宋体" w:hAnsi="宋体" w:cs="宋体"/>
          <w:kern w:val="0"/>
          <w:sz w:val="28"/>
          <w:szCs w:val="28"/>
          <w:highlight w:val="none"/>
          <w:lang w:val="en-US" w:eastAsia="zh-CN"/>
        </w:rPr>
        <w:t>元，增加原因：2022年度本单位新增人员及工资提标，按新标准列入预算发生增加。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eastAsia="宋体" w:cs="宋体"/>
          <w:b/>
          <w:kern w:val="0"/>
          <w:sz w:val="28"/>
          <w:szCs w:val="28"/>
          <w:highlight w:val="none"/>
          <w:lang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US" w:eastAsia="zh-CN"/>
        </w:rPr>
        <w:t>3260931</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kern w:val="0"/>
          <w:sz w:val="28"/>
          <w:szCs w:val="28"/>
          <w:highlight w:val="none"/>
          <w:lang w:val="en-US" w:eastAsia="zh-CN"/>
        </w:rPr>
        <w:t>入2149412元增加</w:t>
      </w:r>
      <w:r>
        <w:rPr>
          <w:rFonts w:hint="eastAsia" w:ascii="宋体" w:hAnsi="宋体" w:cs="宋体"/>
          <w:sz w:val="28"/>
          <w:szCs w:val="28"/>
          <w:highlight w:val="none"/>
          <w:lang w:val="en-US" w:eastAsia="zh-CN"/>
        </w:rPr>
        <w:t>1111519</w:t>
      </w:r>
      <w:r>
        <w:rPr>
          <w:rFonts w:hint="eastAsia" w:ascii="宋体" w:hAnsi="宋体" w:cs="宋体"/>
          <w:kern w:val="0"/>
          <w:sz w:val="28"/>
          <w:szCs w:val="28"/>
          <w:highlight w:val="none"/>
          <w:lang w:val="en-US" w:eastAsia="zh-CN"/>
        </w:rPr>
        <w:t>元，</w:t>
      </w:r>
      <w:r>
        <w:rPr>
          <w:rFonts w:hint="eastAsia" w:ascii="宋体" w:hAnsi="宋体" w:cs="宋体"/>
          <w:kern w:val="0"/>
          <w:sz w:val="28"/>
          <w:szCs w:val="28"/>
          <w:highlight w:val="none"/>
          <w:lang w:val="en-US" w:eastAsia="zh-CN"/>
        </w:rPr>
        <w:t>增加原因：2022年度本单位新增人员及工资提标，按新标准列入预算发生增加。其中：工资福利支出</w:t>
      </w:r>
      <w:r>
        <w:rPr>
          <w:rFonts w:hint="eastAsia" w:ascii="宋体" w:hAnsi="宋体" w:cs="宋体"/>
          <w:sz w:val="28"/>
          <w:szCs w:val="28"/>
          <w:highlight w:val="none"/>
          <w:lang w:val="en-US" w:eastAsia="zh-CN"/>
        </w:rPr>
        <w:t>2544907</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248396</w:t>
      </w:r>
      <w:r>
        <w:rPr>
          <w:rFonts w:hint="eastAsia" w:ascii="宋体" w:hAnsi="宋体" w:cs="宋体"/>
          <w:kern w:val="0"/>
          <w:sz w:val="28"/>
          <w:szCs w:val="28"/>
          <w:highlight w:val="none"/>
          <w:lang w:val="en-US" w:eastAsia="zh-CN"/>
        </w:rPr>
        <w:t xml:space="preserve"> 元，对个人和家庭补助支出</w:t>
      </w:r>
      <w:r>
        <w:rPr>
          <w:rFonts w:hint="eastAsia" w:ascii="宋体" w:hAnsi="宋体"/>
          <w:color w:val="000000"/>
          <w:spacing w:val="2"/>
          <w:kern w:val="2"/>
          <w:sz w:val="28"/>
          <w:szCs w:val="28"/>
          <w:highlight w:val="none"/>
          <w:lang w:val="en-US" w:eastAsia="zh-CN"/>
        </w:rPr>
        <w:t>73637</w:t>
      </w:r>
      <w:r>
        <w:rPr>
          <w:rFonts w:hint="eastAsia" w:ascii="宋体" w:hAnsi="宋体" w:cs="宋体"/>
          <w:kern w:val="0"/>
          <w:sz w:val="28"/>
          <w:szCs w:val="28"/>
          <w:highlight w:val="none"/>
          <w:lang w:val="en-US" w:eastAsia="zh-CN"/>
        </w:rPr>
        <w:t>元，项目支出</w:t>
      </w:r>
      <w:r>
        <w:rPr>
          <w:rFonts w:hint="eastAsia" w:ascii="宋体" w:hAnsi="宋体"/>
          <w:color w:val="000000"/>
          <w:spacing w:val="2"/>
          <w:kern w:val="2"/>
          <w:sz w:val="28"/>
          <w:szCs w:val="28"/>
          <w:highlight w:val="none"/>
          <w:lang w:val="en-US" w:eastAsia="zh-CN"/>
        </w:rPr>
        <w:t>254000</w:t>
      </w:r>
      <w:r>
        <w:rPr>
          <w:rFonts w:hint="eastAsia" w:ascii="宋体" w:hAnsi="宋体" w:cs="宋体"/>
          <w:sz w:val="28"/>
          <w:szCs w:val="28"/>
          <w:highlight w:val="none"/>
        </w:rPr>
        <w:t>元</w:t>
      </w:r>
      <w:r>
        <w:rPr>
          <w:rFonts w:hint="eastAsia" w:ascii="宋体" w:hAnsi="宋体" w:cs="宋体"/>
          <w:sz w:val="28"/>
          <w:szCs w:val="28"/>
          <w:highlight w:val="none"/>
          <w:lang w:eastAsia="zh-CN"/>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、业务招待费按区政协原核定的标准安排。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37784</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415627</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2350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2360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8050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1166592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17499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2000625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40013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1166592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29165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“三公”经费预算4.45万元，与</w:t>
      </w:r>
      <w:r>
        <w:rPr>
          <w:rFonts w:hint="eastAsia" w:ascii="宋体" w:hAnsi="宋体" w:cs="宋体"/>
          <w:sz w:val="28"/>
          <w:szCs w:val="28"/>
          <w:lang w:val="en"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、公务接待费预算4.45万元，与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numId w:val="0"/>
        </w:numPr>
        <w:shd w:val="clear" w:color="auto" w:fill="FFFFFF"/>
        <w:spacing w:line="560" w:lineRule="exact"/>
        <w:ind w:leftChars="200"/>
        <w:jc w:val="left"/>
        <w:rPr>
          <w:rFonts w:hint="eastAsia" w:ascii="宋体" w:hAnsi="宋体" w:eastAsia="宋体" w:cs="宋体"/>
          <w:b w:val="0"/>
          <w:bCs/>
          <w:kern w:val="0"/>
          <w:sz w:val="28"/>
          <w:szCs w:val="28"/>
          <w:highlight w:val="none"/>
          <w:lang w:val="en-US" w:eastAsia="zh-CN" w:bidi="ar-SA"/>
        </w:rPr>
      </w:pPr>
      <w:r>
        <w:rPr>
          <w:rFonts w:hint="eastAsia" w:ascii="宋体" w:hAnsi="宋体" w:eastAsia="宋体" w:cs="宋体"/>
          <w:b w:val="0"/>
          <w:bCs/>
          <w:kern w:val="0"/>
          <w:sz w:val="28"/>
          <w:szCs w:val="28"/>
          <w:highlight w:val="none"/>
          <w:lang w:val="en-US" w:eastAsia="zh-CN" w:bidi="ar-SA"/>
        </w:rPr>
        <w:t>（二）重点项目预算绩效目标表</w:t>
      </w: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57"/>
        <w:gridCol w:w="1074"/>
        <w:gridCol w:w="1345"/>
        <w:gridCol w:w="868"/>
        <w:gridCol w:w="868"/>
        <w:gridCol w:w="868"/>
        <w:gridCol w:w="869"/>
        <w:gridCol w:w="1130"/>
        <w:gridCol w:w="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1180" w:hRule="atLeast"/>
        </w:trPr>
        <w:tc>
          <w:tcPr>
            <w:tcW w:w="394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中国人民政治协商会议黄石市黄石港区委员会办公室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征订中国政协报专项经费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征订中国政协报专项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征订中国政协报专项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843"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≥10</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95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394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54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41"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059" w:type="pct"/>
          <w:trHeight w:val="7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284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中国人民政治协商会议黄石市黄石港区委员会办公室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政协常委会经费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≥10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中国人民政治协商会议黄石市黄石港区委员会办公室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政协委员活动经费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Style w:val="16"/>
                <w:rFonts w:eastAsia="宋体"/>
                <w:bdr w:val="none" w:color="auto" w:sz="0" w:space="0"/>
                <w:lang w:val="en-US" w:eastAsia="zh-CN" w:bidi="ar"/>
              </w:rPr>
              <w:t>≥</w:t>
            </w:r>
            <w:r>
              <w:rPr>
                <w:rStyle w:val="17"/>
                <w:rFonts w:hAnsi="Arial"/>
                <w:bdr w:val="none" w:color="auto" w:sz="0" w:space="0"/>
                <w:lang w:val="en-US" w:eastAsia="zh-CN" w:bidi="ar"/>
              </w:rPr>
              <w:t>2</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党派成员满意度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政协委员开展活动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政协委员满意度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中国人民政治协商会议黄石市黄石港区委员会办公室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座谈会经费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902" w:type="pct"/>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r>
              <w:rPr>
                <w:rFonts w:hint="eastAsia" w:ascii="仿宋_GB2312" w:hAnsi="Arial" w:eastAsia="仿宋_GB2312" w:cs="仿宋_GB2312"/>
                <w:i w:val="0"/>
                <w:iCs w:val="0"/>
                <w:color w:val="000000"/>
                <w:kern w:val="0"/>
                <w:sz w:val="21"/>
                <w:szCs w:val="21"/>
                <w:u w:val="none"/>
                <w:bdr w:val="none" w:color="auto" w:sz="0" w:space="0"/>
                <w:lang w:val="en-US" w:eastAsia="zh-CN" w:bidi="ar"/>
              </w:rPr>
              <w:t>2</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82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201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2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60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4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4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902" w:type="pct"/>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numPr>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57203A85"/>
    <w:multiLevelType w:val="singleLevel"/>
    <w:tmpl w:val="57203A85"/>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21298"/>
    <w:rsid w:val="00036F66"/>
    <w:rsid w:val="00040F87"/>
    <w:rsid w:val="0005426C"/>
    <w:rsid w:val="000642D8"/>
    <w:rsid w:val="00087FE6"/>
    <w:rsid w:val="000C2F12"/>
    <w:rsid w:val="000F40B9"/>
    <w:rsid w:val="000F5C47"/>
    <w:rsid w:val="00111F12"/>
    <w:rsid w:val="0013454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527D4"/>
    <w:rsid w:val="00364CCB"/>
    <w:rsid w:val="0037390F"/>
    <w:rsid w:val="003771C1"/>
    <w:rsid w:val="003C5494"/>
    <w:rsid w:val="003C62AB"/>
    <w:rsid w:val="00412572"/>
    <w:rsid w:val="004126C4"/>
    <w:rsid w:val="004603AF"/>
    <w:rsid w:val="00475940"/>
    <w:rsid w:val="004919C9"/>
    <w:rsid w:val="00495756"/>
    <w:rsid w:val="0049594C"/>
    <w:rsid w:val="004B394C"/>
    <w:rsid w:val="004B741F"/>
    <w:rsid w:val="004D7DB5"/>
    <w:rsid w:val="004E60C4"/>
    <w:rsid w:val="00505352"/>
    <w:rsid w:val="00523282"/>
    <w:rsid w:val="0054487B"/>
    <w:rsid w:val="005A7369"/>
    <w:rsid w:val="00673973"/>
    <w:rsid w:val="006759D3"/>
    <w:rsid w:val="006A3FBE"/>
    <w:rsid w:val="006B1C80"/>
    <w:rsid w:val="006D383D"/>
    <w:rsid w:val="006D4B8C"/>
    <w:rsid w:val="006F13E4"/>
    <w:rsid w:val="007277F3"/>
    <w:rsid w:val="0073299F"/>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1920"/>
    <w:rsid w:val="00A53C33"/>
    <w:rsid w:val="00A57822"/>
    <w:rsid w:val="00AA6B7D"/>
    <w:rsid w:val="00AB6928"/>
    <w:rsid w:val="00AC466A"/>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A7F07"/>
    <w:rsid w:val="00CC70FC"/>
    <w:rsid w:val="00CE4CD2"/>
    <w:rsid w:val="00CF525C"/>
    <w:rsid w:val="00D04ADC"/>
    <w:rsid w:val="00D148E8"/>
    <w:rsid w:val="00D157F7"/>
    <w:rsid w:val="00D44255"/>
    <w:rsid w:val="00D624F3"/>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15E37A96"/>
    <w:rsid w:val="1A935EEA"/>
    <w:rsid w:val="1AFC74FE"/>
    <w:rsid w:val="1E9A36DC"/>
    <w:rsid w:val="253A3AB2"/>
    <w:rsid w:val="38AA0644"/>
    <w:rsid w:val="49BD2F44"/>
    <w:rsid w:val="4C855B41"/>
    <w:rsid w:val="4FB15CF0"/>
    <w:rsid w:val="55403DF7"/>
    <w:rsid w:val="5FAA5B11"/>
    <w:rsid w:val="60E2573B"/>
    <w:rsid w:val="672E3583"/>
    <w:rsid w:val="6D807C9F"/>
    <w:rsid w:val="6E2E60E0"/>
    <w:rsid w:val="7E0021A0"/>
    <w:rsid w:val="B3BF0974"/>
    <w:rsid w:val="F9F043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51"/>
    <w:basedOn w:val="7"/>
    <w:uiPriority w:val="0"/>
    <w:rPr>
      <w:rFonts w:hint="default" w:ascii="Arial" w:hAnsi="Arial" w:cs="Arial"/>
      <w:color w:val="000000"/>
      <w:sz w:val="21"/>
      <w:szCs w:val="21"/>
      <w:u w:val="none"/>
    </w:rPr>
  </w:style>
  <w:style w:type="character" w:customStyle="1" w:styleId="17">
    <w:name w:val="font31"/>
    <w:basedOn w:val="7"/>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3927</Words>
  <Characters>4913</Characters>
  <Lines>46</Lines>
  <Paragraphs>12</Paragraphs>
  <TotalTime>2</TotalTime>
  <ScaleCrop>false</ScaleCrop>
  <LinksUpToDate>false</LinksUpToDate>
  <CharactersWithSpaces>5704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2019-10-28T08:44:00Z</dcterms:created>
  <dc:creator>侒靜啲喧嘩</dc:creator>
  <cp:lastModifiedBy>WPS_1614561328</cp:lastModifiedBy>
  <cp:lastPrinted>2019-10-24T16:46:00Z</cp:lastPrinted>
  <dcterms:modified xsi:type="dcterms:W3CDTF">2023-04-28T07:26:09Z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561219BD86E24096846EB2F8F07063B8</vt:lpwstr>
  </property>
</Properties>
</file>