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政协</w:t>
      </w:r>
      <w:r>
        <w:rPr>
          <w:rFonts w:ascii="微软雅黑" w:hAnsi="微软雅黑" w:eastAsia="微软雅黑" w:cs="微软雅黑"/>
          <w:color w:val="BC1010"/>
          <w:sz w:val="40"/>
          <w:szCs w:val="40"/>
          <w:shd w:val="clear" w:color="auto" w:fill="FFFFFF"/>
        </w:rPr>
        <w:t>2021</w:t>
      </w:r>
      <w:r>
        <w:rPr>
          <w:rFonts w:hint="eastAsia" w:ascii="微软雅黑" w:hAnsi="微软雅黑" w:eastAsia="微软雅黑" w:cs="微软雅黑"/>
          <w:color w:val="BC1010"/>
          <w:sz w:val="40"/>
          <w:szCs w:val="40"/>
          <w:shd w:val="clear" w:color="auto" w:fill="FFFFFF"/>
        </w:rPr>
        <w:t>年决算公开</w:t>
      </w:r>
    </w:p>
    <w:p>
      <w:pPr>
        <w:pStyle w:val="7"/>
        <w:widowControl/>
        <w:spacing w:before="76" w:beforeAutospacing="0" w:after="76" w:afterAutospacing="0" w:line="450" w:lineRule="atLeast"/>
        <w:ind w:firstLine="420"/>
        <w:jc w:val="center"/>
        <w:rPr>
          <w:color w:val="333333"/>
        </w:rPr>
      </w:pPr>
      <w:r>
        <w:rPr>
          <w:rStyle w:val="10"/>
          <w:rFonts w:hint="eastAsia" w:ascii="微软雅黑" w:hAnsi="微软雅黑" w:eastAsia="微软雅黑" w:cs="微软雅黑"/>
          <w:color w:val="333333"/>
          <w:shd w:val="clear" w:color="auto" w:fill="FFFFFF"/>
        </w:rPr>
        <w:t>黄石港区政协</w:t>
      </w:r>
      <w:r>
        <w:rPr>
          <w:rStyle w:val="10"/>
          <w:rFonts w:ascii="微软雅黑" w:hAnsi="微软雅黑" w:eastAsia="微软雅黑" w:cs="微软雅黑"/>
          <w:color w:val="333333"/>
          <w:shd w:val="clear" w:color="auto" w:fill="FFFFFF"/>
        </w:rPr>
        <w:t>2021</w:t>
      </w:r>
      <w:r>
        <w:rPr>
          <w:rStyle w:val="10"/>
          <w:rFonts w:hint="eastAsia" w:ascii="微软雅黑" w:hAnsi="微软雅黑" w:eastAsia="微软雅黑" w:cs="微软雅黑"/>
          <w:color w:val="333333"/>
          <w:shd w:val="clear" w:color="auto" w:fill="FFFFFF"/>
        </w:rPr>
        <w:t>年决算公开</w:t>
      </w:r>
    </w:p>
    <w:p>
      <w:pPr>
        <w:pStyle w:val="7"/>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录</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w:t>
      </w:r>
      <w:r>
        <w:rPr>
          <w:rFonts w:ascii="微软雅黑" w:hAnsi="微软雅黑" w:eastAsia="微软雅黑" w:cs="微软雅黑"/>
          <w:color w:val="333333"/>
          <w:shd w:val="clear" w:color="auto" w:fill="FFFFFF"/>
        </w:rPr>
        <w:t>:</w:t>
      </w:r>
      <w:r>
        <w:rPr>
          <w:rFonts w:hint="eastAsia" w:ascii="微软雅黑" w:hAnsi="微软雅黑" w:eastAsia="微软雅黑" w:cs="微软雅黑"/>
          <w:color w:val="333333"/>
          <w:shd w:val="clear" w:color="auto" w:fill="FFFFFF"/>
        </w:rPr>
        <w:t>部门基本情况</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部门</w:t>
      </w:r>
      <w:r>
        <w:rPr>
          <w:rFonts w:ascii="微软雅黑" w:hAnsi="微软雅黑" w:eastAsia="微软雅黑" w:cs="微软雅黑"/>
          <w:color w:val="333333"/>
          <w:shd w:val="clear" w:color="auto" w:fill="FFFFFF"/>
        </w:rPr>
        <w:t>2021</w:t>
      </w:r>
      <w:r>
        <w:rPr>
          <w:rFonts w:hint="eastAsia" w:ascii="微软雅黑" w:hAnsi="微软雅黑" w:eastAsia="微软雅黑" w:cs="微软雅黑"/>
          <w:color w:val="333333"/>
          <w:shd w:val="clear" w:color="auto" w:fill="FFFFFF"/>
        </w:rPr>
        <w:t>年部门决算表</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八、政府性基金预算财政拨款收入支出决算表（表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360" w:firstLineChars="150"/>
        <w:rPr>
          <w:color w:val="333333"/>
        </w:rPr>
      </w:pPr>
      <w:r>
        <w:rPr>
          <w:rFonts w:hint="eastAsia" w:ascii="微软雅黑" w:hAnsi="微软雅黑" w:eastAsia="微软雅黑" w:cs="微软雅黑"/>
          <w:color w:val="333333"/>
          <w:shd w:val="clear" w:color="auto" w:fill="FFFFFF"/>
        </w:rPr>
        <w:t>九、国有资本经营预算财政拨款支出决算表（表</w:t>
      </w:r>
      <w:r>
        <w:rPr>
          <w:rFonts w:ascii="微软雅黑" w:hAnsi="微软雅黑" w:eastAsia="微软雅黑" w:cs="微软雅黑"/>
          <w:color w:val="333333"/>
          <w:shd w:val="clear" w:color="auto" w:fill="FFFFFF"/>
        </w:rPr>
        <w:t>9</w:t>
      </w:r>
      <w:r>
        <w:rPr>
          <w:rFonts w:hint="eastAsia" w:ascii="微软雅黑" w:hAnsi="微软雅黑" w:eastAsia="微软雅黑" w:cs="微软雅黑"/>
          <w:color w:val="333333"/>
          <w:shd w:val="clear" w:color="auto" w:fill="FFFFFF"/>
        </w:rPr>
        <w:t>）</w:t>
      </w:r>
    </w:p>
    <w:p>
      <w:pPr>
        <w:pStyle w:val="7"/>
        <w:widowControl/>
        <w:spacing w:before="76" w:beforeAutospacing="0" w:after="76" w:afterAutospacing="0" w:line="450" w:lineRule="atLeast"/>
        <w:ind w:firstLine="360" w:firstLineChars="150"/>
        <w:rPr>
          <w:color w:val="333333"/>
        </w:rPr>
      </w:pPr>
      <w:r>
        <w:rPr>
          <w:rFonts w:hint="eastAsia" w:ascii="微软雅黑" w:hAnsi="微软雅黑" w:eastAsia="微软雅黑" w:cs="微软雅黑"/>
          <w:color w:val="333333"/>
          <w:shd w:val="clear" w:color="auto" w:fill="FFFFFF"/>
        </w:rPr>
        <w:t>第三部分：部门</w:t>
      </w:r>
      <w:r>
        <w:rPr>
          <w:rFonts w:ascii="微软雅黑" w:hAnsi="微软雅黑" w:eastAsia="微软雅黑" w:cs="微软雅黑"/>
          <w:color w:val="333333"/>
          <w:shd w:val="clear" w:color="auto" w:fill="FFFFFF"/>
        </w:rPr>
        <w:t>2021</w:t>
      </w:r>
      <w:r>
        <w:rPr>
          <w:rFonts w:hint="eastAsia" w:ascii="微软雅黑" w:hAnsi="微软雅黑" w:eastAsia="微软雅黑" w:cs="微软雅黑"/>
          <w:color w:val="333333"/>
          <w:shd w:val="clear" w:color="auto" w:fill="FFFFFF"/>
        </w:rPr>
        <w:t>年部门决算情况说明</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六、重点绩效评价结果等预算绩效情况说明</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七、决算收支增减变化情况</w:t>
      </w: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第四部分：名词解释</w:t>
      </w:r>
      <w:r>
        <w:rPr>
          <w:rFonts w:ascii="微软雅黑" w:hAnsi="微软雅黑" w:eastAsia="微软雅黑" w:cs="微软雅黑"/>
          <w:color w:val="333333"/>
          <w:shd w:val="clear" w:color="auto" w:fill="FFFFFF"/>
        </w:rPr>
        <w:t> </w:t>
      </w:r>
    </w:p>
    <w:p>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color w:val="333333"/>
        </w:rPr>
      </w:pPr>
      <w:r>
        <w:rPr>
          <w:rStyle w:val="10"/>
          <w:rFonts w:ascii="微软雅黑" w:hAnsi="微软雅黑" w:eastAsia="微软雅黑" w:cs="微软雅黑"/>
          <w:color w:val="333333"/>
          <w:shd w:val="clear" w:color="auto" w:fill="FFFFFF"/>
        </w:rPr>
        <w:t>2021</w:t>
      </w:r>
      <w:r>
        <w:rPr>
          <w:rStyle w:val="10"/>
          <w:rFonts w:hint="eastAsia" w:ascii="微软雅黑" w:hAnsi="微软雅黑" w:eastAsia="微软雅黑" w:cs="微软雅黑"/>
          <w:color w:val="333333"/>
          <w:shd w:val="clear" w:color="auto" w:fill="FFFFFF"/>
        </w:rPr>
        <w:t>年部门决算</w:t>
      </w:r>
    </w:p>
    <w:p>
      <w:pPr>
        <w:pStyle w:val="7"/>
        <w:widowControl/>
        <w:spacing w:before="76" w:beforeAutospacing="0" w:after="76" w:afterAutospacing="0" w:line="450" w:lineRule="atLeast"/>
        <w:ind w:firstLine="420"/>
        <w:rPr>
          <w:color w:val="333333"/>
        </w:rPr>
      </w:pPr>
      <w:r>
        <w:rPr>
          <w:rStyle w:val="10"/>
          <w:rFonts w:hint="eastAsia" w:ascii="微软雅黑" w:hAnsi="微软雅黑" w:eastAsia="微软雅黑" w:cs="微软雅黑"/>
          <w:color w:val="333333"/>
          <w:shd w:val="clear" w:color="auto" w:fill="FFFFFF"/>
        </w:rPr>
        <w:t>第一部分</w:t>
      </w:r>
      <w:r>
        <w:rPr>
          <w:rStyle w:val="10"/>
          <w:rFonts w:ascii="微软雅黑" w:hAnsi="微软雅黑" w:eastAsia="微软雅黑" w:cs="微软雅黑"/>
          <w:color w:val="333333"/>
          <w:shd w:val="clear" w:color="auto" w:fill="FFFFFF"/>
        </w:rPr>
        <w:t xml:space="preserve"> </w:t>
      </w:r>
      <w:r>
        <w:rPr>
          <w:rStyle w:val="10"/>
          <w:rFonts w:hint="eastAsia" w:ascii="微软雅黑" w:hAnsi="微软雅黑" w:eastAsia="微软雅黑" w:cs="微软雅黑"/>
          <w:color w:val="333333"/>
          <w:shd w:val="clear" w:color="auto" w:fill="FFFFFF"/>
        </w:rPr>
        <w:t>部门概况</w:t>
      </w:r>
    </w:p>
    <w:p>
      <w:pPr>
        <w:widowControl/>
        <w:shd w:val="clear" w:color="auto" w:fill="FFFFFF"/>
        <w:snapToGrid w:val="0"/>
        <w:spacing w:line="560" w:lineRule="atLeast"/>
        <w:ind w:firstLine="562"/>
        <w:jc w:val="left"/>
        <w:rPr>
          <w:rFonts w:ascii="宋体" w:cs="宋体"/>
          <w:b/>
          <w:bCs/>
          <w:color w:val="333333"/>
          <w:kern w:val="0"/>
          <w:sz w:val="28"/>
          <w:szCs w:val="28"/>
        </w:rPr>
      </w:pPr>
      <w:r>
        <w:rPr>
          <w:rFonts w:hint="eastAsia" w:ascii="宋体" w:hAnsi="宋体" w:cs="宋体"/>
          <w:b/>
          <w:bCs/>
          <w:color w:val="333333"/>
          <w:kern w:val="0"/>
          <w:sz w:val="28"/>
          <w:szCs w:val="28"/>
        </w:rPr>
        <w:t>（</w:t>
      </w:r>
      <w:r>
        <w:rPr>
          <w:rFonts w:hint="eastAsia" w:ascii="宋体" w:hAnsi="宋体"/>
          <w:b/>
          <w:bCs/>
          <w:sz w:val="28"/>
          <w:szCs w:val="28"/>
        </w:rPr>
        <w:t>一）主要职责</w:t>
      </w:r>
    </w:p>
    <w:p>
      <w:pPr>
        <w:autoSpaceDE w:val="0"/>
        <w:autoSpaceDN w:val="0"/>
        <w:adjustRightInd w:val="0"/>
        <w:ind w:firstLine="560" w:firstLineChars="200"/>
        <w:jc w:val="left"/>
        <w:rPr>
          <w:rFonts w:ascii="宋体" w:cs="宋体"/>
          <w:kern w:val="0"/>
          <w:sz w:val="28"/>
          <w:szCs w:val="28"/>
          <w:lang w:val="zh-CN"/>
        </w:rPr>
      </w:pPr>
      <w:r>
        <w:rPr>
          <w:rFonts w:ascii="宋体" w:hAnsi="宋体" w:cs="宋体"/>
          <w:kern w:val="0"/>
          <w:sz w:val="28"/>
          <w:szCs w:val="28"/>
          <w:lang w:val="zh-CN"/>
        </w:rPr>
        <w:t xml:space="preserve"> </w:t>
      </w:r>
      <w:r>
        <w:rPr>
          <w:rFonts w:hint="eastAsia" w:ascii="宋体" w:hAnsi="宋体" w:cs="宋体"/>
          <w:kern w:val="0"/>
          <w:sz w:val="28"/>
          <w:szCs w:val="28"/>
          <w:lang w:val="zh-CN"/>
        </w:rPr>
        <w:t>进行政治协商：是对国家和地方的大政方针以及政治、经济、文化和社会生活中的重要问题在决策之前进行协商和就决策执行过程中的重要问题进行协商。中国政协的政治协商是中国共产党领导的多党合作的重要体现。</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进行民主监督：是对国家宪法、法律和法规的实施，重大方针政策的贯彻执行、国家机关及其工作人员的工作，通过建议和批评进行监督。它是参加中国政协的各党派团体和各族各界人士通过政协组织对国家机关及其工作人员的工作进行的监督，也是中国共产党在政协中与各民主党派和无党派人士之间进行的互相监督。</w:t>
      </w:r>
    </w:p>
    <w:p>
      <w:pPr>
        <w:autoSpaceDE w:val="0"/>
        <w:autoSpaceDN w:val="0"/>
        <w:adjustRightInd w:val="0"/>
        <w:ind w:firstLine="420" w:firstLineChars="150"/>
        <w:jc w:val="left"/>
        <w:rPr>
          <w:rFonts w:ascii="宋体" w:cs="宋体"/>
          <w:kern w:val="0"/>
          <w:sz w:val="28"/>
          <w:szCs w:val="28"/>
          <w:lang w:val="zh-CN"/>
        </w:rPr>
      </w:pPr>
      <w:r>
        <w:rPr>
          <w:rFonts w:hint="eastAsia" w:ascii="宋体" w:hAnsi="宋体" w:cs="宋体"/>
          <w:kern w:val="0"/>
          <w:sz w:val="28"/>
          <w:szCs w:val="28"/>
          <w:lang w:val="zh-CN"/>
        </w:rPr>
        <w:t>进行参政议政：是对政治、经济、文化和社会生活中的重要问题以及人民群众普遍关心的问题，开展调查研究，反映社情民意，进行协商讨论。通过调研报告、提案、建议案或其他形式，向中国共产党和国家机关提出意见和建议。中国政协的参政议政是人民政协履行职能的重要形式。</w:t>
      </w:r>
    </w:p>
    <w:p>
      <w:pPr>
        <w:spacing w:line="620" w:lineRule="exact"/>
        <w:ind w:firstLine="281" w:firstLineChars="100"/>
        <w:rPr>
          <w:rFonts w:ascii="宋体" w:cs="Tahoma"/>
          <w:color w:val="333333"/>
          <w:kern w:val="0"/>
          <w:sz w:val="28"/>
          <w:szCs w:val="28"/>
        </w:rPr>
      </w:pPr>
      <w:r>
        <w:rPr>
          <w:rFonts w:hint="eastAsia" w:ascii="宋体" w:hAnsi="宋体"/>
          <w:b/>
          <w:bCs/>
          <w:sz w:val="28"/>
          <w:szCs w:val="28"/>
        </w:rPr>
        <w:t>（二）机构设置：</w:t>
      </w:r>
      <w:r>
        <w:rPr>
          <w:rFonts w:hint="eastAsia" w:ascii="宋体" w:hAnsi="宋体" w:cs="Tahoma"/>
          <w:color w:val="333333"/>
          <w:kern w:val="0"/>
          <w:sz w:val="28"/>
          <w:szCs w:val="28"/>
        </w:rPr>
        <w:t>设有专委会办公室、政协办公室。</w:t>
      </w:r>
    </w:p>
    <w:p>
      <w:pPr>
        <w:spacing w:line="620" w:lineRule="exact"/>
        <w:ind w:firstLine="240" w:firstLineChars="100"/>
        <w:jc w:val="left"/>
        <w:rPr>
          <w:rStyle w:val="10"/>
          <w:rFonts w:ascii="微软雅黑" w:hAnsi="微软雅黑" w:eastAsia="微软雅黑" w:cs="微软雅黑"/>
          <w:color w:val="333333"/>
          <w:sz w:val="24"/>
          <w:shd w:val="clear" w:color="auto" w:fill="FFFFFF"/>
        </w:rPr>
      </w:pPr>
    </w:p>
    <w:p>
      <w:pPr>
        <w:spacing w:line="620" w:lineRule="exact"/>
        <w:ind w:firstLine="240" w:firstLineChars="100"/>
        <w:jc w:val="left"/>
        <w:rPr>
          <w:rStyle w:val="10"/>
          <w:rFonts w:ascii="微软雅黑" w:hAnsi="微软雅黑" w:eastAsia="微软雅黑" w:cs="微软雅黑"/>
          <w:b w:val="0"/>
          <w:color w:val="333333"/>
          <w:shd w:val="clear" w:color="auto" w:fill="FFFFFF"/>
        </w:rPr>
      </w:pPr>
      <w:r>
        <w:rPr>
          <w:rStyle w:val="10"/>
          <w:rFonts w:hint="eastAsia" w:ascii="微软雅黑" w:hAnsi="微软雅黑" w:eastAsia="微软雅黑" w:cs="微软雅黑"/>
          <w:color w:val="333333"/>
          <w:sz w:val="24"/>
          <w:shd w:val="clear" w:color="auto" w:fill="FFFFFF"/>
        </w:rPr>
        <w:t>第二部分</w:t>
      </w:r>
      <w:r>
        <w:rPr>
          <w:rStyle w:val="10"/>
          <w:rFonts w:ascii="微软雅黑" w:hAnsi="微软雅黑" w:eastAsia="微软雅黑" w:cs="微软雅黑"/>
          <w:color w:val="333333"/>
          <w:sz w:val="24"/>
          <w:shd w:val="clear" w:color="auto" w:fill="FFFFFF"/>
        </w:rPr>
        <w:t xml:space="preserve"> </w:t>
      </w:r>
      <w:r>
        <w:rPr>
          <w:rStyle w:val="10"/>
          <w:rFonts w:hint="eastAsia" w:ascii="微软雅黑" w:hAnsi="微软雅黑" w:eastAsia="微软雅黑" w:cs="微软雅黑"/>
          <w:color w:val="333333"/>
          <w:sz w:val="24"/>
          <w:shd w:val="clear" w:color="auto" w:fill="FFFFFF"/>
        </w:rPr>
        <w:t>部门</w:t>
      </w:r>
      <w:r>
        <w:rPr>
          <w:rStyle w:val="10"/>
          <w:rFonts w:ascii="微软雅黑" w:hAnsi="微软雅黑" w:eastAsia="微软雅黑" w:cs="微软雅黑"/>
          <w:color w:val="333333"/>
          <w:sz w:val="24"/>
          <w:shd w:val="clear" w:color="auto" w:fill="FFFFFF"/>
        </w:rPr>
        <w:t>2021</w:t>
      </w:r>
      <w:r>
        <w:rPr>
          <w:rStyle w:val="10"/>
          <w:rFonts w:hint="eastAsia" w:ascii="微软雅黑" w:hAnsi="微软雅黑" w:eastAsia="微软雅黑" w:cs="微软雅黑"/>
          <w:color w:val="333333"/>
          <w:sz w:val="24"/>
          <w:shd w:val="clear" w:color="auto" w:fill="FFFFFF"/>
        </w:rPr>
        <w:t>年部门决算表</w:t>
      </w:r>
    </w:p>
    <w:p>
      <w:pPr>
        <w:pStyle w:val="7"/>
        <w:widowControl/>
        <w:spacing w:before="76" w:beforeAutospacing="0" w:after="76" w:afterAutospacing="0" w:line="450" w:lineRule="atLeast"/>
        <w:rPr>
          <w:rStyle w:val="10"/>
          <w:rFonts w:ascii="微软雅黑" w:hAnsi="微软雅黑" w:eastAsia="微软雅黑" w:cs="微软雅黑"/>
          <w:b w:val="0"/>
          <w:color w:val="333333"/>
          <w:shd w:val="clear" w:color="auto" w:fill="FFFFFF"/>
        </w:rPr>
      </w:pPr>
      <w:r>
        <w:rPr>
          <w:rStyle w:val="10"/>
          <w:rFonts w:ascii="微软雅黑" w:hAnsi="微软雅黑" w:eastAsia="微软雅黑" w:cs="微软雅黑"/>
          <w:b w:val="0"/>
          <w:color w:val="333333"/>
          <w:shd w:val="clear" w:color="auto" w:fill="FFFFFF"/>
        </w:rPr>
        <w:pict>
          <v:shape id="_x0000_i1025" o:spt="75" type="#_x0000_t75" style="height:342pt;width:576.75pt;" filled="f" o:preferrelative="t" stroked="f" coordsize="21600,21600">
            <v:path/>
            <v:fill on="f" focussize="0,0"/>
            <v:stroke on="f" joinstyle="miter"/>
            <v:imagedata r:id="rId10" o:title=""/>
            <o:lock v:ext="edit" aspectratio="t"/>
            <w10:wrap type="none"/>
            <w10:anchorlock/>
          </v:shape>
        </w:pict>
      </w:r>
    </w:p>
    <w:p>
      <w:pPr>
        <w:pStyle w:val="7"/>
        <w:widowControl/>
        <w:spacing w:before="76" w:beforeAutospacing="0" w:after="76" w:afterAutospacing="0" w:line="450" w:lineRule="atLeast"/>
        <w:rPr>
          <w:rStyle w:val="10"/>
          <w:rFonts w:ascii="微软雅黑" w:hAnsi="微软雅黑" w:eastAsia="微软雅黑" w:cs="微软雅黑"/>
          <w:b w:val="0"/>
          <w:color w:val="333333"/>
          <w:shd w:val="clear" w:color="auto" w:fill="FFFFFF"/>
        </w:rPr>
      </w:pPr>
    </w:p>
    <w:p>
      <w:pPr>
        <w:pStyle w:val="7"/>
        <w:widowControl/>
        <w:spacing w:before="76" w:beforeAutospacing="0" w:after="76" w:afterAutospacing="0" w:line="450" w:lineRule="atLeast"/>
        <w:rPr>
          <w:rStyle w:val="10"/>
          <w:rFonts w:ascii="微软雅黑" w:hAnsi="微软雅黑" w:eastAsia="微软雅黑" w:cs="微软雅黑"/>
          <w:b w:val="0"/>
          <w:color w:val="333333"/>
          <w:shd w:val="clear" w:color="auto" w:fill="FFFFFF"/>
        </w:rPr>
      </w:pPr>
      <w:r>
        <w:rPr>
          <w:rStyle w:val="10"/>
          <w:rFonts w:ascii="微软雅黑" w:hAnsi="微软雅黑" w:eastAsia="微软雅黑" w:cs="微软雅黑"/>
          <w:color w:val="333333"/>
          <w:shd w:val="clear" w:color="auto" w:fill="FFFFFF"/>
        </w:rPr>
        <w:pict>
          <v:shape id="_x0000_i1026" o:spt="75" type="#_x0000_t75" style="height:155.25pt;width:693pt;" filled="f" o:preferrelative="t" stroked="f" coordsize="21600,21600">
            <v:path/>
            <v:fill on="f" focussize="0,0"/>
            <v:stroke on="f" joinstyle="miter"/>
            <v:imagedata r:id="rId11" o:title=""/>
            <o:lock v:ext="edit" aspectratio="t"/>
            <w10:wrap type="none"/>
            <w10:anchorlock/>
          </v:shape>
        </w:pict>
      </w:r>
    </w:p>
    <w:p>
      <w:pPr>
        <w:pStyle w:val="7"/>
        <w:widowControl/>
        <w:spacing w:before="76" w:beforeAutospacing="0" w:after="76" w:afterAutospacing="0" w:line="450" w:lineRule="atLeast"/>
        <w:rPr>
          <w:rStyle w:val="10"/>
          <w:rFonts w:ascii="微软雅黑" w:hAnsi="微软雅黑" w:eastAsia="微软雅黑" w:cs="微软雅黑"/>
          <w:b w:val="0"/>
          <w:color w:val="333333"/>
          <w:shd w:val="clear" w:color="auto" w:fill="FFFFFF"/>
        </w:rPr>
      </w:pPr>
      <w:r>
        <w:rPr>
          <w:rStyle w:val="10"/>
          <w:rFonts w:ascii="微软雅黑" w:hAnsi="微软雅黑" w:eastAsia="微软雅黑" w:cs="微软雅黑"/>
          <w:color w:val="333333"/>
          <w:shd w:val="clear" w:color="auto" w:fill="FFFFFF"/>
        </w:rPr>
        <w:pict>
          <v:shape id="_x0000_i1027" o:spt="75" type="#_x0000_t75" style="height:171.75pt;width:690pt;" filled="f" o:preferrelative="t" stroked="f" coordsize="21600,21600">
            <v:path/>
            <v:fill on="f" focussize="0,0"/>
            <v:stroke on="f" joinstyle="miter"/>
            <v:imagedata r:id="rId12" o:title=""/>
            <o:lock v:ext="edit" aspectratio="t"/>
            <w10:wrap type="none"/>
            <w10:anchorlock/>
          </v:shape>
        </w:pict>
      </w:r>
    </w:p>
    <w:p>
      <w:pPr>
        <w:pStyle w:val="7"/>
        <w:widowControl/>
        <w:spacing w:before="76" w:beforeAutospacing="0" w:after="76" w:afterAutospacing="0" w:line="450" w:lineRule="atLeast"/>
        <w:rPr>
          <w:rStyle w:val="10"/>
          <w:rFonts w:ascii="微软雅黑" w:hAnsi="微软雅黑" w:eastAsia="微软雅黑" w:cs="微软雅黑"/>
          <w:b w:val="0"/>
          <w:color w:val="333333"/>
          <w:shd w:val="clear" w:color="auto" w:fill="FFFFFF"/>
        </w:rPr>
      </w:pPr>
      <w:r>
        <w:rPr>
          <w:rStyle w:val="10"/>
          <w:rFonts w:ascii="微软雅黑" w:hAnsi="微软雅黑" w:eastAsia="微软雅黑" w:cs="微软雅黑"/>
          <w:color w:val="333333"/>
          <w:shd w:val="clear" w:color="auto" w:fill="FFFFFF"/>
        </w:rPr>
        <w:pict>
          <v:shape id="_x0000_i1028" o:spt="75" type="#_x0000_t75" style="height:410.25pt;width:612.75pt;" filled="f" o:preferrelative="t" stroked="f" coordsize="21600,21600">
            <v:path/>
            <v:fill on="f" focussize="0,0"/>
            <v:stroke on="f" joinstyle="miter"/>
            <v:imagedata r:id="rId13" o:title=""/>
            <o:lock v:ext="edit" aspectratio="t"/>
            <w10:wrap type="none"/>
            <w10:anchorlock/>
          </v:shape>
        </w:pict>
      </w:r>
    </w:p>
    <w:p>
      <w:pPr>
        <w:pStyle w:val="7"/>
        <w:widowControl/>
        <w:spacing w:before="76" w:beforeAutospacing="0" w:after="76" w:afterAutospacing="0" w:line="450" w:lineRule="atLeast"/>
        <w:jc w:val="both"/>
        <w:rPr>
          <w:rStyle w:val="10"/>
          <w:rFonts w:ascii="微软雅黑" w:hAnsi="微软雅黑" w:eastAsia="微软雅黑" w:cs="微软雅黑"/>
          <w:color w:val="333333"/>
          <w:shd w:val="clear" w:color="auto" w:fill="FFFFFF"/>
        </w:rPr>
      </w:pPr>
      <w:r>
        <w:rPr>
          <w:rStyle w:val="10"/>
          <w:rFonts w:ascii="微软雅黑" w:hAnsi="微软雅黑" w:eastAsia="微软雅黑" w:cs="微软雅黑"/>
          <w:b w:val="0"/>
          <w:color w:val="333333"/>
          <w:shd w:val="clear" w:color="auto" w:fill="FFFFFF"/>
        </w:rPr>
        <w:pict>
          <v:shape id="_x0000_i1029" o:spt="75" type="#_x0000_t75" style="height:171.75pt;width:695.25pt;" filled="f" o:preferrelative="t" stroked="f" coordsize="21600,21600">
            <v:path/>
            <v:fill on="f" focussize="0,0"/>
            <v:stroke on="f" joinstyle="miter"/>
            <v:imagedata r:id="rId14" o:title=""/>
            <o:lock v:ext="edit" aspectratio="t"/>
            <w10:wrap type="none"/>
            <w10:anchorlock/>
          </v:shape>
        </w:pict>
      </w:r>
    </w:p>
    <w:p>
      <w:pPr>
        <w:pStyle w:val="7"/>
        <w:widowControl/>
        <w:spacing w:before="76" w:beforeAutospacing="0" w:after="76" w:afterAutospacing="0" w:line="450" w:lineRule="atLeast"/>
        <w:jc w:val="both"/>
        <w:rPr>
          <w:rStyle w:val="10"/>
          <w:rFonts w:ascii="微软雅黑" w:hAnsi="微软雅黑" w:eastAsia="微软雅黑" w:cs="微软雅黑"/>
          <w:color w:val="333333"/>
          <w:shd w:val="clear" w:color="auto" w:fill="FFFFFF"/>
        </w:rPr>
      </w:pPr>
      <w:r>
        <w:rPr>
          <w:rStyle w:val="10"/>
          <w:rFonts w:ascii="微软雅黑" w:hAnsi="微软雅黑" w:eastAsia="微软雅黑" w:cs="微软雅黑"/>
          <w:b w:val="0"/>
          <w:color w:val="333333"/>
          <w:shd w:val="clear" w:color="auto" w:fill="FFFFFF"/>
        </w:rPr>
        <w:pict>
          <v:shape id="_x0000_i1030" o:spt="75" type="#_x0000_t75" style="height:407.25pt;width:690pt;" filled="f" o:preferrelative="t" stroked="f" coordsize="21600,21600">
            <v:path/>
            <v:fill on="f" focussize="0,0"/>
            <v:stroke on="f" joinstyle="miter"/>
            <v:imagedata r:id="rId15" o:title=""/>
            <o:lock v:ext="edit" aspectratio="t"/>
            <w10:wrap type="none"/>
            <w10:anchorlock/>
          </v:shape>
        </w:pict>
      </w:r>
    </w:p>
    <w:p>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r>
        <w:rPr>
          <w:rStyle w:val="10"/>
          <w:rFonts w:ascii="微软雅黑" w:hAnsi="微软雅黑" w:eastAsia="微软雅黑" w:cs="微软雅黑"/>
          <w:b w:val="0"/>
          <w:color w:val="333333"/>
          <w:shd w:val="clear" w:color="auto" w:fill="FFFFFF"/>
        </w:rPr>
        <w:pict>
          <v:shape id="_x0000_i1031" o:spt="75" type="#_x0000_t75" style="height:138pt;width:696.75pt;" filled="f" o:preferrelative="t" stroked="f" coordsize="21600,21600">
            <v:path/>
            <v:fill on="f" focussize="0,0"/>
            <v:stroke on="f" joinstyle="miter"/>
            <v:imagedata r:id="rId16" o:title=""/>
            <o:lock v:ext="edit" aspectratio="t"/>
            <w10:wrap type="none"/>
            <w10:anchorlock/>
          </v:shape>
        </w:pict>
      </w:r>
    </w:p>
    <w:tbl>
      <w:tblPr>
        <w:tblStyle w:val="8"/>
        <w:tblW w:w="13820" w:type="dxa"/>
        <w:tblInd w:w="93" w:type="dxa"/>
        <w:tblLayout w:type="autofit"/>
        <w:tblCellMar>
          <w:top w:w="0" w:type="dxa"/>
          <w:left w:w="108" w:type="dxa"/>
          <w:bottom w:w="0" w:type="dxa"/>
          <w:right w:w="108" w:type="dxa"/>
        </w:tblCellMar>
      </w:tblPr>
      <w:tblGrid>
        <w:gridCol w:w="5276"/>
        <w:gridCol w:w="222"/>
        <w:gridCol w:w="222"/>
        <w:gridCol w:w="1016"/>
        <w:gridCol w:w="1774"/>
        <w:gridCol w:w="691"/>
        <w:gridCol w:w="633"/>
        <w:gridCol w:w="691"/>
        <w:gridCol w:w="691"/>
        <w:gridCol w:w="2604"/>
      </w:tblGrid>
      <w:tr>
        <w:tblPrEx>
          <w:tblCellMar>
            <w:top w:w="0" w:type="dxa"/>
            <w:left w:w="108" w:type="dxa"/>
            <w:bottom w:w="0" w:type="dxa"/>
            <w:right w:w="108" w:type="dxa"/>
          </w:tblCellMar>
        </w:tblPrEx>
        <w:trPr>
          <w:trHeight w:val="680" w:hRule="atLeast"/>
        </w:trPr>
        <w:tc>
          <w:tcPr>
            <w:tcW w:w="13820" w:type="dxa"/>
            <w:gridSpan w:val="10"/>
            <w:tcBorders>
              <w:top w:val="nil"/>
              <w:left w:val="nil"/>
              <w:bottom w:val="nil"/>
              <w:right w:val="nil"/>
            </w:tcBorders>
            <w:shd w:val="clear" w:color="auto" w:fill="FFFFFF"/>
            <w:noWrap/>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340" w:hRule="atLeast"/>
        </w:trPr>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公开</w:t>
            </w:r>
            <w:r>
              <w:rPr>
                <w:rFonts w:ascii="宋体" w:hAnsi="宋体" w:cs="宋体"/>
                <w:color w:val="000000"/>
                <w:kern w:val="0"/>
                <w:sz w:val="22"/>
                <w:szCs w:val="22"/>
              </w:rPr>
              <w:t>08</w:t>
            </w:r>
            <w:r>
              <w:rPr>
                <w:rFonts w:hint="eastAsia" w:ascii="宋体" w:hAnsi="宋体" w:cs="宋体"/>
                <w:color w:val="000000"/>
                <w:kern w:val="0"/>
                <w:sz w:val="22"/>
                <w:szCs w:val="22"/>
              </w:rPr>
              <w:t>表</w:t>
            </w:r>
          </w:p>
        </w:tc>
      </w:tr>
      <w:tr>
        <w:tblPrEx>
          <w:tblCellMar>
            <w:top w:w="0" w:type="dxa"/>
            <w:left w:w="108" w:type="dxa"/>
            <w:bottom w:w="0" w:type="dxa"/>
            <w:right w:w="108" w:type="dxa"/>
          </w:tblCellMar>
        </w:tblPrEx>
        <w:trPr>
          <w:trHeight w:val="340" w:hRule="atLeast"/>
        </w:trPr>
        <w:tc>
          <w:tcPr>
            <w:tcW w:w="0" w:type="auto"/>
            <w:tcBorders>
              <w:top w:val="nil"/>
              <w:left w:val="nil"/>
              <w:bottom w:val="single" w:color="000000" w:sz="4" w:space="0"/>
              <w:right w:val="nil"/>
            </w:tcBorders>
            <w:shd w:val="clear" w:color="auto" w:fill="FFFFFF"/>
            <w:noWrap/>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部门：中国人民政治协商会议黄石市黄石港区委员会</w:t>
            </w: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2021</w:t>
            </w:r>
            <w:r>
              <w:rPr>
                <w:rFonts w:hint="eastAsia" w:ascii="宋体" w:hAnsi="宋体" w:cs="宋体"/>
                <w:color w:val="000000"/>
                <w:kern w:val="0"/>
                <w:sz w:val="22"/>
                <w:szCs w:val="22"/>
              </w:rPr>
              <w:t>年度</w:t>
            </w: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35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widowControl/>
              <w:textAlignment w:val="center"/>
              <w:rPr>
                <w:rFonts w:ascii="宋体" w:cs="宋体"/>
                <w:color w:val="000000"/>
                <w:sz w:val="20"/>
                <w:szCs w:val="20"/>
              </w:rPr>
            </w:pPr>
            <w:r>
              <w:rPr>
                <w:rFonts w:hint="eastAsia" w:ascii="宋体" w:hAnsi="宋体" w:cs="宋体"/>
                <w:color w:val="000000"/>
                <w:kern w:val="0"/>
                <w:sz w:val="20"/>
                <w:szCs w:val="20"/>
              </w:rPr>
              <w:t>项目</w:t>
            </w:r>
          </w:p>
        </w:tc>
        <w:tc>
          <w:tcPr>
            <w:tcW w:w="1879"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年初结转和结余</w:t>
            </w:r>
          </w:p>
        </w:tc>
        <w:tc>
          <w:tcPr>
            <w:tcW w:w="921"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本年收入</w:t>
            </w:r>
          </w:p>
        </w:tc>
        <w:tc>
          <w:tcPr>
            <w:tcW w:w="2481" w:type="dxa"/>
            <w:gridSpan w:val="3"/>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本年支出</w:t>
            </w:r>
          </w:p>
        </w:tc>
        <w:tc>
          <w:tcPr>
            <w:tcW w:w="2604"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年末结转和结余</w:t>
            </w:r>
          </w:p>
        </w:tc>
      </w:tr>
      <w:tr>
        <w:tblPrEx>
          <w:tblCellMar>
            <w:top w:w="0" w:type="dxa"/>
            <w:left w:w="108" w:type="dxa"/>
            <w:bottom w:w="0" w:type="dxa"/>
            <w:right w:w="108" w:type="dxa"/>
          </w:tblCellMar>
        </w:tblPrEx>
        <w:trPr>
          <w:trHeight w:val="330" w:hRule="atLeast"/>
        </w:trPr>
        <w:tc>
          <w:tcPr>
            <w:tcW w:w="4463"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科目名称</w:t>
            </w:r>
          </w:p>
        </w:tc>
        <w:tc>
          <w:tcPr>
            <w:tcW w:w="1879"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921"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639"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小计</w:t>
            </w:r>
          </w:p>
        </w:tc>
        <w:tc>
          <w:tcPr>
            <w:tcW w:w="921"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基本支出</w:t>
            </w:r>
          </w:p>
        </w:tc>
        <w:tc>
          <w:tcPr>
            <w:tcW w:w="921"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项目支出</w:t>
            </w:r>
          </w:p>
        </w:tc>
        <w:tc>
          <w:tcPr>
            <w:tcW w:w="2604"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r>
      <w:tr>
        <w:tblPrEx>
          <w:tblCellMar>
            <w:top w:w="0" w:type="dxa"/>
            <w:left w:w="108" w:type="dxa"/>
            <w:bottom w:w="0" w:type="dxa"/>
            <w:right w:w="108" w:type="dxa"/>
          </w:tblCellMar>
        </w:tblPrEx>
        <w:trPr>
          <w:trHeight w:val="330" w:hRule="atLeast"/>
        </w:trPr>
        <w:tc>
          <w:tcPr>
            <w:tcW w:w="4463"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ascii="宋体" w:cs="宋体"/>
                <w:color w:val="000000"/>
                <w:sz w:val="20"/>
                <w:szCs w:val="20"/>
              </w:rPr>
            </w:pPr>
          </w:p>
        </w:tc>
        <w:tc>
          <w:tcPr>
            <w:tcW w:w="1879"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921"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639"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921"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921"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2604"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r>
      <w:tr>
        <w:tblPrEx>
          <w:tblCellMar>
            <w:top w:w="0" w:type="dxa"/>
            <w:left w:w="108" w:type="dxa"/>
            <w:bottom w:w="0" w:type="dxa"/>
            <w:right w:w="108" w:type="dxa"/>
          </w:tblCellMar>
        </w:tblPrEx>
        <w:trPr>
          <w:trHeight w:val="330" w:hRule="atLeast"/>
        </w:trPr>
        <w:tc>
          <w:tcPr>
            <w:tcW w:w="4463"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ascii="宋体" w:cs="宋体"/>
                <w:color w:val="000000"/>
                <w:sz w:val="20"/>
                <w:szCs w:val="20"/>
              </w:rPr>
            </w:pPr>
          </w:p>
        </w:tc>
        <w:tc>
          <w:tcPr>
            <w:tcW w:w="1879"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921"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639"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921"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921"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2604"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r>
      <w:tr>
        <w:tblPrEx>
          <w:tblCellMar>
            <w:top w:w="0" w:type="dxa"/>
            <w:left w:w="108" w:type="dxa"/>
            <w:bottom w:w="0" w:type="dxa"/>
            <w:right w:w="108" w:type="dxa"/>
          </w:tblCellMar>
        </w:tblPrEx>
        <w:trPr>
          <w:trHeight w:val="35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栏次</w:t>
            </w:r>
          </w:p>
        </w:tc>
        <w:tc>
          <w:tcPr>
            <w:tcW w:w="0" w:type="auto"/>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0" w:type="auto"/>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0" w:type="auto"/>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0" w:type="auto"/>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0" w:type="auto"/>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0" w:type="auto"/>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r>
      <w:tr>
        <w:tblPrEx>
          <w:tblCellMar>
            <w:top w:w="0" w:type="dxa"/>
            <w:left w:w="108" w:type="dxa"/>
            <w:bottom w:w="0" w:type="dxa"/>
            <w:right w:w="108" w:type="dxa"/>
          </w:tblCellMar>
        </w:tblPrEx>
        <w:trPr>
          <w:trHeight w:val="35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widowControl/>
              <w:textAlignment w:val="center"/>
              <w:rPr>
                <w:rFonts w:ascii="宋体" w:cs="宋体"/>
                <w:color w:val="000000"/>
                <w:sz w:val="20"/>
                <w:szCs w:val="20"/>
              </w:rPr>
            </w:pPr>
            <w:r>
              <w:rPr>
                <w:rFonts w:hint="eastAsia" w:ascii="宋体" w:hAnsi="宋体" w:cs="宋体"/>
                <w:color w:val="000000"/>
                <w:kern w:val="0"/>
                <w:sz w:val="20"/>
                <w:szCs w:val="20"/>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b/>
                <w:bCs/>
                <w:color w:val="000000"/>
                <w:sz w:val="20"/>
                <w:szCs w:val="20"/>
              </w:rPr>
            </w:pPr>
          </w:p>
        </w:tc>
      </w:tr>
      <w:tr>
        <w:tblPrEx>
          <w:tblCellMar>
            <w:top w:w="0" w:type="dxa"/>
            <w:left w:w="108" w:type="dxa"/>
            <w:bottom w:w="0" w:type="dxa"/>
            <w:right w:w="108" w:type="dxa"/>
          </w:tblCellMar>
        </w:tblPrEx>
        <w:trPr>
          <w:trHeight w:val="35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CCFFFF"/>
            <w:noWrap/>
            <w:vAlign w:val="center"/>
          </w:tcPr>
          <w:p>
            <w:pPr>
              <w:jc w:val="lef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color w:val="000000"/>
                <w:sz w:val="20"/>
                <w:szCs w:val="20"/>
              </w:rPr>
            </w:pPr>
          </w:p>
        </w:tc>
      </w:tr>
      <w:tr>
        <w:tblPrEx>
          <w:tblCellMar>
            <w:top w:w="0" w:type="dxa"/>
            <w:left w:w="108" w:type="dxa"/>
            <w:bottom w:w="0" w:type="dxa"/>
            <w:right w:w="108" w:type="dxa"/>
          </w:tblCellMar>
        </w:tblPrEx>
        <w:trPr>
          <w:trHeight w:val="350" w:hRule="atLeast"/>
        </w:trPr>
        <w:tc>
          <w:tcPr>
            <w:tcW w:w="0" w:type="auto"/>
            <w:gridSpan w:val="10"/>
            <w:tcBorders>
              <w:top w:val="nil"/>
              <w:left w:val="nil"/>
              <w:bottom w:val="nil"/>
              <w:right w:val="nil"/>
            </w:tcBorders>
            <w:shd w:val="clear" w:color="auto" w:fill="FFFFFF"/>
            <w:noWrap/>
            <w:vAlign w:val="center"/>
          </w:tcPr>
          <w:p>
            <w:pPr>
              <w:widowControl/>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注：本表反映部门本年度政府性基金预算财政拨款收入、支出及结转和结余情况。</w:t>
            </w:r>
          </w:p>
          <w:p>
            <w:pPr>
              <w:widowControl/>
              <w:ind w:firstLine="400" w:firstLineChars="200"/>
              <w:jc w:val="left"/>
              <w:textAlignment w:val="center"/>
              <w:rPr>
                <w:rFonts w:ascii="宋体" w:cs="宋体"/>
                <w:color w:val="000000"/>
                <w:sz w:val="20"/>
                <w:szCs w:val="20"/>
              </w:rPr>
            </w:pPr>
            <w:r>
              <w:rPr>
                <w:rFonts w:hint="eastAsia" w:ascii="宋体" w:hAnsi="宋体" w:cs="仿宋"/>
                <w:sz w:val="20"/>
                <w:szCs w:val="20"/>
              </w:rPr>
              <w:t>我部门无此项内容，本表无数据。</w:t>
            </w:r>
          </w:p>
        </w:tc>
      </w:tr>
    </w:tbl>
    <w:p/>
    <w:p/>
    <w:p/>
    <w:tbl>
      <w:tblPr>
        <w:tblStyle w:val="8"/>
        <w:tblW w:w="13960" w:type="dxa"/>
        <w:tblInd w:w="93" w:type="dxa"/>
        <w:tblLayout w:type="autofit"/>
        <w:tblCellMar>
          <w:top w:w="0" w:type="dxa"/>
          <w:left w:w="108" w:type="dxa"/>
          <w:bottom w:w="0" w:type="dxa"/>
          <w:right w:w="108" w:type="dxa"/>
        </w:tblCellMar>
      </w:tblPr>
      <w:tblGrid>
        <w:gridCol w:w="5276"/>
        <w:gridCol w:w="222"/>
        <w:gridCol w:w="222"/>
        <w:gridCol w:w="1151"/>
        <w:gridCol w:w="1815"/>
        <w:gridCol w:w="1665"/>
        <w:gridCol w:w="3609"/>
      </w:tblGrid>
      <w:tr>
        <w:tblPrEx>
          <w:tblCellMar>
            <w:top w:w="0" w:type="dxa"/>
            <w:left w:w="108" w:type="dxa"/>
            <w:bottom w:w="0" w:type="dxa"/>
            <w:right w:w="108" w:type="dxa"/>
          </w:tblCellMar>
        </w:tblPrEx>
        <w:trPr>
          <w:trHeight w:val="658" w:hRule="atLeast"/>
        </w:trPr>
        <w:tc>
          <w:tcPr>
            <w:tcW w:w="13960" w:type="dxa"/>
            <w:gridSpan w:val="7"/>
            <w:tcBorders>
              <w:top w:val="nil"/>
              <w:left w:val="nil"/>
              <w:bottom w:val="nil"/>
              <w:right w:val="nil"/>
            </w:tcBorders>
            <w:shd w:val="clear" w:color="auto" w:fill="FFFFFF"/>
            <w:noWrap/>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国有资本经营预算财政拨款支出决算表</w:t>
            </w:r>
          </w:p>
        </w:tc>
      </w:tr>
      <w:tr>
        <w:tblPrEx>
          <w:tblCellMar>
            <w:top w:w="0" w:type="dxa"/>
            <w:left w:w="108" w:type="dxa"/>
            <w:bottom w:w="0" w:type="dxa"/>
            <w:right w:w="108" w:type="dxa"/>
          </w:tblCellMar>
        </w:tblPrEx>
        <w:trPr>
          <w:trHeight w:val="329" w:hRule="atLeast"/>
        </w:trPr>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jc w:val="left"/>
              <w:rPr>
                <w:rFonts w:ascii="宋体" w:cs="宋体"/>
                <w:color w:val="000000"/>
                <w:sz w:val="18"/>
                <w:szCs w:val="18"/>
              </w:rPr>
            </w:pPr>
          </w:p>
        </w:tc>
        <w:tc>
          <w:tcPr>
            <w:tcW w:w="0" w:type="auto"/>
            <w:tcBorders>
              <w:top w:val="nil"/>
              <w:left w:val="nil"/>
              <w:bottom w:val="nil"/>
              <w:right w:val="nil"/>
            </w:tcBorders>
            <w:shd w:val="clear" w:color="auto" w:fill="FFFFFF"/>
            <w:noWrap/>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公开</w:t>
            </w:r>
            <w:r>
              <w:rPr>
                <w:rFonts w:ascii="宋体" w:hAnsi="宋体" w:cs="宋体"/>
                <w:color w:val="000000"/>
                <w:kern w:val="0"/>
                <w:sz w:val="22"/>
                <w:szCs w:val="22"/>
              </w:rPr>
              <w:t>09</w:t>
            </w:r>
            <w:r>
              <w:rPr>
                <w:rFonts w:hint="eastAsia" w:ascii="宋体" w:hAnsi="宋体" w:cs="宋体"/>
                <w:color w:val="000000"/>
                <w:kern w:val="0"/>
                <w:sz w:val="22"/>
                <w:szCs w:val="22"/>
              </w:rPr>
              <w:t>表</w:t>
            </w:r>
          </w:p>
        </w:tc>
      </w:tr>
      <w:tr>
        <w:tblPrEx>
          <w:tblCellMar>
            <w:top w:w="0" w:type="dxa"/>
            <w:left w:w="108" w:type="dxa"/>
            <w:bottom w:w="0" w:type="dxa"/>
            <w:right w:w="108" w:type="dxa"/>
          </w:tblCellMar>
        </w:tblPrEx>
        <w:trPr>
          <w:trHeight w:val="329" w:hRule="atLeast"/>
        </w:trPr>
        <w:tc>
          <w:tcPr>
            <w:tcW w:w="0" w:type="auto"/>
            <w:tcBorders>
              <w:top w:val="nil"/>
              <w:left w:val="nil"/>
              <w:bottom w:val="single" w:color="000000" w:sz="4" w:space="0"/>
              <w:right w:val="nil"/>
            </w:tcBorders>
            <w:shd w:val="clear" w:color="auto" w:fill="FFFFFF"/>
            <w:noWrap/>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部门：中国人民政治协商会议黄石市黄石港区委员会</w:t>
            </w: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2021</w:t>
            </w:r>
            <w:r>
              <w:rPr>
                <w:rFonts w:hint="eastAsia" w:ascii="宋体" w:hAnsi="宋体" w:cs="宋体"/>
                <w:color w:val="000000"/>
                <w:kern w:val="0"/>
                <w:sz w:val="22"/>
                <w:szCs w:val="22"/>
              </w:rPr>
              <w:t>年度</w:t>
            </w: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jc w:val="center"/>
              <w:rPr>
                <w:rFonts w:ascii="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pPr>
              <w:widowControl/>
              <w:jc w:val="right"/>
              <w:textAlignment w:val="center"/>
              <w:rPr>
                <w:rFonts w:ascii="宋体" w:cs="宋体"/>
                <w:color w:val="00000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33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widowControl/>
              <w:textAlignment w:val="center"/>
              <w:rPr>
                <w:rFonts w:ascii="宋体" w:cs="宋体"/>
                <w:color w:val="000000"/>
                <w:sz w:val="20"/>
                <w:szCs w:val="20"/>
              </w:rPr>
            </w:pPr>
            <w:r>
              <w:rPr>
                <w:rFonts w:hint="eastAsia" w:ascii="宋体" w:hAnsi="宋体" w:cs="宋体"/>
                <w:color w:val="000000"/>
                <w:kern w:val="0"/>
                <w:sz w:val="20"/>
                <w:szCs w:val="20"/>
              </w:rPr>
              <w:t>项目</w:t>
            </w:r>
          </w:p>
        </w:tc>
        <w:tc>
          <w:tcPr>
            <w:tcW w:w="7259" w:type="dxa"/>
            <w:gridSpan w:val="3"/>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本年支出</w:t>
            </w:r>
          </w:p>
        </w:tc>
      </w:tr>
      <w:tr>
        <w:tblPrEx>
          <w:tblCellMar>
            <w:top w:w="0" w:type="dxa"/>
            <w:left w:w="108" w:type="dxa"/>
            <w:bottom w:w="0" w:type="dxa"/>
            <w:right w:w="108" w:type="dxa"/>
          </w:tblCellMar>
        </w:tblPrEx>
        <w:trPr>
          <w:trHeight w:val="319" w:hRule="atLeast"/>
        </w:trPr>
        <w:tc>
          <w:tcPr>
            <w:tcW w:w="4968"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科目名称</w:t>
            </w:r>
          </w:p>
        </w:tc>
        <w:tc>
          <w:tcPr>
            <w:tcW w:w="1825"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合计</w:t>
            </w:r>
          </w:p>
        </w:tc>
        <w:tc>
          <w:tcPr>
            <w:tcW w:w="1825"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基本支出</w:t>
            </w:r>
          </w:p>
        </w:tc>
        <w:tc>
          <w:tcPr>
            <w:tcW w:w="3609"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项目支出</w:t>
            </w:r>
          </w:p>
        </w:tc>
      </w:tr>
      <w:tr>
        <w:tblPrEx>
          <w:tblCellMar>
            <w:top w:w="0" w:type="dxa"/>
            <w:left w:w="108" w:type="dxa"/>
            <w:bottom w:w="0" w:type="dxa"/>
            <w:right w:w="108" w:type="dxa"/>
          </w:tblCellMar>
        </w:tblPrEx>
        <w:trPr>
          <w:trHeight w:val="319" w:hRule="atLeast"/>
        </w:trPr>
        <w:tc>
          <w:tcPr>
            <w:tcW w:w="4968"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ascii="宋体" w:cs="宋体"/>
                <w:color w:val="000000"/>
                <w:sz w:val="20"/>
                <w:szCs w:val="20"/>
              </w:rPr>
            </w:pPr>
          </w:p>
        </w:tc>
        <w:tc>
          <w:tcPr>
            <w:tcW w:w="1825"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1825"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3609"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r>
      <w:tr>
        <w:tblPrEx>
          <w:tblCellMar>
            <w:top w:w="0" w:type="dxa"/>
            <w:left w:w="108" w:type="dxa"/>
            <w:bottom w:w="0" w:type="dxa"/>
            <w:right w:w="108" w:type="dxa"/>
          </w:tblCellMar>
        </w:tblPrEx>
        <w:trPr>
          <w:trHeight w:val="319" w:hRule="atLeast"/>
        </w:trPr>
        <w:tc>
          <w:tcPr>
            <w:tcW w:w="4968"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ascii="宋体" w:cs="宋体"/>
                <w:color w:val="000000"/>
                <w:sz w:val="20"/>
                <w:szCs w:val="20"/>
              </w:rPr>
            </w:pPr>
          </w:p>
        </w:tc>
        <w:tc>
          <w:tcPr>
            <w:tcW w:w="1825"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1825"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c>
          <w:tcPr>
            <w:tcW w:w="3609"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cs="宋体"/>
                <w:color w:val="000000"/>
                <w:sz w:val="20"/>
                <w:szCs w:val="20"/>
              </w:rPr>
            </w:pPr>
          </w:p>
        </w:tc>
      </w:tr>
      <w:tr>
        <w:tblPrEx>
          <w:tblCellMar>
            <w:top w:w="0" w:type="dxa"/>
            <w:left w:w="108" w:type="dxa"/>
            <w:bottom w:w="0" w:type="dxa"/>
            <w:right w:w="108" w:type="dxa"/>
          </w:tblCellMar>
        </w:tblPrEx>
        <w:trPr>
          <w:trHeight w:val="33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栏次</w:t>
            </w:r>
          </w:p>
        </w:tc>
        <w:tc>
          <w:tcPr>
            <w:tcW w:w="0" w:type="auto"/>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0" w:type="auto"/>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0" w:type="auto"/>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r>
      <w:tr>
        <w:tblPrEx>
          <w:tblCellMar>
            <w:top w:w="0" w:type="dxa"/>
            <w:left w:w="108" w:type="dxa"/>
            <w:bottom w:w="0" w:type="dxa"/>
            <w:right w:w="108" w:type="dxa"/>
          </w:tblCellMar>
        </w:tblPrEx>
        <w:trPr>
          <w:trHeight w:val="33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widowControl/>
              <w:textAlignment w:val="center"/>
              <w:rPr>
                <w:rFonts w:ascii="宋体" w:cs="宋体"/>
                <w:color w:val="000000"/>
                <w:sz w:val="20"/>
                <w:szCs w:val="20"/>
              </w:rPr>
            </w:pPr>
            <w:r>
              <w:rPr>
                <w:rFonts w:hint="eastAsia" w:ascii="宋体" w:hAnsi="宋体" w:cs="宋体"/>
                <w:color w:val="000000"/>
                <w:kern w:val="0"/>
                <w:sz w:val="20"/>
                <w:szCs w:val="20"/>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b/>
                <w:bCs/>
                <w:color w:val="000000"/>
                <w:sz w:val="20"/>
                <w:szCs w:val="20"/>
              </w:rPr>
            </w:pPr>
          </w:p>
        </w:tc>
      </w:tr>
      <w:tr>
        <w:tblPrEx>
          <w:tblCellMar>
            <w:top w:w="0" w:type="dxa"/>
            <w:left w:w="108" w:type="dxa"/>
            <w:bottom w:w="0" w:type="dxa"/>
            <w:right w:w="108" w:type="dxa"/>
          </w:tblCellMar>
        </w:tblPrEx>
        <w:trPr>
          <w:trHeight w:val="339"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CCFFFF"/>
            <w:noWrap/>
            <w:vAlign w:val="center"/>
          </w:tcPr>
          <w:p>
            <w:pPr>
              <w:jc w:val="lef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cs="宋体"/>
                <w:color w:val="000000"/>
                <w:sz w:val="20"/>
                <w:szCs w:val="20"/>
              </w:rPr>
            </w:pPr>
          </w:p>
        </w:tc>
      </w:tr>
      <w:tr>
        <w:tblPrEx>
          <w:tblCellMar>
            <w:top w:w="0" w:type="dxa"/>
            <w:left w:w="108" w:type="dxa"/>
            <w:bottom w:w="0" w:type="dxa"/>
            <w:right w:w="108" w:type="dxa"/>
          </w:tblCellMar>
        </w:tblPrEx>
        <w:trPr>
          <w:trHeight w:val="339" w:hRule="atLeast"/>
        </w:trPr>
        <w:tc>
          <w:tcPr>
            <w:tcW w:w="0" w:type="auto"/>
            <w:gridSpan w:val="7"/>
            <w:tcBorders>
              <w:top w:val="nil"/>
              <w:left w:val="nil"/>
              <w:bottom w:val="nil"/>
              <w:right w:val="nil"/>
            </w:tcBorders>
            <w:shd w:val="clear" w:color="auto" w:fill="FFFFFF"/>
            <w:noWrap/>
            <w:vAlign w:val="center"/>
          </w:tcPr>
          <w:p>
            <w:pPr>
              <w:widowControl/>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注：本表反映部门本年度国有资本经营预算财政拨款支出情况。</w:t>
            </w:r>
          </w:p>
          <w:p>
            <w:pPr>
              <w:widowControl/>
              <w:ind w:firstLine="400" w:firstLineChars="200"/>
              <w:jc w:val="left"/>
              <w:textAlignment w:val="center"/>
              <w:rPr>
                <w:rFonts w:ascii="宋体" w:cs="宋体"/>
                <w:color w:val="000000"/>
                <w:sz w:val="20"/>
                <w:szCs w:val="20"/>
              </w:rPr>
            </w:pPr>
            <w:r>
              <w:rPr>
                <w:rFonts w:hint="eastAsia" w:ascii="宋体" w:hAnsi="宋体" w:cs="仿宋"/>
                <w:sz w:val="20"/>
                <w:szCs w:val="20"/>
              </w:rPr>
              <w:t>我部门无此项内容，本表无数据。</w:t>
            </w:r>
          </w:p>
        </w:tc>
      </w:tr>
    </w:tbl>
    <w:p>
      <w:pPr>
        <w:pStyle w:val="7"/>
        <w:widowControl/>
        <w:spacing w:before="76" w:beforeAutospacing="0" w:after="76" w:afterAutospacing="0" w:line="450" w:lineRule="atLeast"/>
        <w:ind w:firstLine="240" w:firstLineChars="100"/>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jc w:val="both"/>
        <w:rPr>
          <w:color w:val="333333"/>
        </w:rPr>
      </w:pPr>
    </w:p>
    <w:p>
      <w:pPr>
        <w:pStyle w:val="7"/>
        <w:widowControl/>
        <w:spacing w:before="76" w:beforeAutospacing="0" w:after="76" w:afterAutospacing="0" w:line="450" w:lineRule="atLeast"/>
        <w:jc w:val="both"/>
        <w:rPr>
          <w:color w:val="333333"/>
        </w:rPr>
      </w:pPr>
    </w:p>
    <w:p>
      <w:pPr>
        <w:pStyle w:val="7"/>
        <w:widowControl/>
        <w:spacing w:before="76" w:beforeAutospacing="0" w:after="76" w:afterAutospacing="0" w:line="450" w:lineRule="atLeast"/>
        <w:jc w:val="both"/>
        <w:rPr>
          <w:color w:val="333333"/>
        </w:rPr>
      </w:pPr>
    </w:p>
    <w:p>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rPr>
          <w:color w:val="333333"/>
        </w:rPr>
      </w:pPr>
      <w:r>
        <w:rPr>
          <w:rStyle w:val="10"/>
          <w:rFonts w:hint="eastAsia" w:ascii="微软雅黑" w:hAnsi="微软雅黑" w:eastAsia="微软雅黑" w:cs="微软雅黑"/>
          <w:color w:val="333333"/>
          <w:shd w:val="clear" w:color="auto" w:fill="FFFFFF"/>
        </w:rPr>
        <w:t>第三部分</w:t>
      </w:r>
      <w:r>
        <w:rPr>
          <w:rStyle w:val="10"/>
          <w:rFonts w:ascii="微软雅黑" w:hAnsi="微软雅黑" w:eastAsia="微软雅黑" w:cs="微软雅黑"/>
          <w:color w:val="333333"/>
          <w:shd w:val="clear" w:color="auto" w:fill="FFFFFF"/>
        </w:rPr>
        <w:t xml:space="preserve"> 2021</w:t>
      </w:r>
      <w:r>
        <w:rPr>
          <w:rStyle w:val="10"/>
          <w:rFonts w:hint="eastAsia" w:ascii="微软雅黑" w:hAnsi="微软雅黑" w:eastAsia="微软雅黑" w:cs="微软雅黑"/>
          <w:color w:val="333333"/>
          <w:shd w:val="clear" w:color="auto" w:fill="FFFFFF"/>
        </w:rPr>
        <w:t>年部门决算情况说明</w:t>
      </w:r>
    </w:p>
    <w:p>
      <w:pPr>
        <w:pStyle w:val="7"/>
        <w:widowControl/>
        <w:spacing w:before="76" w:beforeAutospacing="0" w:after="76" w:afterAutospacing="0" w:line="450" w:lineRule="atLeast"/>
        <w:ind w:firstLine="420"/>
        <w:rPr>
          <w:rFonts w:ascii="宋体" w:cs="宋体"/>
          <w:b/>
          <w:bCs/>
          <w:sz w:val="28"/>
          <w:szCs w:val="28"/>
          <w:shd w:val="clear" w:color="auto" w:fill="FFFFFF"/>
          <w:lang w:val="zh-CN"/>
        </w:rPr>
      </w:pPr>
      <w:r>
        <w:rPr>
          <w:rFonts w:hint="eastAsia" w:ascii="宋体" w:hAnsi="宋体" w:cs="宋体"/>
          <w:b/>
          <w:bCs/>
          <w:sz w:val="28"/>
          <w:szCs w:val="28"/>
          <w:shd w:val="clear" w:color="auto" w:fill="FFFFFF"/>
          <w:lang w:val="zh-CN"/>
        </w:rPr>
        <w:t>（一）预算执行情况分析</w:t>
      </w:r>
    </w:p>
    <w:p>
      <w:pPr>
        <w:widowControl/>
        <w:ind w:firstLine="560" w:firstLineChars="200"/>
        <w:rPr>
          <w:rFonts w:hint="eastAsia" w:ascii="宋体" w:hAnsi="宋体" w:eastAsia="宋体"/>
          <w:sz w:val="28"/>
          <w:szCs w:val="28"/>
          <w:lang w:eastAsia="zh-CN"/>
        </w:rPr>
      </w:pPr>
      <w:r>
        <w:rPr>
          <w:rFonts w:ascii="宋体" w:hAnsi="宋体"/>
          <w:sz w:val="28"/>
          <w:szCs w:val="28"/>
        </w:rPr>
        <w:t>2021</w:t>
      </w:r>
      <w:r>
        <w:rPr>
          <w:rFonts w:hint="eastAsia" w:ascii="宋体" w:hAnsi="宋体"/>
          <w:sz w:val="28"/>
          <w:szCs w:val="28"/>
        </w:rPr>
        <w:t>年度财政收入预算数</w:t>
      </w:r>
      <w:r>
        <w:rPr>
          <w:rFonts w:ascii="宋体" w:hAnsi="宋体"/>
          <w:sz w:val="28"/>
          <w:szCs w:val="28"/>
        </w:rPr>
        <w:t>209.32</w:t>
      </w:r>
      <w:r>
        <w:rPr>
          <w:rFonts w:hint="eastAsia" w:ascii="宋体" w:hAnsi="宋体"/>
          <w:sz w:val="28"/>
          <w:szCs w:val="28"/>
        </w:rPr>
        <w:t>万元，其中人员经费</w:t>
      </w:r>
      <w:r>
        <w:rPr>
          <w:rFonts w:ascii="宋体" w:hAnsi="宋体"/>
          <w:sz w:val="28"/>
          <w:szCs w:val="28"/>
        </w:rPr>
        <w:t>149.48</w:t>
      </w:r>
      <w:r>
        <w:rPr>
          <w:rFonts w:hint="eastAsia" w:ascii="宋体" w:hAnsi="宋体"/>
          <w:sz w:val="28"/>
          <w:szCs w:val="28"/>
        </w:rPr>
        <w:t>万元，公用经费</w:t>
      </w:r>
      <w:r>
        <w:rPr>
          <w:rFonts w:ascii="宋体" w:hAnsi="宋体"/>
          <w:sz w:val="28"/>
          <w:szCs w:val="28"/>
        </w:rPr>
        <w:t>59.84</w:t>
      </w:r>
      <w:r>
        <w:rPr>
          <w:rFonts w:hint="eastAsia" w:ascii="宋体" w:hAnsi="宋体"/>
          <w:sz w:val="28"/>
          <w:szCs w:val="28"/>
        </w:rPr>
        <w:t>万元；</w:t>
      </w:r>
      <w:r>
        <w:rPr>
          <w:rFonts w:ascii="宋体" w:hAnsi="宋体"/>
          <w:sz w:val="28"/>
          <w:szCs w:val="28"/>
        </w:rPr>
        <w:t>2021</w:t>
      </w:r>
      <w:r>
        <w:rPr>
          <w:rFonts w:hint="eastAsia" w:ascii="宋体" w:hAnsi="宋体"/>
          <w:sz w:val="28"/>
          <w:szCs w:val="28"/>
        </w:rPr>
        <w:t>年度财政支出预算数</w:t>
      </w:r>
      <w:r>
        <w:rPr>
          <w:rFonts w:ascii="宋体" w:hAnsi="宋体"/>
          <w:sz w:val="28"/>
          <w:szCs w:val="28"/>
        </w:rPr>
        <w:t>209.32</w:t>
      </w:r>
      <w:r>
        <w:rPr>
          <w:rFonts w:hint="eastAsia" w:ascii="宋体" w:hAnsi="宋体"/>
          <w:sz w:val="28"/>
          <w:szCs w:val="28"/>
        </w:rPr>
        <w:t>万元，其中人员经费</w:t>
      </w:r>
      <w:r>
        <w:rPr>
          <w:rFonts w:ascii="宋体" w:hAnsi="宋体"/>
          <w:sz w:val="28"/>
          <w:szCs w:val="28"/>
        </w:rPr>
        <w:t>149.48</w:t>
      </w:r>
      <w:r>
        <w:rPr>
          <w:rFonts w:hint="eastAsia" w:ascii="宋体" w:hAnsi="宋体"/>
          <w:sz w:val="28"/>
          <w:szCs w:val="28"/>
        </w:rPr>
        <w:t>万元，公用经费</w:t>
      </w:r>
      <w:r>
        <w:rPr>
          <w:rFonts w:ascii="宋体" w:hAnsi="宋体"/>
          <w:sz w:val="28"/>
          <w:szCs w:val="28"/>
        </w:rPr>
        <w:t>59.84</w:t>
      </w:r>
      <w:r>
        <w:rPr>
          <w:rFonts w:hint="eastAsia" w:ascii="宋体" w:hAnsi="宋体"/>
          <w:sz w:val="28"/>
          <w:szCs w:val="28"/>
        </w:rPr>
        <w:t>万元。</w:t>
      </w:r>
      <w:r>
        <w:rPr>
          <w:rFonts w:ascii="宋体" w:hAnsi="宋体"/>
          <w:sz w:val="28"/>
          <w:szCs w:val="28"/>
        </w:rPr>
        <w:t>2020</w:t>
      </w:r>
      <w:r>
        <w:rPr>
          <w:rFonts w:hint="eastAsia" w:ascii="宋体" w:hAnsi="宋体"/>
          <w:sz w:val="28"/>
          <w:szCs w:val="28"/>
        </w:rPr>
        <w:t>年度财政收入预算数</w:t>
      </w:r>
      <w:r>
        <w:rPr>
          <w:rFonts w:ascii="宋体" w:hAnsi="宋体"/>
          <w:sz w:val="28"/>
          <w:szCs w:val="28"/>
        </w:rPr>
        <w:t>267.90</w:t>
      </w:r>
      <w:r>
        <w:rPr>
          <w:rFonts w:hint="eastAsia" w:ascii="宋体" w:hAnsi="宋体"/>
          <w:sz w:val="28"/>
          <w:szCs w:val="28"/>
        </w:rPr>
        <w:t>万元，其中人员经费</w:t>
      </w:r>
      <w:r>
        <w:rPr>
          <w:rFonts w:ascii="宋体" w:hAnsi="宋体"/>
          <w:sz w:val="28"/>
          <w:szCs w:val="28"/>
        </w:rPr>
        <w:t>194.71</w:t>
      </w:r>
      <w:r>
        <w:rPr>
          <w:rFonts w:hint="eastAsia" w:ascii="宋体" w:hAnsi="宋体"/>
          <w:sz w:val="28"/>
          <w:szCs w:val="28"/>
        </w:rPr>
        <w:t>万元，公用经费</w:t>
      </w:r>
      <w:r>
        <w:rPr>
          <w:rFonts w:ascii="宋体" w:hAnsi="宋体"/>
          <w:sz w:val="28"/>
          <w:szCs w:val="28"/>
        </w:rPr>
        <w:t>73.19</w:t>
      </w:r>
      <w:r>
        <w:rPr>
          <w:rFonts w:hint="eastAsia" w:ascii="宋体" w:hAnsi="宋体"/>
          <w:sz w:val="28"/>
          <w:szCs w:val="28"/>
        </w:rPr>
        <w:t>万元；</w:t>
      </w:r>
      <w:r>
        <w:rPr>
          <w:rFonts w:ascii="宋体" w:hAnsi="宋体"/>
          <w:sz w:val="28"/>
          <w:szCs w:val="28"/>
        </w:rPr>
        <w:t>2020</w:t>
      </w:r>
      <w:r>
        <w:rPr>
          <w:rFonts w:hint="eastAsia" w:ascii="宋体" w:hAnsi="宋体"/>
          <w:sz w:val="28"/>
          <w:szCs w:val="28"/>
        </w:rPr>
        <w:t>年度财政支出预算数</w:t>
      </w:r>
      <w:r>
        <w:rPr>
          <w:rFonts w:ascii="宋体" w:hAnsi="宋体"/>
          <w:sz w:val="28"/>
          <w:szCs w:val="28"/>
        </w:rPr>
        <w:t>267.90</w:t>
      </w:r>
      <w:r>
        <w:rPr>
          <w:rFonts w:hint="eastAsia" w:ascii="宋体" w:hAnsi="宋体"/>
          <w:sz w:val="28"/>
          <w:szCs w:val="28"/>
        </w:rPr>
        <w:t>万元，其中人员经费</w:t>
      </w:r>
      <w:r>
        <w:rPr>
          <w:rFonts w:ascii="宋体" w:hAnsi="宋体"/>
          <w:sz w:val="28"/>
          <w:szCs w:val="28"/>
        </w:rPr>
        <w:t>194.71</w:t>
      </w:r>
      <w:r>
        <w:rPr>
          <w:rFonts w:hint="eastAsia" w:ascii="宋体" w:hAnsi="宋体"/>
          <w:sz w:val="28"/>
          <w:szCs w:val="28"/>
        </w:rPr>
        <w:t>万元，公用经费</w:t>
      </w:r>
      <w:r>
        <w:rPr>
          <w:rFonts w:ascii="宋体" w:hAnsi="宋体"/>
          <w:sz w:val="28"/>
          <w:szCs w:val="28"/>
        </w:rPr>
        <w:t>73.19</w:t>
      </w:r>
      <w:r>
        <w:rPr>
          <w:rFonts w:hint="eastAsia" w:ascii="宋体" w:hAnsi="宋体"/>
          <w:sz w:val="28"/>
          <w:szCs w:val="28"/>
        </w:rPr>
        <w:t>万元。</w:t>
      </w:r>
      <w:r>
        <w:rPr>
          <w:rFonts w:ascii="宋体" w:hAnsi="宋体"/>
          <w:sz w:val="28"/>
          <w:szCs w:val="28"/>
        </w:rPr>
        <w:t>2021</w:t>
      </w:r>
      <w:r>
        <w:rPr>
          <w:rFonts w:hint="eastAsia" w:ascii="宋体" w:hAnsi="宋体"/>
          <w:sz w:val="28"/>
          <w:szCs w:val="28"/>
        </w:rPr>
        <w:t>年收入预算数比上年减少</w:t>
      </w:r>
      <w:r>
        <w:rPr>
          <w:rFonts w:ascii="宋体" w:hAnsi="宋体"/>
          <w:sz w:val="28"/>
          <w:szCs w:val="28"/>
        </w:rPr>
        <w:t>58.58</w:t>
      </w:r>
      <w:r>
        <w:rPr>
          <w:rFonts w:hint="eastAsia" w:ascii="宋体" w:hAnsi="宋体"/>
          <w:sz w:val="28"/>
          <w:szCs w:val="28"/>
        </w:rPr>
        <w:t>万元，</w:t>
      </w:r>
      <w:r>
        <w:rPr>
          <w:rFonts w:ascii="宋体" w:hAnsi="宋体"/>
          <w:sz w:val="28"/>
          <w:szCs w:val="28"/>
        </w:rPr>
        <w:t>2021</w:t>
      </w:r>
      <w:r>
        <w:rPr>
          <w:rFonts w:hint="eastAsia" w:ascii="宋体" w:hAnsi="宋体"/>
          <w:sz w:val="28"/>
          <w:szCs w:val="28"/>
        </w:rPr>
        <w:t>支出预算数比上年减少</w:t>
      </w:r>
      <w:r>
        <w:rPr>
          <w:rFonts w:ascii="宋体" w:hAnsi="宋体"/>
          <w:sz w:val="28"/>
          <w:szCs w:val="28"/>
        </w:rPr>
        <w:t>58.58</w:t>
      </w:r>
      <w:r>
        <w:rPr>
          <w:rFonts w:hint="eastAsia" w:ascii="宋体" w:hAnsi="宋体"/>
          <w:sz w:val="28"/>
          <w:szCs w:val="28"/>
        </w:rPr>
        <w:t>万元。</w:t>
      </w:r>
    </w:p>
    <w:p>
      <w:pPr>
        <w:widowControl/>
        <w:ind w:firstLine="560" w:firstLineChars="200"/>
        <w:rPr>
          <w:rFonts w:hint="eastAsia" w:ascii="宋体" w:hAnsi="宋体" w:eastAsia="宋体"/>
          <w:sz w:val="28"/>
          <w:szCs w:val="28"/>
          <w:lang w:eastAsia="zh-CN"/>
        </w:rPr>
      </w:pPr>
      <w:r>
        <w:rPr>
          <w:rFonts w:ascii="宋体" w:hAnsi="宋体"/>
          <w:sz w:val="28"/>
          <w:szCs w:val="28"/>
        </w:rPr>
        <w:t>1</w:t>
      </w:r>
      <w:r>
        <w:rPr>
          <w:rFonts w:hint="eastAsia" w:ascii="宋体" w:hAnsi="宋体"/>
          <w:sz w:val="28"/>
          <w:szCs w:val="28"/>
        </w:rPr>
        <w:t>、收入与预算对比分析</w:t>
      </w:r>
    </w:p>
    <w:p>
      <w:pPr>
        <w:widowControl/>
        <w:ind w:firstLine="560" w:firstLineChars="200"/>
        <w:rPr>
          <w:rFonts w:hint="eastAsia" w:ascii="宋体" w:hAnsi="宋体" w:eastAsia="宋体"/>
          <w:sz w:val="28"/>
          <w:szCs w:val="28"/>
          <w:lang w:eastAsia="zh-CN"/>
        </w:rPr>
      </w:pPr>
      <w:r>
        <w:rPr>
          <w:rFonts w:ascii="宋体" w:hAnsi="宋体"/>
          <w:sz w:val="28"/>
          <w:szCs w:val="28"/>
        </w:rPr>
        <w:t>2021</w:t>
      </w:r>
      <w:r>
        <w:rPr>
          <w:rFonts w:hint="eastAsia" w:ascii="宋体" w:hAnsi="宋体"/>
          <w:sz w:val="28"/>
          <w:szCs w:val="28"/>
        </w:rPr>
        <w:t>年全年总收入</w:t>
      </w:r>
      <w:r>
        <w:rPr>
          <w:rFonts w:ascii="宋体" w:hAnsi="宋体"/>
          <w:sz w:val="28"/>
          <w:szCs w:val="28"/>
        </w:rPr>
        <w:t>383.85</w:t>
      </w:r>
      <w:r>
        <w:rPr>
          <w:rFonts w:hint="eastAsia" w:ascii="宋体" w:hAnsi="宋体"/>
          <w:sz w:val="28"/>
          <w:szCs w:val="28"/>
        </w:rPr>
        <w:t>万元。其中财政决算收入</w:t>
      </w:r>
      <w:r>
        <w:rPr>
          <w:rFonts w:ascii="宋体" w:hAnsi="宋体"/>
          <w:sz w:val="28"/>
          <w:szCs w:val="28"/>
        </w:rPr>
        <w:t>381.85</w:t>
      </w:r>
      <w:r>
        <w:rPr>
          <w:rFonts w:hint="eastAsia" w:ascii="宋体" w:hAnsi="宋体"/>
          <w:sz w:val="28"/>
          <w:szCs w:val="28"/>
        </w:rPr>
        <w:t>万元，其他收入</w:t>
      </w:r>
      <w:r>
        <w:rPr>
          <w:rFonts w:ascii="宋体" w:hAnsi="宋体"/>
          <w:sz w:val="28"/>
          <w:szCs w:val="28"/>
        </w:rPr>
        <w:t>2.00</w:t>
      </w:r>
      <w:r>
        <w:rPr>
          <w:rFonts w:hint="eastAsia" w:ascii="宋体" w:hAnsi="宋体"/>
          <w:sz w:val="28"/>
          <w:szCs w:val="28"/>
        </w:rPr>
        <w:t>万元。</w:t>
      </w:r>
      <w:r>
        <w:rPr>
          <w:rFonts w:ascii="宋体" w:hAnsi="宋体"/>
          <w:sz w:val="28"/>
          <w:szCs w:val="28"/>
        </w:rPr>
        <w:t>2021</w:t>
      </w:r>
      <w:r>
        <w:rPr>
          <w:rFonts w:hint="eastAsia" w:ascii="宋体" w:hAnsi="宋体"/>
          <w:sz w:val="28"/>
          <w:szCs w:val="28"/>
        </w:rPr>
        <w:t>年全年决算总支出</w:t>
      </w:r>
      <w:r>
        <w:rPr>
          <w:rFonts w:ascii="宋体" w:hAnsi="宋体"/>
          <w:sz w:val="28"/>
          <w:szCs w:val="28"/>
        </w:rPr>
        <w:t>383.85</w:t>
      </w:r>
      <w:r>
        <w:rPr>
          <w:rFonts w:hint="eastAsia" w:ascii="宋体" w:hAnsi="宋体"/>
          <w:sz w:val="28"/>
          <w:szCs w:val="28"/>
        </w:rPr>
        <w:t>万元，其中财政决算支出</w:t>
      </w:r>
      <w:r>
        <w:rPr>
          <w:rFonts w:ascii="宋体" w:hAnsi="宋体"/>
          <w:sz w:val="28"/>
          <w:szCs w:val="28"/>
        </w:rPr>
        <w:t>381.85</w:t>
      </w:r>
      <w:r>
        <w:rPr>
          <w:rFonts w:hint="eastAsia" w:ascii="宋体" w:hAnsi="宋体"/>
          <w:sz w:val="28"/>
          <w:szCs w:val="28"/>
        </w:rPr>
        <w:t>万元，其他资金支出</w:t>
      </w:r>
      <w:r>
        <w:rPr>
          <w:rFonts w:ascii="宋体" w:hAnsi="宋体"/>
          <w:sz w:val="28"/>
          <w:szCs w:val="28"/>
        </w:rPr>
        <w:t>2.00</w:t>
      </w:r>
      <w:r>
        <w:rPr>
          <w:rFonts w:hint="eastAsia" w:ascii="宋体" w:hAnsi="宋体"/>
          <w:sz w:val="28"/>
          <w:szCs w:val="28"/>
        </w:rPr>
        <w:t>万元。</w:t>
      </w:r>
      <w:r>
        <w:rPr>
          <w:rFonts w:ascii="宋体" w:hAnsi="宋体"/>
          <w:sz w:val="28"/>
          <w:szCs w:val="28"/>
        </w:rPr>
        <w:t>2021</w:t>
      </w:r>
      <w:r>
        <w:rPr>
          <w:rFonts w:hint="eastAsia" w:ascii="宋体" w:hAnsi="宋体"/>
          <w:sz w:val="28"/>
          <w:szCs w:val="28"/>
        </w:rPr>
        <w:t>年度财政收入预算数</w:t>
      </w:r>
      <w:r>
        <w:rPr>
          <w:rFonts w:ascii="宋体" w:hAnsi="宋体"/>
          <w:sz w:val="28"/>
          <w:szCs w:val="28"/>
        </w:rPr>
        <w:t>209.32</w:t>
      </w:r>
      <w:r>
        <w:rPr>
          <w:rFonts w:hint="eastAsia" w:ascii="宋体" w:hAnsi="宋体"/>
          <w:sz w:val="28"/>
          <w:szCs w:val="28"/>
        </w:rPr>
        <w:t>万元，财拔决算比预算多</w:t>
      </w:r>
      <w:r>
        <w:rPr>
          <w:rFonts w:ascii="宋体" w:hAnsi="宋体"/>
          <w:sz w:val="28"/>
          <w:szCs w:val="28"/>
        </w:rPr>
        <w:t>172.53</w:t>
      </w:r>
      <w:r>
        <w:rPr>
          <w:rFonts w:hint="eastAsia" w:ascii="宋体" w:hAnsi="宋体"/>
          <w:sz w:val="28"/>
          <w:szCs w:val="28"/>
        </w:rPr>
        <w:t>万元，增幅</w:t>
      </w:r>
      <w:r>
        <w:rPr>
          <w:rFonts w:ascii="宋体" w:hAnsi="宋体"/>
          <w:sz w:val="28"/>
          <w:szCs w:val="28"/>
        </w:rPr>
        <w:t>82.42%</w:t>
      </w:r>
      <w:r>
        <w:rPr>
          <w:rFonts w:hint="eastAsia" w:ascii="宋体" w:hAnsi="宋体"/>
          <w:sz w:val="28"/>
          <w:szCs w:val="28"/>
        </w:rPr>
        <w:t>，主要原因为本年度本部门相关人员支出增加。</w:t>
      </w:r>
    </w:p>
    <w:p>
      <w:pPr>
        <w:widowControl/>
        <w:ind w:firstLine="560" w:firstLineChars="200"/>
        <w:rPr>
          <w:rFonts w:hint="eastAsia" w:ascii="宋体" w:hAnsi="宋体" w:eastAsia="宋体"/>
          <w:sz w:val="28"/>
          <w:szCs w:val="28"/>
          <w:lang w:eastAsia="zh-CN"/>
        </w:rPr>
      </w:pPr>
      <w:r>
        <w:rPr>
          <w:rFonts w:ascii="宋体" w:hAnsi="宋体"/>
          <w:sz w:val="28"/>
          <w:szCs w:val="28"/>
        </w:rPr>
        <w:t>2</w:t>
      </w:r>
      <w:r>
        <w:rPr>
          <w:rFonts w:hint="eastAsia" w:ascii="宋体" w:hAnsi="宋体"/>
          <w:sz w:val="28"/>
          <w:szCs w:val="28"/>
        </w:rPr>
        <w:t>、收入支出结构分析</w:t>
      </w:r>
    </w:p>
    <w:p>
      <w:pPr>
        <w:widowControl/>
        <w:ind w:firstLine="560" w:firstLineChars="200"/>
        <w:rPr>
          <w:rFonts w:hint="eastAsia" w:ascii="宋体" w:hAnsi="宋体" w:eastAsia="宋体"/>
          <w:sz w:val="28"/>
          <w:szCs w:val="28"/>
          <w:lang w:eastAsia="zh-CN"/>
        </w:rPr>
      </w:pPr>
      <w:r>
        <w:rPr>
          <w:rFonts w:ascii="宋体" w:hAnsi="宋体"/>
          <w:sz w:val="28"/>
          <w:szCs w:val="28"/>
        </w:rPr>
        <w:t>2021</w:t>
      </w:r>
      <w:r>
        <w:rPr>
          <w:rFonts w:hint="eastAsia" w:ascii="宋体" w:hAnsi="宋体"/>
          <w:sz w:val="28"/>
          <w:szCs w:val="28"/>
        </w:rPr>
        <w:t>年全年总收入</w:t>
      </w:r>
      <w:r>
        <w:rPr>
          <w:rFonts w:ascii="宋体" w:hAnsi="宋体"/>
          <w:sz w:val="28"/>
          <w:szCs w:val="28"/>
        </w:rPr>
        <w:t>383.85</w:t>
      </w:r>
      <w:r>
        <w:rPr>
          <w:rFonts w:hint="eastAsia" w:ascii="宋体" w:hAnsi="宋体"/>
          <w:sz w:val="28"/>
          <w:szCs w:val="28"/>
        </w:rPr>
        <w:t>万元。其中财政决算收入</w:t>
      </w:r>
      <w:r>
        <w:rPr>
          <w:rFonts w:ascii="宋体" w:hAnsi="宋体"/>
          <w:sz w:val="28"/>
          <w:szCs w:val="28"/>
        </w:rPr>
        <w:t>381.85</w:t>
      </w:r>
      <w:r>
        <w:rPr>
          <w:rFonts w:hint="eastAsia" w:ascii="宋体" w:hAnsi="宋体"/>
          <w:sz w:val="28"/>
          <w:szCs w:val="28"/>
        </w:rPr>
        <w:t>万元，其他收入</w:t>
      </w:r>
      <w:r>
        <w:rPr>
          <w:rFonts w:ascii="宋体" w:hAnsi="宋体"/>
          <w:sz w:val="28"/>
          <w:szCs w:val="28"/>
        </w:rPr>
        <w:t>2.00</w:t>
      </w:r>
      <w:r>
        <w:rPr>
          <w:rFonts w:hint="eastAsia" w:ascii="宋体" w:hAnsi="宋体"/>
          <w:sz w:val="28"/>
          <w:szCs w:val="28"/>
        </w:rPr>
        <w:t>万元；</w:t>
      </w:r>
      <w:r>
        <w:rPr>
          <w:rFonts w:ascii="宋体" w:hAnsi="宋体"/>
          <w:sz w:val="28"/>
          <w:szCs w:val="28"/>
        </w:rPr>
        <w:t>2021</w:t>
      </w:r>
      <w:r>
        <w:rPr>
          <w:rFonts w:hint="eastAsia" w:ascii="宋体" w:hAnsi="宋体"/>
          <w:sz w:val="28"/>
          <w:szCs w:val="28"/>
        </w:rPr>
        <w:t>年全年决算总支出</w:t>
      </w:r>
      <w:r>
        <w:rPr>
          <w:rFonts w:ascii="宋体" w:hAnsi="宋体"/>
          <w:sz w:val="28"/>
          <w:szCs w:val="28"/>
        </w:rPr>
        <w:t>383.85</w:t>
      </w:r>
      <w:r>
        <w:rPr>
          <w:rFonts w:hint="eastAsia" w:ascii="宋体" w:hAnsi="宋体"/>
          <w:sz w:val="28"/>
          <w:szCs w:val="28"/>
        </w:rPr>
        <w:t>万元，其中财政决算支出</w:t>
      </w:r>
      <w:r>
        <w:rPr>
          <w:rFonts w:ascii="宋体" w:hAnsi="宋体"/>
          <w:sz w:val="28"/>
          <w:szCs w:val="28"/>
        </w:rPr>
        <w:t>381.85</w:t>
      </w:r>
      <w:r>
        <w:rPr>
          <w:rFonts w:hint="eastAsia" w:ascii="宋体" w:hAnsi="宋体"/>
          <w:sz w:val="28"/>
          <w:szCs w:val="28"/>
        </w:rPr>
        <w:t>万元。</w:t>
      </w:r>
      <w:r>
        <w:rPr>
          <w:rFonts w:hint="eastAsia" w:ascii="宋体" w:hAnsi="宋体" w:cs="宋体"/>
          <w:color w:val="333333"/>
          <w:sz w:val="28"/>
          <w:szCs w:val="28"/>
        </w:rPr>
        <w:t>比去年的</w:t>
      </w:r>
      <w:r>
        <w:rPr>
          <w:rFonts w:ascii="宋体" w:hAnsi="宋体" w:cs="宋体"/>
          <w:color w:val="333333"/>
          <w:sz w:val="28"/>
          <w:szCs w:val="28"/>
        </w:rPr>
        <w:t>375.82</w:t>
      </w:r>
      <w:r>
        <w:rPr>
          <w:rFonts w:hint="eastAsia" w:ascii="宋体" w:hAnsi="宋体" w:cs="宋体"/>
          <w:color w:val="333333"/>
          <w:sz w:val="28"/>
          <w:szCs w:val="28"/>
        </w:rPr>
        <w:t>万元增加</w:t>
      </w:r>
      <w:r>
        <w:rPr>
          <w:rFonts w:ascii="宋体" w:hAnsi="宋体" w:cs="宋体"/>
          <w:color w:val="333333"/>
          <w:sz w:val="28"/>
          <w:szCs w:val="28"/>
        </w:rPr>
        <w:t>6.03</w:t>
      </w:r>
      <w:r>
        <w:rPr>
          <w:rFonts w:hint="eastAsia" w:ascii="宋体" w:hAnsi="宋体" w:cs="宋体"/>
          <w:color w:val="333333"/>
          <w:sz w:val="28"/>
          <w:szCs w:val="28"/>
        </w:rPr>
        <w:t>万元，增幅</w:t>
      </w:r>
      <w:r>
        <w:rPr>
          <w:rFonts w:ascii="宋体" w:hAnsi="宋体" w:cs="宋体"/>
          <w:color w:val="333333"/>
          <w:sz w:val="28"/>
          <w:szCs w:val="28"/>
        </w:rPr>
        <w:t>1.60%</w:t>
      </w:r>
      <w:r>
        <w:rPr>
          <w:rFonts w:hint="eastAsia" w:ascii="宋体" w:hAnsi="宋体" w:cs="宋体"/>
          <w:color w:val="333333"/>
          <w:sz w:val="28"/>
          <w:szCs w:val="28"/>
        </w:rPr>
        <w:t>，其主要原因为本年召开区政协八届五次会议所致</w:t>
      </w:r>
      <w:r>
        <w:rPr>
          <w:rFonts w:hint="eastAsia" w:ascii="宋体" w:hAnsi="宋体" w:cs="仿宋_GB2312"/>
          <w:color w:val="000000"/>
          <w:sz w:val="28"/>
          <w:szCs w:val="28"/>
        </w:rPr>
        <w:t>。</w:t>
      </w:r>
      <w:r>
        <w:rPr>
          <w:rFonts w:hint="eastAsia" w:ascii="宋体" w:hAnsi="宋体" w:cs="宋体"/>
          <w:color w:val="333333"/>
          <w:sz w:val="28"/>
          <w:szCs w:val="28"/>
        </w:rPr>
        <w:t>与年初预算数</w:t>
      </w:r>
      <w:r>
        <w:rPr>
          <w:rFonts w:ascii="宋体" w:hAnsi="宋体" w:cs="宋体"/>
          <w:color w:val="333333"/>
          <w:sz w:val="28"/>
          <w:szCs w:val="28"/>
        </w:rPr>
        <w:t>209.32</w:t>
      </w:r>
      <w:r>
        <w:rPr>
          <w:rFonts w:hint="eastAsia" w:ascii="宋体" w:hAnsi="宋体" w:cs="宋体"/>
          <w:color w:val="333333"/>
          <w:sz w:val="28"/>
          <w:szCs w:val="28"/>
        </w:rPr>
        <w:t>万元对比增加</w:t>
      </w:r>
      <w:r>
        <w:rPr>
          <w:rFonts w:ascii="宋体" w:hAnsi="宋体" w:cs="宋体"/>
          <w:color w:val="333333"/>
          <w:sz w:val="28"/>
          <w:szCs w:val="28"/>
        </w:rPr>
        <w:t>172.53</w:t>
      </w:r>
      <w:r>
        <w:rPr>
          <w:rFonts w:hint="eastAsia" w:ascii="宋体" w:hAnsi="宋体" w:cs="宋体"/>
          <w:color w:val="333333"/>
          <w:sz w:val="28"/>
          <w:szCs w:val="28"/>
        </w:rPr>
        <w:t>万元，增幅</w:t>
      </w:r>
      <w:r>
        <w:rPr>
          <w:rFonts w:ascii="宋体" w:hAnsi="宋体" w:cs="宋体"/>
          <w:color w:val="333333"/>
          <w:sz w:val="28"/>
          <w:szCs w:val="28"/>
        </w:rPr>
        <w:t>82.42%</w:t>
      </w:r>
      <w:r>
        <w:rPr>
          <w:rFonts w:hint="eastAsia" w:ascii="宋体" w:hAnsi="宋体" w:cs="宋体"/>
          <w:color w:val="333333"/>
          <w:sz w:val="28"/>
          <w:szCs w:val="28"/>
        </w:rPr>
        <w:t>，其主要原因为本年召开区政协八届五次会议所致。</w:t>
      </w:r>
      <w:r>
        <w:rPr>
          <w:rFonts w:hint="eastAsia" w:ascii="宋体" w:hAnsi="宋体"/>
          <w:sz w:val="28"/>
          <w:szCs w:val="28"/>
        </w:rPr>
        <w:t>按以下分类说明</w:t>
      </w:r>
    </w:p>
    <w:p>
      <w:pPr>
        <w:widowControl/>
        <w:ind w:firstLine="560" w:firstLineChars="200"/>
        <w:rPr>
          <w:rFonts w:hint="eastAsia" w:ascii="宋体" w:hAnsi="宋体" w:eastAsia="宋体"/>
          <w:sz w:val="28"/>
          <w:szCs w:val="28"/>
          <w:lang w:eastAsia="zh-CN"/>
        </w:rPr>
      </w:pPr>
      <w:r>
        <w:rPr>
          <w:rFonts w:hint="eastAsia" w:ascii="宋体" w:hAnsi="宋体" w:cs="宋体"/>
          <w:sz w:val="28"/>
          <w:szCs w:val="28"/>
        </w:rPr>
        <w:t>①</w:t>
      </w:r>
      <w:r>
        <w:rPr>
          <w:rFonts w:hint="eastAsia" w:ascii="宋体" w:hAnsi="宋体"/>
          <w:sz w:val="28"/>
          <w:szCs w:val="28"/>
        </w:rPr>
        <w:t>支出功能分类：</w:t>
      </w:r>
      <w:r>
        <w:rPr>
          <w:rFonts w:ascii="宋体" w:hAnsi="宋体"/>
          <w:sz w:val="28"/>
          <w:szCs w:val="28"/>
        </w:rPr>
        <w:t>381.85</w:t>
      </w:r>
      <w:r>
        <w:rPr>
          <w:rFonts w:hint="eastAsia" w:ascii="宋体" w:hAnsi="宋体"/>
          <w:sz w:val="28"/>
          <w:szCs w:val="28"/>
        </w:rPr>
        <w:t>万元。</w:t>
      </w:r>
    </w:p>
    <w:p>
      <w:pPr>
        <w:widowControl/>
        <w:ind w:firstLine="560" w:firstLineChars="200"/>
        <w:rPr>
          <w:rFonts w:hint="eastAsia" w:ascii="宋体" w:hAnsi="宋体" w:eastAsia="宋体"/>
          <w:sz w:val="28"/>
          <w:szCs w:val="28"/>
          <w:lang w:eastAsia="zh-CN"/>
        </w:rPr>
      </w:pPr>
      <w:r>
        <w:rPr>
          <w:rFonts w:hint="eastAsia" w:ascii="宋体" w:hAnsi="宋体" w:cs="宋体"/>
          <w:sz w:val="28"/>
          <w:szCs w:val="28"/>
        </w:rPr>
        <w:t>②</w:t>
      </w:r>
      <w:r>
        <w:rPr>
          <w:rFonts w:hint="eastAsia" w:ascii="宋体" w:hAnsi="宋体"/>
          <w:sz w:val="28"/>
          <w:szCs w:val="28"/>
        </w:rPr>
        <w:t>支出性质分类：</w:t>
      </w:r>
      <w:r>
        <w:rPr>
          <w:rFonts w:ascii="宋体" w:hAnsi="宋体"/>
          <w:sz w:val="28"/>
          <w:szCs w:val="28"/>
        </w:rPr>
        <w:t>381.85</w:t>
      </w:r>
      <w:r>
        <w:rPr>
          <w:rFonts w:hint="eastAsia" w:ascii="宋体" w:hAnsi="宋体"/>
          <w:sz w:val="28"/>
          <w:szCs w:val="28"/>
        </w:rPr>
        <w:t>万元，其中人员经费</w:t>
      </w:r>
      <w:r>
        <w:rPr>
          <w:rFonts w:ascii="宋体" w:hAnsi="宋体"/>
          <w:sz w:val="28"/>
          <w:szCs w:val="28"/>
        </w:rPr>
        <w:t>316.34</w:t>
      </w:r>
      <w:r>
        <w:rPr>
          <w:rFonts w:hint="eastAsia" w:ascii="宋体" w:hAnsi="宋体"/>
          <w:sz w:val="28"/>
          <w:szCs w:val="28"/>
        </w:rPr>
        <w:t>万元；公用经费</w:t>
      </w:r>
      <w:r>
        <w:rPr>
          <w:rFonts w:ascii="宋体" w:hAnsi="宋体"/>
          <w:sz w:val="28"/>
          <w:szCs w:val="28"/>
        </w:rPr>
        <w:t>65.51</w:t>
      </w:r>
      <w:r>
        <w:rPr>
          <w:rFonts w:hint="eastAsia" w:ascii="宋体" w:hAnsi="宋体"/>
          <w:sz w:val="28"/>
          <w:szCs w:val="28"/>
        </w:rPr>
        <w:t>万元。</w:t>
      </w:r>
    </w:p>
    <w:p>
      <w:pPr>
        <w:widowControl/>
        <w:ind w:firstLine="560" w:firstLineChars="200"/>
        <w:rPr>
          <w:rFonts w:ascii="宋体"/>
          <w:spacing w:val="2"/>
          <w:sz w:val="28"/>
          <w:szCs w:val="28"/>
        </w:rPr>
      </w:pPr>
      <w:r>
        <w:rPr>
          <w:rFonts w:hint="eastAsia" w:ascii="宋体" w:hAnsi="宋体" w:cs="宋体"/>
          <w:sz w:val="28"/>
          <w:szCs w:val="28"/>
        </w:rPr>
        <w:t>③</w:t>
      </w:r>
      <w:r>
        <w:rPr>
          <w:rFonts w:hint="eastAsia" w:ascii="宋体" w:hAnsi="宋体"/>
          <w:sz w:val="28"/>
          <w:szCs w:val="28"/>
        </w:rPr>
        <w:t>支出经济分类：</w:t>
      </w:r>
      <w:r>
        <w:rPr>
          <w:rFonts w:ascii="宋体" w:hAnsi="宋体"/>
          <w:sz w:val="28"/>
          <w:szCs w:val="28"/>
        </w:rPr>
        <w:t>381.85</w:t>
      </w:r>
      <w:r>
        <w:rPr>
          <w:rFonts w:hint="eastAsia" w:ascii="宋体" w:hAnsi="宋体"/>
          <w:sz w:val="28"/>
          <w:szCs w:val="28"/>
        </w:rPr>
        <w:t>万元。</w:t>
      </w:r>
      <w:r>
        <w:rPr>
          <w:rFonts w:hint="eastAsia" w:ascii="宋体" w:hAnsi="宋体" w:cs="宋体"/>
          <w:color w:val="333333"/>
          <w:sz w:val="28"/>
          <w:szCs w:val="28"/>
        </w:rPr>
        <w:t>具体构成如下：</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w:t>
      </w:r>
      <w:r>
        <w:rPr>
          <w:rFonts w:ascii="宋体" w:hAnsi="宋体" w:cs="宋体"/>
          <w:color w:val="333333"/>
          <w:sz w:val="28"/>
          <w:szCs w:val="28"/>
        </w:rPr>
        <w:t>1</w:t>
      </w:r>
      <w:r>
        <w:rPr>
          <w:rFonts w:hint="eastAsia" w:ascii="宋体" w:hAnsi="宋体" w:cs="宋体"/>
          <w:color w:val="333333"/>
          <w:sz w:val="28"/>
          <w:szCs w:val="28"/>
        </w:rPr>
        <w:t>）工资福利支出</w:t>
      </w:r>
      <w:r>
        <w:rPr>
          <w:rFonts w:ascii="宋体" w:hAnsi="宋体" w:cs="宋体"/>
          <w:color w:val="333333"/>
          <w:sz w:val="28"/>
          <w:szCs w:val="28"/>
        </w:rPr>
        <w:t>316.34</w:t>
      </w:r>
      <w:r>
        <w:rPr>
          <w:rFonts w:hint="eastAsia" w:ascii="宋体" w:hAnsi="宋体" w:cs="宋体"/>
          <w:color w:val="333333"/>
          <w:sz w:val="28"/>
          <w:szCs w:val="28"/>
        </w:rPr>
        <w:t>万元。占比</w:t>
      </w:r>
      <w:r>
        <w:rPr>
          <w:rFonts w:ascii="宋体" w:hAnsi="宋体" w:cs="宋体"/>
          <w:color w:val="333333"/>
          <w:sz w:val="28"/>
          <w:szCs w:val="28"/>
        </w:rPr>
        <w:t>82.85%</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w:t>
      </w:r>
      <w:r>
        <w:rPr>
          <w:rFonts w:ascii="宋体" w:hAnsi="宋体" w:cs="宋体"/>
          <w:color w:val="333333"/>
          <w:sz w:val="28"/>
          <w:szCs w:val="28"/>
        </w:rPr>
        <w:t>2</w:t>
      </w:r>
      <w:r>
        <w:rPr>
          <w:rFonts w:hint="eastAsia" w:ascii="宋体" w:hAnsi="宋体" w:cs="宋体"/>
          <w:color w:val="333333"/>
          <w:sz w:val="28"/>
          <w:szCs w:val="28"/>
        </w:rPr>
        <w:t>）商品和服务支出</w:t>
      </w:r>
      <w:r>
        <w:rPr>
          <w:rFonts w:ascii="宋体" w:hAnsi="宋体" w:cs="宋体"/>
          <w:color w:val="333333"/>
          <w:sz w:val="28"/>
          <w:szCs w:val="28"/>
        </w:rPr>
        <w:t>61.72</w:t>
      </w:r>
      <w:r>
        <w:rPr>
          <w:rFonts w:hint="eastAsia" w:ascii="宋体" w:hAnsi="宋体" w:cs="宋体"/>
          <w:color w:val="333333"/>
          <w:sz w:val="28"/>
          <w:szCs w:val="28"/>
        </w:rPr>
        <w:t>万元。占比</w:t>
      </w:r>
      <w:r>
        <w:rPr>
          <w:rFonts w:ascii="宋体" w:hAnsi="宋体" w:cs="宋体"/>
          <w:color w:val="333333"/>
          <w:sz w:val="28"/>
          <w:szCs w:val="28"/>
        </w:rPr>
        <w:t>16.16%</w:t>
      </w:r>
    </w:p>
    <w:p>
      <w:pPr>
        <w:shd w:val="clear" w:color="auto" w:fill="FFFFFF"/>
        <w:snapToGrid w:val="0"/>
        <w:spacing w:line="560" w:lineRule="atLeast"/>
        <w:ind w:firstLine="560" w:firstLineChars="200"/>
        <w:rPr>
          <w:rFonts w:ascii="宋体" w:cs="宋体"/>
          <w:color w:val="333333"/>
          <w:sz w:val="28"/>
          <w:szCs w:val="28"/>
        </w:rPr>
      </w:pPr>
      <w:r>
        <w:rPr>
          <w:rFonts w:hint="eastAsia" w:ascii="宋体" w:hAnsi="宋体" w:cs="宋体"/>
          <w:color w:val="333333"/>
          <w:sz w:val="28"/>
          <w:szCs w:val="28"/>
        </w:rPr>
        <w:t>（</w:t>
      </w:r>
      <w:r>
        <w:rPr>
          <w:rFonts w:ascii="宋体" w:hAnsi="宋体" w:cs="宋体"/>
          <w:color w:val="333333"/>
          <w:sz w:val="28"/>
          <w:szCs w:val="28"/>
        </w:rPr>
        <w:t>3</w:t>
      </w:r>
      <w:r>
        <w:rPr>
          <w:rFonts w:hint="eastAsia" w:ascii="宋体" w:hAnsi="宋体" w:cs="宋体"/>
          <w:color w:val="333333"/>
          <w:sz w:val="28"/>
          <w:szCs w:val="28"/>
        </w:rPr>
        <w:t>）资本性支出</w:t>
      </w:r>
      <w:r>
        <w:rPr>
          <w:rFonts w:ascii="宋体" w:hAnsi="宋体" w:cs="宋体"/>
          <w:color w:val="333333"/>
          <w:sz w:val="28"/>
          <w:szCs w:val="28"/>
        </w:rPr>
        <w:t>3.79</w:t>
      </w:r>
      <w:r>
        <w:rPr>
          <w:rFonts w:hint="eastAsia" w:ascii="宋体" w:hAnsi="宋体" w:cs="宋体"/>
          <w:color w:val="333333"/>
          <w:sz w:val="28"/>
          <w:szCs w:val="28"/>
        </w:rPr>
        <w:t>万元。</w:t>
      </w:r>
      <w:r>
        <w:rPr>
          <w:rFonts w:ascii="宋体" w:hAnsi="宋体" w:cs="宋体"/>
          <w:color w:val="333333"/>
          <w:sz w:val="28"/>
          <w:szCs w:val="28"/>
        </w:rPr>
        <w:t xml:space="preserve">     </w:t>
      </w:r>
      <w:r>
        <w:rPr>
          <w:rFonts w:hint="eastAsia" w:ascii="宋体" w:hAnsi="宋体" w:cs="宋体"/>
          <w:color w:val="333333"/>
          <w:sz w:val="28"/>
          <w:szCs w:val="28"/>
        </w:rPr>
        <w:t>占比</w:t>
      </w:r>
      <w:r>
        <w:rPr>
          <w:rFonts w:ascii="宋体" w:hAnsi="宋体" w:cs="宋体"/>
          <w:color w:val="333333"/>
          <w:sz w:val="28"/>
          <w:szCs w:val="28"/>
        </w:rPr>
        <w:t>0.99%</w:t>
      </w:r>
    </w:p>
    <w:p>
      <w:pPr>
        <w:shd w:val="clear" w:color="auto" w:fill="FFFFFF"/>
        <w:snapToGrid w:val="0"/>
        <w:spacing w:line="560" w:lineRule="atLeast"/>
        <w:ind w:firstLine="560" w:firstLineChars="200"/>
        <w:rPr>
          <w:rFonts w:ascii="宋体" w:cs="宋体"/>
          <w:color w:val="333333"/>
          <w:sz w:val="28"/>
          <w:szCs w:val="28"/>
        </w:rPr>
      </w:pPr>
    </w:p>
    <w:p>
      <w:pPr>
        <w:pStyle w:val="7"/>
        <w:widowControl/>
        <w:tabs>
          <w:tab w:val="left" w:pos="7920"/>
        </w:tabs>
        <w:spacing w:before="76" w:beforeAutospacing="0" w:after="76" w:afterAutospacing="0" w:line="450" w:lineRule="atLeast"/>
        <w:ind w:firstLine="422" w:firstLineChars="150"/>
        <w:rPr>
          <w:rFonts w:ascii="宋体" w:cs="宋体"/>
          <w:b/>
          <w:bCs/>
          <w:sz w:val="28"/>
          <w:szCs w:val="28"/>
          <w:shd w:val="clear" w:color="auto" w:fill="FFFFFF"/>
          <w:lang w:val="zh-CN"/>
        </w:rPr>
      </w:pPr>
      <w:r>
        <w:rPr>
          <w:rFonts w:hint="eastAsia" w:ascii="宋体" w:hAnsi="宋体" w:cs="宋体"/>
          <w:b/>
          <w:bCs/>
          <w:sz w:val="28"/>
          <w:szCs w:val="28"/>
          <w:shd w:val="clear" w:color="auto" w:fill="FFFFFF"/>
          <w:lang w:val="zh-CN"/>
        </w:rPr>
        <w:t>（二）关于“三公”经费支出说明</w:t>
      </w:r>
    </w:p>
    <w:p>
      <w:pPr>
        <w:ind w:firstLine="709"/>
        <w:rPr>
          <w:rFonts w:hint="eastAsia" w:ascii="宋体" w:hAnsi="宋体" w:eastAsia="宋体"/>
          <w:sz w:val="28"/>
          <w:szCs w:val="28"/>
          <w:lang w:eastAsia="zh-CN"/>
        </w:rPr>
      </w:pPr>
      <w:r>
        <w:rPr>
          <w:rFonts w:ascii="宋体" w:hAnsi="宋体"/>
          <w:sz w:val="28"/>
          <w:szCs w:val="28"/>
        </w:rPr>
        <w:t>2021</w:t>
      </w:r>
      <w:r>
        <w:rPr>
          <w:rFonts w:hint="eastAsia" w:ascii="宋体" w:hAnsi="宋体"/>
          <w:sz w:val="28"/>
          <w:szCs w:val="28"/>
        </w:rPr>
        <w:t>年</w:t>
      </w:r>
      <w:r>
        <w:rPr>
          <w:rFonts w:hint="eastAsia" w:ascii="宋体"/>
          <w:sz w:val="28"/>
          <w:szCs w:val="28"/>
        </w:rPr>
        <w:t>“</w:t>
      </w:r>
      <w:r>
        <w:rPr>
          <w:rFonts w:hint="eastAsia" w:ascii="宋体" w:hAnsi="宋体"/>
          <w:sz w:val="28"/>
          <w:szCs w:val="28"/>
        </w:rPr>
        <w:t>三公</w:t>
      </w:r>
      <w:r>
        <w:rPr>
          <w:rFonts w:hint="eastAsia" w:ascii="宋体"/>
          <w:sz w:val="28"/>
          <w:szCs w:val="28"/>
        </w:rPr>
        <w:t>”</w:t>
      </w:r>
      <w:r>
        <w:rPr>
          <w:rFonts w:hint="eastAsia" w:ascii="宋体" w:hAnsi="宋体"/>
          <w:sz w:val="28"/>
          <w:szCs w:val="28"/>
        </w:rPr>
        <w:t>经费预算数</w:t>
      </w:r>
      <w:r>
        <w:rPr>
          <w:rFonts w:ascii="宋体" w:hAnsi="宋体"/>
          <w:sz w:val="28"/>
          <w:szCs w:val="28"/>
        </w:rPr>
        <w:t>44500</w:t>
      </w:r>
      <w:r>
        <w:rPr>
          <w:rFonts w:hint="eastAsia" w:ascii="宋体" w:hAnsi="宋体"/>
          <w:sz w:val="28"/>
          <w:szCs w:val="28"/>
        </w:rPr>
        <w:t>元，决算总支出</w:t>
      </w:r>
      <w:r>
        <w:rPr>
          <w:rFonts w:ascii="宋体" w:hAnsi="宋体"/>
          <w:sz w:val="28"/>
          <w:szCs w:val="28"/>
        </w:rPr>
        <w:t>2633.00</w:t>
      </w:r>
      <w:r>
        <w:rPr>
          <w:rFonts w:hint="eastAsia" w:ascii="宋体" w:hAnsi="宋体"/>
          <w:sz w:val="28"/>
          <w:szCs w:val="28"/>
        </w:rPr>
        <w:t>元，其中：</w:t>
      </w:r>
    </w:p>
    <w:p>
      <w:pPr>
        <w:ind w:firstLine="709"/>
        <w:rPr>
          <w:rFonts w:ascii="宋体"/>
          <w:sz w:val="28"/>
          <w:szCs w:val="28"/>
        </w:rPr>
      </w:pPr>
      <w:r>
        <w:rPr>
          <w:rFonts w:hint="eastAsia" w:ascii="宋体" w:hAnsi="宋体"/>
          <w:sz w:val="28"/>
          <w:szCs w:val="28"/>
        </w:rPr>
        <w:t>公务车运行维护费</w:t>
      </w:r>
      <w:r>
        <w:rPr>
          <w:rFonts w:ascii="宋体"/>
          <w:sz w:val="28"/>
          <w:szCs w:val="28"/>
        </w:rPr>
        <w:t>0</w:t>
      </w:r>
      <w:r>
        <w:rPr>
          <w:rFonts w:hint="eastAsia" w:ascii="宋体" w:hAnsi="宋体"/>
          <w:sz w:val="28"/>
          <w:szCs w:val="28"/>
        </w:rPr>
        <w:t>元，年初预算数</w:t>
      </w:r>
      <w:r>
        <w:rPr>
          <w:rFonts w:ascii="宋体"/>
          <w:sz w:val="28"/>
          <w:szCs w:val="28"/>
        </w:rPr>
        <w:t>0</w:t>
      </w:r>
      <w:r>
        <w:rPr>
          <w:rFonts w:hint="eastAsia" w:ascii="宋体" w:hAnsi="宋体"/>
          <w:sz w:val="28"/>
          <w:szCs w:val="28"/>
        </w:rPr>
        <w:t>元，决算数比预算数减少</w:t>
      </w:r>
      <w:r>
        <w:rPr>
          <w:rFonts w:ascii="宋体"/>
          <w:sz w:val="28"/>
          <w:szCs w:val="28"/>
        </w:rPr>
        <w:t>0</w:t>
      </w:r>
      <w:r>
        <w:rPr>
          <w:rFonts w:hint="eastAsia" w:ascii="宋体" w:hAnsi="宋体"/>
          <w:sz w:val="28"/>
          <w:szCs w:val="28"/>
        </w:rPr>
        <w:t>元，减少幅度为</w:t>
      </w:r>
      <w:r>
        <w:rPr>
          <w:rFonts w:ascii="宋体" w:hAnsi="宋体"/>
          <w:sz w:val="28"/>
          <w:szCs w:val="28"/>
        </w:rPr>
        <w:t>0%</w:t>
      </w:r>
    </w:p>
    <w:p>
      <w:pPr>
        <w:pStyle w:val="20"/>
        <w:widowControl/>
        <w:shd w:val="clear" w:color="auto" w:fill="FFFFFF"/>
        <w:ind w:firstLine="0" w:firstLineChars="0"/>
        <w:jc w:val="left"/>
        <w:rPr>
          <w:rFonts w:hint="eastAsia" w:ascii="宋体" w:hAnsi="宋体" w:eastAsia="宋体"/>
          <w:sz w:val="28"/>
          <w:szCs w:val="28"/>
          <w:lang w:eastAsia="zh-CN"/>
        </w:rPr>
      </w:pPr>
      <w:r>
        <w:rPr>
          <w:rFonts w:hint="eastAsia" w:ascii="宋体" w:hAnsi="宋体"/>
          <w:sz w:val="28"/>
          <w:szCs w:val="28"/>
        </w:rPr>
        <w:t>公务用车购置数</w:t>
      </w:r>
      <w:r>
        <w:rPr>
          <w:rFonts w:ascii="宋体"/>
          <w:sz w:val="28"/>
          <w:szCs w:val="28"/>
        </w:rPr>
        <w:t>0</w:t>
      </w:r>
      <w:r>
        <w:rPr>
          <w:rFonts w:hint="eastAsia" w:ascii="宋体" w:hAnsi="宋体"/>
          <w:sz w:val="28"/>
          <w:szCs w:val="28"/>
        </w:rPr>
        <w:t>元、年初预算数</w:t>
      </w:r>
      <w:r>
        <w:rPr>
          <w:rFonts w:ascii="宋体"/>
          <w:sz w:val="28"/>
          <w:szCs w:val="28"/>
        </w:rPr>
        <w:t>0</w:t>
      </w:r>
      <w:r>
        <w:rPr>
          <w:rFonts w:hint="eastAsia" w:ascii="宋体" w:hAnsi="宋体"/>
          <w:sz w:val="28"/>
          <w:szCs w:val="28"/>
        </w:rPr>
        <w:t>元，决算数比预算数减少</w:t>
      </w:r>
      <w:r>
        <w:rPr>
          <w:rFonts w:ascii="宋体"/>
          <w:sz w:val="28"/>
          <w:szCs w:val="28"/>
        </w:rPr>
        <w:t>0</w:t>
      </w:r>
      <w:r>
        <w:rPr>
          <w:rFonts w:hint="eastAsia" w:ascii="宋体" w:hAnsi="宋体"/>
          <w:sz w:val="28"/>
          <w:szCs w:val="28"/>
        </w:rPr>
        <w:t>元，减少幅度为</w:t>
      </w:r>
      <w:r>
        <w:rPr>
          <w:rFonts w:ascii="宋体" w:hAnsi="宋体"/>
          <w:sz w:val="28"/>
          <w:szCs w:val="28"/>
        </w:rPr>
        <w:t>0%</w:t>
      </w:r>
      <w:r>
        <w:rPr>
          <w:rFonts w:hint="eastAsia" w:ascii="宋体" w:hAnsi="宋体"/>
          <w:sz w:val="28"/>
          <w:szCs w:val="28"/>
        </w:rPr>
        <w:t>，保有量</w:t>
      </w:r>
      <w:r>
        <w:rPr>
          <w:rFonts w:ascii="宋体"/>
          <w:sz w:val="28"/>
          <w:szCs w:val="28"/>
        </w:rPr>
        <w:t>0</w:t>
      </w:r>
      <w:r>
        <w:rPr>
          <w:rFonts w:hint="eastAsia" w:ascii="宋体" w:hAnsi="宋体"/>
          <w:sz w:val="28"/>
          <w:szCs w:val="28"/>
        </w:rPr>
        <w:t>。</w:t>
      </w:r>
    </w:p>
    <w:p>
      <w:pPr>
        <w:pStyle w:val="20"/>
        <w:widowControl/>
        <w:shd w:val="clear" w:color="auto" w:fill="FFFFFF"/>
        <w:ind w:firstLine="0" w:firstLineChars="0"/>
        <w:jc w:val="left"/>
        <w:rPr>
          <w:rFonts w:hint="eastAsia" w:ascii="宋体" w:hAnsi="宋体" w:eastAsia="宋体"/>
          <w:sz w:val="28"/>
          <w:szCs w:val="28"/>
          <w:lang w:eastAsia="zh-CN"/>
        </w:rPr>
      </w:pPr>
      <w:r>
        <w:rPr>
          <w:rFonts w:hint="eastAsia" w:ascii="宋体" w:hAnsi="宋体"/>
          <w:sz w:val="28"/>
          <w:szCs w:val="28"/>
        </w:rPr>
        <w:t>公务接待费</w:t>
      </w:r>
      <w:r>
        <w:rPr>
          <w:rFonts w:ascii="宋体" w:hAnsi="宋体"/>
          <w:sz w:val="28"/>
          <w:szCs w:val="28"/>
        </w:rPr>
        <w:t>2633.00</w:t>
      </w:r>
      <w:r>
        <w:rPr>
          <w:rFonts w:hint="eastAsia" w:ascii="宋体" w:hAnsi="宋体"/>
          <w:sz w:val="28"/>
          <w:szCs w:val="28"/>
        </w:rPr>
        <w:t>元，年初预算数</w:t>
      </w:r>
      <w:r>
        <w:rPr>
          <w:rFonts w:ascii="宋体" w:hAnsi="宋体"/>
          <w:sz w:val="28"/>
          <w:szCs w:val="28"/>
        </w:rPr>
        <w:t>44500.00</w:t>
      </w:r>
      <w:r>
        <w:rPr>
          <w:rFonts w:hint="eastAsia" w:ascii="宋体" w:hAnsi="宋体"/>
          <w:sz w:val="28"/>
          <w:szCs w:val="28"/>
        </w:rPr>
        <w:t>元，决算数比预算数减少</w:t>
      </w:r>
      <w:r>
        <w:rPr>
          <w:rFonts w:ascii="宋体" w:hAnsi="宋体"/>
          <w:sz w:val="28"/>
          <w:szCs w:val="28"/>
        </w:rPr>
        <w:t>41867.00</w:t>
      </w:r>
      <w:r>
        <w:rPr>
          <w:rFonts w:hint="eastAsia" w:ascii="宋体" w:hAnsi="宋体"/>
          <w:sz w:val="28"/>
          <w:szCs w:val="28"/>
        </w:rPr>
        <w:t>元，减少幅度为</w:t>
      </w:r>
      <w:r>
        <w:rPr>
          <w:rFonts w:ascii="宋体" w:hAnsi="宋体"/>
          <w:sz w:val="28"/>
          <w:szCs w:val="28"/>
        </w:rPr>
        <w:t>94.08%,</w:t>
      </w:r>
      <w:r>
        <w:rPr>
          <w:rFonts w:hint="eastAsia" w:ascii="宋体" w:hAnsi="宋体"/>
          <w:sz w:val="28"/>
          <w:szCs w:val="28"/>
        </w:rPr>
        <w:t>公务接待批次</w:t>
      </w:r>
      <w:r>
        <w:rPr>
          <w:rFonts w:ascii="宋体" w:hAnsi="宋体"/>
          <w:sz w:val="28"/>
          <w:szCs w:val="28"/>
        </w:rPr>
        <w:t>2</w:t>
      </w:r>
      <w:r>
        <w:rPr>
          <w:rFonts w:hint="eastAsia" w:ascii="宋体" w:hAnsi="宋体"/>
          <w:sz w:val="28"/>
          <w:szCs w:val="28"/>
        </w:rPr>
        <w:t>、人数</w:t>
      </w:r>
      <w:r>
        <w:rPr>
          <w:rFonts w:ascii="宋体" w:hAnsi="宋体"/>
          <w:sz w:val="28"/>
          <w:szCs w:val="28"/>
        </w:rPr>
        <w:t>19</w:t>
      </w:r>
      <w:r>
        <w:rPr>
          <w:rFonts w:hint="eastAsia" w:ascii="宋体" w:hAnsi="宋体"/>
          <w:sz w:val="28"/>
          <w:szCs w:val="28"/>
        </w:rPr>
        <w:t>；</w:t>
      </w:r>
    </w:p>
    <w:p>
      <w:pPr>
        <w:pStyle w:val="20"/>
        <w:widowControl/>
        <w:shd w:val="clear" w:color="auto" w:fill="FFFFFF"/>
        <w:ind w:firstLine="0" w:firstLineChars="0"/>
        <w:jc w:val="left"/>
        <w:rPr>
          <w:rFonts w:ascii="宋体"/>
          <w:sz w:val="28"/>
          <w:szCs w:val="28"/>
        </w:rPr>
      </w:pPr>
      <w:r>
        <w:rPr>
          <w:rFonts w:hint="eastAsia" w:ascii="宋体" w:hAnsi="宋体"/>
          <w:sz w:val="28"/>
          <w:szCs w:val="28"/>
        </w:rPr>
        <w:t>因公出国（境）费</w:t>
      </w:r>
      <w:r>
        <w:rPr>
          <w:rFonts w:ascii="宋体"/>
          <w:sz w:val="28"/>
          <w:szCs w:val="28"/>
        </w:rPr>
        <w:t>0</w:t>
      </w:r>
      <w:r>
        <w:rPr>
          <w:rFonts w:hint="eastAsia" w:ascii="宋体" w:hAnsi="宋体"/>
          <w:sz w:val="28"/>
          <w:szCs w:val="28"/>
        </w:rPr>
        <w:t>元，预算数</w:t>
      </w:r>
      <w:r>
        <w:rPr>
          <w:rFonts w:ascii="宋体"/>
          <w:sz w:val="28"/>
          <w:szCs w:val="28"/>
        </w:rPr>
        <w:t>0</w:t>
      </w:r>
      <w:r>
        <w:rPr>
          <w:rFonts w:hint="eastAsia" w:ascii="宋体" w:hAnsi="宋体"/>
          <w:sz w:val="28"/>
          <w:szCs w:val="28"/>
        </w:rPr>
        <w:t>元，决算数比预算数增加</w:t>
      </w:r>
      <w:r>
        <w:rPr>
          <w:rFonts w:ascii="宋体"/>
          <w:sz w:val="28"/>
          <w:szCs w:val="28"/>
        </w:rPr>
        <w:t>0</w:t>
      </w:r>
      <w:r>
        <w:rPr>
          <w:rFonts w:hint="eastAsia" w:ascii="宋体" w:hAnsi="宋体"/>
          <w:sz w:val="28"/>
          <w:szCs w:val="28"/>
        </w:rPr>
        <w:t>元，增长幅度为</w:t>
      </w:r>
      <w:r>
        <w:rPr>
          <w:rFonts w:ascii="宋体" w:hAnsi="宋体"/>
          <w:sz w:val="28"/>
          <w:szCs w:val="28"/>
        </w:rPr>
        <w:t>0%,</w:t>
      </w:r>
      <w:r>
        <w:rPr>
          <w:rFonts w:hint="eastAsia" w:ascii="宋体" w:hAnsi="宋体"/>
          <w:sz w:val="28"/>
          <w:szCs w:val="28"/>
        </w:rPr>
        <w:t>本单位因公出国（境）团组数</w:t>
      </w:r>
      <w:r>
        <w:rPr>
          <w:rFonts w:ascii="宋体"/>
          <w:sz w:val="28"/>
          <w:szCs w:val="28"/>
        </w:rPr>
        <w:t>0</w:t>
      </w:r>
      <w:r>
        <w:rPr>
          <w:rFonts w:hint="eastAsia" w:ascii="宋体" w:hAnsi="宋体"/>
          <w:sz w:val="28"/>
          <w:szCs w:val="28"/>
        </w:rPr>
        <w:t>、人数</w:t>
      </w:r>
      <w:r>
        <w:rPr>
          <w:rFonts w:ascii="宋体"/>
          <w:sz w:val="28"/>
          <w:szCs w:val="28"/>
        </w:rPr>
        <w:t>0</w:t>
      </w:r>
      <w:r>
        <w:rPr>
          <w:rFonts w:hint="eastAsia" w:ascii="宋体" w:hAnsi="宋体"/>
          <w:sz w:val="28"/>
          <w:szCs w:val="28"/>
        </w:rPr>
        <w:t>。</w:t>
      </w:r>
    </w:p>
    <w:p>
      <w:pPr>
        <w:ind w:firstLine="709"/>
        <w:rPr>
          <w:rFonts w:hint="eastAsia" w:ascii="宋体" w:hAnsi="宋体" w:eastAsia="宋体"/>
          <w:sz w:val="28"/>
          <w:szCs w:val="28"/>
          <w:lang w:eastAsia="zh-CN"/>
        </w:rPr>
      </w:pPr>
      <w:r>
        <w:rPr>
          <w:rFonts w:ascii="宋体" w:hAnsi="宋体"/>
          <w:sz w:val="28"/>
          <w:szCs w:val="28"/>
        </w:rPr>
        <w:t>2020</w:t>
      </w:r>
      <w:r>
        <w:rPr>
          <w:rFonts w:hint="eastAsia" w:ascii="宋体" w:hAnsi="宋体"/>
          <w:sz w:val="28"/>
          <w:szCs w:val="28"/>
        </w:rPr>
        <w:t>年“三公”经费预算数</w:t>
      </w:r>
      <w:r>
        <w:rPr>
          <w:rFonts w:ascii="宋体" w:hAnsi="宋体"/>
          <w:sz w:val="28"/>
          <w:szCs w:val="28"/>
        </w:rPr>
        <w:t>44500</w:t>
      </w:r>
      <w:r>
        <w:rPr>
          <w:rFonts w:hint="eastAsia" w:ascii="宋体" w:hAnsi="宋体"/>
          <w:sz w:val="28"/>
          <w:szCs w:val="28"/>
        </w:rPr>
        <w:t>元，决算总支出</w:t>
      </w:r>
      <w:r>
        <w:rPr>
          <w:rFonts w:ascii="宋体"/>
          <w:sz w:val="28"/>
          <w:szCs w:val="28"/>
        </w:rPr>
        <w:t>0</w:t>
      </w:r>
      <w:r>
        <w:rPr>
          <w:rFonts w:hint="eastAsia" w:ascii="宋体" w:hAnsi="宋体"/>
          <w:sz w:val="28"/>
          <w:szCs w:val="28"/>
        </w:rPr>
        <w:t>元，其中：</w:t>
      </w:r>
    </w:p>
    <w:p>
      <w:pPr>
        <w:ind w:firstLine="709"/>
        <w:rPr>
          <w:rFonts w:ascii="宋体"/>
          <w:sz w:val="28"/>
          <w:szCs w:val="28"/>
        </w:rPr>
      </w:pPr>
      <w:r>
        <w:rPr>
          <w:rFonts w:hint="eastAsia" w:ascii="宋体" w:hAnsi="宋体"/>
          <w:sz w:val="28"/>
          <w:szCs w:val="28"/>
        </w:rPr>
        <w:t>公务车运行维护费</w:t>
      </w:r>
      <w:r>
        <w:rPr>
          <w:rFonts w:ascii="宋体"/>
          <w:sz w:val="28"/>
          <w:szCs w:val="28"/>
        </w:rPr>
        <w:t>0</w:t>
      </w:r>
      <w:r>
        <w:rPr>
          <w:rFonts w:hint="eastAsia" w:ascii="宋体" w:hAnsi="宋体"/>
          <w:sz w:val="28"/>
          <w:szCs w:val="28"/>
        </w:rPr>
        <w:t>元，年初预算数</w:t>
      </w:r>
      <w:r>
        <w:rPr>
          <w:rFonts w:ascii="宋体"/>
          <w:sz w:val="28"/>
          <w:szCs w:val="28"/>
        </w:rPr>
        <w:t>0</w:t>
      </w:r>
      <w:r>
        <w:rPr>
          <w:rFonts w:hint="eastAsia" w:ascii="宋体" w:hAnsi="宋体"/>
          <w:sz w:val="28"/>
          <w:szCs w:val="28"/>
        </w:rPr>
        <w:t>元，决算数比预算数减少</w:t>
      </w:r>
      <w:r>
        <w:rPr>
          <w:rFonts w:ascii="宋体"/>
          <w:sz w:val="28"/>
          <w:szCs w:val="28"/>
        </w:rPr>
        <w:t>0</w:t>
      </w:r>
      <w:r>
        <w:rPr>
          <w:rFonts w:hint="eastAsia" w:ascii="宋体" w:hAnsi="宋体"/>
          <w:sz w:val="28"/>
          <w:szCs w:val="28"/>
        </w:rPr>
        <w:t>元，减少幅度为</w:t>
      </w:r>
      <w:r>
        <w:rPr>
          <w:rFonts w:ascii="宋体" w:hAnsi="宋体"/>
          <w:sz w:val="28"/>
          <w:szCs w:val="28"/>
        </w:rPr>
        <w:t>0%</w:t>
      </w:r>
    </w:p>
    <w:p>
      <w:pPr>
        <w:pStyle w:val="20"/>
        <w:widowControl/>
        <w:shd w:val="clear" w:color="auto" w:fill="FFFFFF"/>
        <w:ind w:firstLine="0" w:firstLineChars="0"/>
        <w:jc w:val="left"/>
        <w:rPr>
          <w:rFonts w:hint="eastAsia" w:ascii="宋体" w:hAnsi="宋体" w:eastAsia="宋体"/>
          <w:sz w:val="28"/>
          <w:szCs w:val="28"/>
          <w:lang w:eastAsia="zh-CN"/>
        </w:rPr>
      </w:pPr>
      <w:r>
        <w:rPr>
          <w:rFonts w:hint="eastAsia" w:ascii="宋体" w:hAnsi="宋体"/>
          <w:sz w:val="28"/>
          <w:szCs w:val="28"/>
        </w:rPr>
        <w:t>公务用车购置数</w:t>
      </w:r>
      <w:r>
        <w:rPr>
          <w:rFonts w:ascii="宋体"/>
          <w:sz w:val="28"/>
          <w:szCs w:val="28"/>
        </w:rPr>
        <w:t>0</w:t>
      </w:r>
      <w:r>
        <w:rPr>
          <w:rFonts w:hint="eastAsia" w:ascii="宋体" w:hAnsi="宋体"/>
          <w:sz w:val="28"/>
          <w:szCs w:val="28"/>
        </w:rPr>
        <w:t>元、年初预算数</w:t>
      </w:r>
      <w:r>
        <w:rPr>
          <w:rFonts w:ascii="宋体"/>
          <w:sz w:val="28"/>
          <w:szCs w:val="28"/>
        </w:rPr>
        <w:t>0</w:t>
      </w:r>
      <w:r>
        <w:rPr>
          <w:rFonts w:hint="eastAsia" w:ascii="宋体" w:hAnsi="宋体"/>
          <w:sz w:val="28"/>
          <w:szCs w:val="28"/>
        </w:rPr>
        <w:t>元，决算数比预算数减少</w:t>
      </w:r>
      <w:r>
        <w:rPr>
          <w:rFonts w:ascii="宋体"/>
          <w:sz w:val="28"/>
          <w:szCs w:val="28"/>
        </w:rPr>
        <w:t>0</w:t>
      </w:r>
      <w:r>
        <w:rPr>
          <w:rFonts w:hint="eastAsia" w:ascii="宋体" w:hAnsi="宋体"/>
          <w:sz w:val="28"/>
          <w:szCs w:val="28"/>
        </w:rPr>
        <w:t>元，减少幅度为</w:t>
      </w:r>
      <w:r>
        <w:rPr>
          <w:rFonts w:ascii="宋体" w:hAnsi="宋体"/>
          <w:sz w:val="28"/>
          <w:szCs w:val="28"/>
        </w:rPr>
        <w:t>0%</w:t>
      </w:r>
      <w:r>
        <w:rPr>
          <w:rFonts w:hint="eastAsia" w:ascii="宋体" w:hAnsi="宋体"/>
          <w:sz w:val="28"/>
          <w:szCs w:val="28"/>
        </w:rPr>
        <w:t>，保有量</w:t>
      </w:r>
      <w:r>
        <w:rPr>
          <w:rFonts w:ascii="宋体"/>
          <w:sz w:val="28"/>
          <w:szCs w:val="28"/>
        </w:rPr>
        <w:t>0</w:t>
      </w:r>
      <w:r>
        <w:rPr>
          <w:rFonts w:hint="eastAsia" w:ascii="宋体" w:hAnsi="宋体"/>
          <w:sz w:val="28"/>
          <w:szCs w:val="28"/>
        </w:rPr>
        <w:t>。</w:t>
      </w:r>
    </w:p>
    <w:p>
      <w:pPr>
        <w:pStyle w:val="20"/>
        <w:widowControl/>
        <w:shd w:val="clear" w:color="auto" w:fill="FFFFFF"/>
        <w:ind w:firstLine="0" w:firstLineChars="0"/>
        <w:jc w:val="left"/>
        <w:rPr>
          <w:rFonts w:hint="eastAsia" w:ascii="宋体" w:hAnsi="宋体" w:eastAsia="宋体"/>
          <w:sz w:val="28"/>
          <w:szCs w:val="28"/>
          <w:lang w:eastAsia="zh-CN"/>
        </w:rPr>
      </w:pPr>
      <w:r>
        <w:rPr>
          <w:rFonts w:hint="eastAsia" w:ascii="宋体" w:hAnsi="宋体"/>
          <w:sz w:val="28"/>
          <w:szCs w:val="28"/>
        </w:rPr>
        <w:t>公务接待费</w:t>
      </w:r>
      <w:r>
        <w:rPr>
          <w:rFonts w:ascii="宋体"/>
          <w:sz w:val="28"/>
          <w:szCs w:val="28"/>
        </w:rPr>
        <w:t>0</w:t>
      </w:r>
      <w:r>
        <w:rPr>
          <w:rFonts w:hint="eastAsia" w:ascii="宋体" w:hAnsi="宋体"/>
          <w:sz w:val="28"/>
          <w:szCs w:val="28"/>
        </w:rPr>
        <w:t>元，年初预算数</w:t>
      </w:r>
      <w:r>
        <w:rPr>
          <w:rFonts w:ascii="宋体" w:hAnsi="宋体"/>
          <w:sz w:val="28"/>
          <w:szCs w:val="28"/>
        </w:rPr>
        <w:t>44500.00</w:t>
      </w:r>
      <w:r>
        <w:rPr>
          <w:rFonts w:hint="eastAsia" w:ascii="宋体" w:hAnsi="宋体"/>
          <w:sz w:val="28"/>
          <w:szCs w:val="28"/>
        </w:rPr>
        <w:t>元，决算数比预算数减少</w:t>
      </w:r>
      <w:r>
        <w:rPr>
          <w:rFonts w:ascii="宋体" w:hAnsi="宋体"/>
          <w:sz w:val="28"/>
          <w:szCs w:val="28"/>
        </w:rPr>
        <w:t>44500</w:t>
      </w:r>
      <w:r>
        <w:rPr>
          <w:rFonts w:hint="eastAsia" w:ascii="宋体" w:hAnsi="宋体"/>
          <w:sz w:val="28"/>
          <w:szCs w:val="28"/>
        </w:rPr>
        <w:t>元，减少幅度为</w:t>
      </w:r>
      <w:r>
        <w:rPr>
          <w:rFonts w:ascii="宋体" w:hAnsi="宋体"/>
          <w:sz w:val="28"/>
          <w:szCs w:val="28"/>
        </w:rPr>
        <w:t>100%,</w:t>
      </w:r>
      <w:r>
        <w:rPr>
          <w:rFonts w:hint="eastAsia" w:ascii="宋体" w:hAnsi="宋体"/>
          <w:sz w:val="28"/>
          <w:szCs w:val="28"/>
        </w:rPr>
        <w:t>公务接待批次</w:t>
      </w:r>
      <w:r>
        <w:rPr>
          <w:rFonts w:ascii="宋体"/>
          <w:sz w:val="28"/>
          <w:szCs w:val="28"/>
        </w:rPr>
        <w:t>0</w:t>
      </w:r>
      <w:r>
        <w:rPr>
          <w:rFonts w:hint="eastAsia" w:ascii="宋体" w:hAnsi="宋体"/>
          <w:sz w:val="28"/>
          <w:szCs w:val="28"/>
        </w:rPr>
        <w:t>、人数</w:t>
      </w:r>
      <w:r>
        <w:rPr>
          <w:rFonts w:ascii="宋体"/>
          <w:sz w:val="28"/>
          <w:szCs w:val="28"/>
        </w:rPr>
        <w:t>0</w:t>
      </w:r>
      <w:r>
        <w:rPr>
          <w:rFonts w:hint="eastAsia" w:ascii="宋体" w:hAnsi="宋体"/>
          <w:sz w:val="28"/>
          <w:szCs w:val="28"/>
        </w:rPr>
        <w:t>；</w:t>
      </w:r>
    </w:p>
    <w:p>
      <w:pPr>
        <w:pStyle w:val="20"/>
        <w:widowControl/>
        <w:shd w:val="clear" w:color="auto" w:fill="FFFFFF"/>
        <w:ind w:firstLine="0" w:firstLineChars="0"/>
        <w:jc w:val="left"/>
        <w:rPr>
          <w:rFonts w:ascii="宋体" w:cs="宋体"/>
          <w:sz w:val="28"/>
          <w:szCs w:val="28"/>
        </w:rPr>
      </w:pPr>
      <w:r>
        <w:rPr>
          <w:rFonts w:hint="eastAsia" w:ascii="宋体" w:hAnsi="宋体"/>
          <w:sz w:val="28"/>
          <w:szCs w:val="28"/>
        </w:rPr>
        <w:t>因公出国（境）费</w:t>
      </w:r>
      <w:r>
        <w:rPr>
          <w:rFonts w:ascii="宋体"/>
          <w:sz w:val="28"/>
          <w:szCs w:val="28"/>
        </w:rPr>
        <w:t>0</w:t>
      </w:r>
      <w:r>
        <w:rPr>
          <w:rFonts w:hint="eastAsia" w:ascii="宋体" w:hAnsi="宋体"/>
          <w:sz w:val="28"/>
          <w:szCs w:val="28"/>
        </w:rPr>
        <w:t>元，预算数</w:t>
      </w:r>
      <w:r>
        <w:rPr>
          <w:rFonts w:ascii="宋体"/>
          <w:sz w:val="28"/>
          <w:szCs w:val="28"/>
        </w:rPr>
        <w:t>0</w:t>
      </w:r>
      <w:r>
        <w:rPr>
          <w:rFonts w:hint="eastAsia" w:ascii="宋体" w:hAnsi="宋体"/>
          <w:sz w:val="28"/>
          <w:szCs w:val="28"/>
        </w:rPr>
        <w:t>元，决算数比预算数增加</w:t>
      </w:r>
      <w:r>
        <w:rPr>
          <w:rFonts w:ascii="宋体"/>
          <w:sz w:val="28"/>
          <w:szCs w:val="28"/>
        </w:rPr>
        <w:t>0</w:t>
      </w:r>
      <w:r>
        <w:rPr>
          <w:rFonts w:hint="eastAsia" w:ascii="宋体" w:hAnsi="宋体"/>
          <w:sz w:val="28"/>
          <w:szCs w:val="28"/>
        </w:rPr>
        <w:t>元，增长幅度为</w:t>
      </w:r>
      <w:r>
        <w:rPr>
          <w:rFonts w:ascii="宋体" w:hAnsi="宋体"/>
          <w:sz w:val="28"/>
          <w:szCs w:val="28"/>
        </w:rPr>
        <w:t>0%,</w:t>
      </w:r>
      <w:r>
        <w:rPr>
          <w:rFonts w:hint="eastAsia" w:ascii="宋体" w:hAnsi="宋体"/>
          <w:sz w:val="28"/>
          <w:szCs w:val="28"/>
        </w:rPr>
        <w:t>本单位因公出国（境）团组数</w:t>
      </w:r>
      <w:r>
        <w:rPr>
          <w:rFonts w:ascii="宋体"/>
          <w:sz w:val="28"/>
          <w:szCs w:val="28"/>
        </w:rPr>
        <w:t>0</w:t>
      </w:r>
      <w:r>
        <w:rPr>
          <w:rFonts w:hint="eastAsia" w:ascii="宋体" w:hAnsi="宋体"/>
          <w:sz w:val="28"/>
          <w:szCs w:val="28"/>
        </w:rPr>
        <w:t>、人数</w:t>
      </w:r>
      <w:r>
        <w:rPr>
          <w:rFonts w:ascii="宋体"/>
          <w:sz w:val="28"/>
          <w:szCs w:val="28"/>
        </w:rPr>
        <w:t>0</w:t>
      </w:r>
      <w:r>
        <w:rPr>
          <w:rFonts w:hint="eastAsia" w:ascii="宋体" w:hAnsi="宋体"/>
          <w:sz w:val="28"/>
          <w:szCs w:val="28"/>
        </w:rPr>
        <w:t>。</w:t>
      </w:r>
    </w:p>
    <w:p>
      <w:pPr>
        <w:ind w:firstLine="709"/>
        <w:rPr>
          <w:rFonts w:ascii="宋体"/>
          <w:sz w:val="28"/>
          <w:szCs w:val="28"/>
        </w:rPr>
      </w:pPr>
    </w:p>
    <w:p>
      <w:pPr>
        <w:pStyle w:val="7"/>
        <w:widowControl/>
        <w:spacing w:before="76" w:beforeAutospacing="0" w:after="76" w:afterAutospacing="0" w:line="450" w:lineRule="atLeast"/>
        <w:ind w:firstLine="419" w:firstLineChars="149"/>
        <w:rPr>
          <w:rFonts w:ascii="宋体" w:cs="宋体"/>
          <w:b/>
          <w:bCs/>
          <w:sz w:val="28"/>
          <w:szCs w:val="28"/>
          <w:shd w:val="clear" w:color="auto" w:fill="FFFFFF"/>
          <w:lang w:val="zh-CN"/>
        </w:rPr>
      </w:pPr>
      <w:r>
        <w:rPr>
          <w:rFonts w:hint="eastAsia" w:ascii="宋体" w:hAnsi="宋体" w:cs="宋体"/>
          <w:b/>
          <w:bCs/>
          <w:sz w:val="28"/>
          <w:szCs w:val="28"/>
          <w:shd w:val="clear" w:color="auto" w:fill="FFFFFF"/>
          <w:lang w:val="zh-CN"/>
        </w:rPr>
        <w:t>（三）关于机关运行经费支出说明</w:t>
      </w:r>
    </w:p>
    <w:p>
      <w:pPr>
        <w:shd w:val="clear" w:color="auto" w:fill="FFFFFF"/>
        <w:spacing w:line="360" w:lineRule="auto"/>
        <w:ind w:firstLine="700" w:firstLineChars="250"/>
        <w:rPr>
          <w:rFonts w:ascii="宋体" w:cs="仿宋"/>
          <w:bCs/>
          <w:color w:val="000000"/>
          <w:sz w:val="28"/>
          <w:szCs w:val="28"/>
        </w:rPr>
      </w:pPr>
      <w:r>
        <w:rPr>
          <w:rFonts w:hint="eastAsia" w:ascii="宋体" w:hAnsi="宋体" w:cs="仿宋"/>
          <w:bCs/>
          <w:color w:val="000000"/>
          <w:sz w:val="28"/>
          <w:szCs w:val="28"/>
        </w:rPr>
        <w:t>本单位机关运行经费本年支出</w:t>
      </w:r>
      <w:r>
        <w:rPr>
          <w:rFonts w:ascii="宋体" w:hAnsi="宋体" w:cs="仿宋"/>
          <w:bCs/>
          <w:color w:val="000000"/>
          <w:sz w:val="28"/>
          <w:szCs w:val="28"/>
        </w:rPr>
        <w:t>65.51</w:t>
      </w:r>
      <w:r>
        <w:rPr>
          <w:rFonts w:hint="eastAsia" w:ascii="宋体" w:hAnsi="宋体" w:cs="仿宋"/>
          <w:bCs/>
          <w:color w:val="000000"/>
          <w:sz w:val="28"/>
          <w:szCs w:val="28"/>
        </w:rPr>
        <w:t>万元，去年支出为</w:t>
      </w:r>
      <w:r>
        <w:rPr>
          <w:rFonts w:ascii="宋体" w:hAnsi="宋体" w:cs="仿宋"/>
          <w:bCs/>
          <w:color w:val="000000"/>
          <w:sz w:val="28"/>
          <w:szCs w:val="28"/>
        </w:rPr>
        <w:t>56.75</w:t>
      </w:r>
      <w:r>
        <w:rPr>
          <w:rFonts w:hint="eastAsia" w:ascii="宋体" w:hAnsi="宋体" w:cs="仿宋"/>
          <w:bCs/>
          <w:color w:val="000000"/>
          <w:sz w:val="28"/>
          <w:szCs w:val="28"/>
        </w:rPr>
        <w:t>万元，对比增加</w:t>
      </w:r>
      <w:r>
        <w:rPr>
          <w:rFonts w:ascii="宋体" w:hAnsi="宋体" w:cs="仿宋"/>
          <w:bCs/>
          <w:color w:val="000000"/>
          <w:sz w:val="28"/>
          <w:szCs w:val="28"/>
        </w:rPr>
        <w:t>8.76</w:t>
      </w:r>
      <w:r>
        <w:rPr>
          <w:rFonts w:hint="eastAsia" w:ascii="宋体" w:hAnsi="宋体" w:cs="仿宋"/>
          <w:bCs/>
          <w:color w:val="000000"/>
          <w:sz w:val="28"/>
          <w:szCs w:val="28"/>
        </w:rPr>
        <w:t>万元，增幅</w:t>
      </w:r>
      <w:r>
        <w:rPr>
          <w:rFonts w:ascii="宋体" w:hAnsi="宋体" w:cs="仿宋"/>
          <w:bCs/>
          <w:color w:val="000000"/>
          <w:sz w:val="28"/>
          <w:szCs w:val="28"/>
        </w:rPr>
        <w:t>15.44%</w:t>
      </w:r>
      <w:r>
        <w:rPr>
          <w:rFonts w:hint="eastAsia" w:ascii="宋体" w:hAnsi="宋体" w:cs="仿宋"/>
          <w:bCs/>
          <w:color w:val="000000"/>
          <w:sz w:val="28"/>
          <w:szCs w:val="28"/>
        </w:rPr>
        <w:t>，主要原因为本年召开区政协八届五次会议所致。本部门机关运行经费本年年初预算数为</w:t>
      </w:r>
      <w:r>
        <w:rPr>
          <w:rFonts w:ascii="宋体" w:hAnsi="宋体" w:cs="仿宋"/>
          <w:bCs/>
          <w:color w:val="000000"/>
          <w:sz w:val="28"/>
          <w:szCs w:val="28"/>
        </w:rPr>
        <w:t>59.84</w:t>
      </w:r>
      <w:r>
        <w:rPr>
          <w:rFonts w:hint="eastAsia" w:ascii="宋体" w:hAnsi="宋体" w:cs="仿宋"/>
          <w:bCs/>
          <w:color w:val="000000"/>
          <w:sz w:val="28"/>
          <w:szCs w:val="28"/>
        </w:rPr>
        <w:t>万元，</w:t>
      </w:r>
      <w:r>
        <w:rPr>
          <w:rFonts w:hint="eastAsia" w:ascii="宋体" w:hAnsi="宋体" w:cs="宋体"/>
          <w:color w:val="333333"/>
          <w:sz w:val="28"/>
          <w:szCs w:val="28"/>
        </w:rPr>
        <w:t>决算数与年初预算数对比增加</w:t>
      </w:r>
      <w:r>
        <w:rPr>
          <w:rFonts w:ascii="宋体" w:hAnsi="宋体" w:cs="宋体"/>
          <w:color w:val="333333"/>
          <w:sz w:val="28"/>
          <w:szCs w:val="28"/>
        </w:rPr>
        <w:t>5.67</w:t>
      </w:r>
      <w:r>
        <w:rPr>
          <w:rFonts w:hint="eastAsia" w:ascii="宋体" w:hAnsi="宋体" w:cs="宋体"/>
          <w:color w:val="333333"/>
          <w:sz w:val="28"/>
          <w:szCs w:val="28"/>
        </w:rPr>
        <w:t>万元，增幅</w:t>
      </w:r>
      <w:r>
        <w:rPr>
          <w:rFonts w:ascii="宋体" w:hAnsi="宋体" w:cs="宋体"/>
          <w:color w:val="333333"/>
          <w:sz w:val="28"/>
          <w:szCs w:val="28"/>
        </w:rPr>
        <w:t>9.48%</w:t>
      </w:r>
      <w:r>
        <w:rPr>
          <w:rFonts w:hint="eastAsia" w:ascii="宋体" w:hAnsi="宋体" w:cs="宋体"/>
          <w:color w:val="333333"/>
          <w:sz w:val="28"/>
          <w:szCs w:val="28"/>
        </w:rPr>
        <w:t>，其主要原因为</w:t>
      </w:r>
      <w:r>
        <w:rPr>
          <w:rFonts w:hint="eastAsia" w:ascii="宋体" w:hAnsi="宋体" w:cs="仿宋"/>
          <w:bCs/>
          <w:color w:val="000000"/>
          <w:sz w:val="28"/>
          <w:szCs w:val="28"/>
        </w:rPr>
        <w:t>本年召开区政协八届五次会议所致。</w:t>
      </w:r>
    </w:p>
    <w:p>
      <w:pPr>
        <w:shd w:val="clear" w:color="auto" w:fill="FFFFFF"/>
        <w:spacing w:line="360" w:lineRule="auto"/>
        <w:ind w:firstLine="560" w:firstLineChars="200"/>
        <w:rPr>
          <w:rFonts w:ascii="宋体" w:cs="仿宋"/>
          <w:bCs/>
          <w:color w:val="000000"/>
          <w:sz w:val="28"/>
          <w:szCs w:val="28"/>
        </w:rPr>
      </w:pPr>
    </w:p>
    <w:p>
      <w:pPr>
        <w:pStyle w:val="7"/>
        <w:widowControl/>
        <w:spacing w:before="76" w:beforeAutospacing="0" w:after="76" w:afterAutospacing="0" w:line="450" w:lineRule="atLeast"/>
        <w:ind w:firstLine="281" w:firstLineChars="100"/>
        <w:rPr>
          <w:rFonts w:ascii="宋体" w:cs="宋体"/>
          <w:b/>
          <w:bCs/>
          <w:sz w:val="28"/>
          <w:szCs w:val="28"/>
          <w:shd w:val="clear" w:color="auto" w:fill="FFFFFF"/>
          <w:lang w:val="zh-CN"/>
        </w:rPr>
      </w:pPr>
      <w:r>
        <w:rPr>
          <w:rFonts w:hint="eastAsia" w:ascii="宋体" w:hAnsi="宋体" w:cs="宋体"/>
          <w:b/>
          <w:bCs/>
          <w:sz w:val="28"/>
          <w:szCs w:val="28"/>
          <w:shd w:val="clear" w:color="auto" w:fill="FFFFFF"/>
          <w:lang w:val="zh-CN"/>
        </w:rPr>
        <w:t>（四）关于政府采购支出说明</w:t>
      </w:r>
    </w:p>
    <w:p>
      <w:pPr>
        <w:ind w:firstLine="560" w:firstLineChars="200"/>
        <w:rPr>
          <w:rFonts w:ascii="宋体" w:cs="仿宋"/>
          <w:sz w:val="28"/>
          <w:szCs w:val="28"/>
        </w:rPr>
      </w:pPr>
      <w:r>
        <w:rPr>
          <w:rFonts w:hint="eastAsia" w:ascii="宋体" w:hAnsi="宋体" w:cs="仿宋"/>
          <w:bCs/>
          <w:sz w:val="28"/>
          <w:szCs w:val="28"/>
        </w:rPr>
        <w:t>本部门2021年度政府采购支出总额</w:t>
      </w:r>
      <w:r>
        <w:rPr>
          <w:rFonts w:hint="eastAsia" w:ascii="宋体" w:hAnsi="宋体" w:cs="仿宋"/>
          <w:bCs/>
          <w:sz w:val="28"/>
          <w:szCs w:val="28"/>
          <w:lang w:val="en-US" w:eastAsia="zh-CN"/>
        </w:rPr>
        <w:t>1.68</w:t>
      </w:r>
      <w:r>
        <w:rPr>
          <w:rFonts w:hint="eastAsia" w:ascii="宋体" w:hAnsi="宋体" w:cs="仿宋"/>
          <w:bCs/>
          <w:sz w:val="28"/>
          <w:szCs w:val="28"/>
        </w:rPr>
        <w:t>万元，其中：政府采购货物支出</w:t>
      </w:r>
      <w:r>
        <w:rPr>
          <w:rFonts w:hint="eastAsia" w:ascii="宋体" w:hAnsi="宋体" w:cs="仿宋"/>
          <w:bCs/>
          <w:sz w:val="28"/>
          <w:szCs w:val="28"/>
          <w:lang w:val="en-US" w:eastAsia="zh-CN"/>
        </w:rPr>
        <w:t>1.68</w:t>
      </w:r>
      <w:r>
        <w:rPr>
          <w:rFonts w:hint="eastAsia" w:ascii="宋体" w:hAnsi="宋体" w:cs="仿宋"/>
          <w:bCs/>
          <w:sz w:val="28"/>
          <w:szCs w:val="28"/>
        </w:rPr>
        <w:t>万元、政府采购工程支出0万元、政府采购服务支出0万元。授予中小企业合同金额</w:t>
      </w:r>
      <w:r>
        <w:rPr>
          <w:rFonts w:hint="eastAsia" w:ascii="宋体" w:hAnsi="宋体" w:cs="仿宋"/>
          <w:bCs/>
          <w:sz w:val="28"/>
          <w:szCs w:val="28"/>
          <w:lang w:val="en-US" w:eastAsia="zh-CN"/>
        </w:rPr>
        <w:t>1.68</w:t>
      </w:r>
      <w:r>
        <w:rPr>
          <w:rFonts w:hint="eastAsia" w:ascii="宋体" w:hAnsi="宋体" w:cs="仿宋"/>
          <w:bCs/>
          <w:sz w:val="28"/>
          <w:szCs w:val="28"/>
        </w:rPr>
        <w:t>万元，占政府采购支出总额的</w:t>
      </w:r>
      <w:r>
        <w:rPr>
          <w:rFonts w:hint="eastAsia" w:ascii="宋体" w:hAnsi="宋体" w:cs="仿宋"/>
          <w:bCs/>
          <w:sz w:val="28"/>
          <w:szCs w:val="28"/>
          <w:lang w:val="en-US" w:eastAsia="zh-CN"/>
        </w:rPr>
        <w:t>10</w:t>
      </w:r>
      <w:r>
        <w:rPr>
          <w:rFonts w:hint="eastAsia" w:ascii="宋体" w:hAnsi="宋体" w:cs="仿宋"/>
          <w:bCs/>
          <w:sz w:val="28"/>
          <w:szCs w:val="28"/>
        </w:rPr>
        <w:t>0%，其中：授予小微企业合同金额</w:t>
      </w:r>
      <w:r>
        <w:rPr>
          <w:rFonts w:hint="eastAsia" w:ascii="宋体" w:hAnsi="宋体" w:cs="仿宋"/>
          <w:bCs/>
          <w:sz w:val="28"/>
          <w:szCs w:val="28"/>
          <w:lang w:val="en-US" w:eastAsia="zh-CN"/>
        </w:rPr>
        <w:t>1.68</w:t>
      </w:r>
      <w:r>
        <w:rPr>
          <w:rFonts w:hint="eastAsia" w:ascii="宋体" w:hAnsi="宋体" w:cs="仿宋"/>
          <w:bCs/>
          <w:sz w:val="28"/>
          <w:szCs w:val="28"/>
        </w:rPr>
        <w:t>万元，占政府采购支出总额的</w:t>
      </w:r>
      <w:r>
        <w:rPr>
          <w:rFonts w:hint="eastAsia" w:ascii="宋体" w:hAnsi="宋体" w:cs="仿宋"/>
          <w:bCs/>
          <w:sz w:val="28"/>
          <w:szCs w:val="28"/>
          <w:lang w:val="en-US" w:eastAsia="zh-CN"/>
        </w:rPr>
        <w:t>10</w:t>
      </w:r>
      <w:r>
        <w:rPr>
          <w:rFonts w:hint="eastAsia" w:ascii="宋体" w:hAnsi="宋体" w:cs="仿宋"/>
          <w:bCs/>
          <w:sz w:val="28"/>
          <w:szCs w:val="28"/>
        </w:rPr>
        <w:t>0%。</w:t>
      </w:r>
      <w:bookmarkStart w:id="0" w:name="_GoBack"/>
      <w:bookmarkEnd w:id="0"/>
    </w:p>
    <w:p>
      <w:pPr>
        <w:pStyle w:val="7"/>
        <w:widowControl/>
        <w:spacing w:before="76" w:beforeAutospacing="0" w:after="76" w:afterAutospacing="0" w:line="450" w:lineRule="atLeast"/>
        <w:ind w:firstLine="420"/>
        <w:rPr>
          <w:rFonts w:ascii="宋体" w:cs="宋体"/>
          <w:b/>
          <w:bCs/>
          <w:sz w:val="28"/>
          <w:szCs w:val="28"/>
          <w:shd w:val="clear" w:color="auto" w:fill="FFFFFF"/>
          <w:lang w:val="zh-CN"/>
        </w:rPr>
      </w:pPr>
      <w:r>
        <w:rPr>
          <w:rFonts w:hint="eastAsia" w:ascii="宋体" w:hAnsi="宋体" w:cs="宋体"/>
          <w:b/>
          <w:bCs/>
          <w:sz w:val="28"/>
          <w:szCs w:val="28"/>
          <w:shd w:val="clear" w:color="auto" w:fill="FFFFFF"/>
          <w:lang w:val="zh-CN"/>
        </w:rPr>
        <w:t>（五）关于国有资产占用情况说明</w:t>
      </w:r>
    </w:p>
    <w:p>
      <w:pPr>
        <w:widowControl/>
        <w:shd w:val="clear" w:color="auto" w:fill="FFFFFF"/>
        <w:snapToGrid w:val="0"/>
        <w:spacing w:line="560" w:lineRule="atLeast"/>
        <w:ind w:firstLine="562"/>
        <w:jc w:val="left"/>
        <w:rPr>
          <w:rFonts w:ascii="宋体"/>
          <w:sz w:val="28"/>
          <w:szCs w:val="28"/>
        </w:rPr>
      </w:pPr>
      <w:r>
        <w:rPr>
          <w:rFonts w:hint="eastAsia" w:ascii="宋体" w:hAnsi="宋体" w:cs="宋体"/>
          <w:kern w:val="0"/>
          <w:sz w:val="28"/>
          <w:szCs w:val="28"/>
          <w:lang w:val="zh-CN"/>
        </w:rPr>
        <w:t>截至</w:t>
      </w:r>
      <w:r>
        <w:rPr>
          <w:rFonts w:ascii="宋体" w:hAnsi="宋体" w:cs="宋体"/>
          <w:kern w:val="0"/>
          <w:sz w:val="28"/>
          <w:szCs w:val="28"/>
          <w:lang w:val="zh-CN"/>
        </w:rPr>
        <w:t>2021</w:t>
      </w:r>
      <w:r>
        <w:rPr>
          <w:rFonts w:hint="eastAsia" w:ascii="宋体" w:hAnsi="宋体" w:cs="宋体"/>
          <w:kern w:val="0"/>
          <w:sz w:val="28"/>
          <w:szCs w:val="28"/>
          <w:lang w:val="zh-CN"/>
        </w:rPr>
        <w:t>年</w:t>
      </w:r>
      <w:r>
        <w:rPr>
          <w:rFonts w:ascii="宋体" w:hAnsi="宋体" w:cs="宋体"/>
          <w:kern w:val="0"/>
          <w:sz w:val="28"/>
          <w:szCs w:val="28"/>
          <w:lang w:val="zh-CN"/>
        </w:rPr>
        <w:t>12</w:t>
      </w:r>
      <w:r>
        <w:rPr>
          <w:rFonts w:hint="eastAsia" w:ascii="宋体" w:hAnsi="宋体" w:cs="宋体"/>
          <w:kern w:val="0"/>
          <w:sz w:val="28"/>
          <w:szCs w:val="28"/>
          <w:lang w:val="zh-CN"/>
        </w:rPr>
        <w:t>月</w:t>
      </w:r>
      <w:r>
        <w:rPr>
          <w:rFonts w:ascii="宋体" w:hAnsi="宋体" w:cs="宋体"/>
          <w:kern w:val="0"/>
          <w:sz w:val="28"/>
          <w:szCs w:val="28"/>
          <w:lang w:val="zh-CN"/>
        </w:rPr>
        <w:t>31</w:t>
      </w:r>
      <w:r>
        <w:rPr>
          <w:rFonts w:hint="eastAsia" w:ascii="宋体" w:hAnsi="宋体" w:cs="宋体"/>
          <w:kern w:val="0"/>
          <w:sz w:val="28"/>
          <w:szCs w:val="28"/>
          <w:lang w:val="zh-CN"/>
        </w:rPr>
        <w:t>日，</w:t>
      </w:r>
      <w:r>
        <w:rPr>
          <w:rFonts w:hint="eastAsia" w:ascii="宋体" w:hAnsi="宋体"/>
          <w:sz w:val="28"/>
          <w:szCs w:val="28"/>
        </w:rPr>
        <w:t>本部门共有车辆</w:t>
      </w:r>
      <w:r>
        <w:rPr>
          <w:rFonts w:ascii="宋体"/>
          <w:sz w:val="28"/>
          <w:szCs w:val="28"/>
        </w:rPr>
        <w:t>0</w:t>
      </w:r>
      <w:r>
        <w:rPr>
          <w:rFonts w:hint="eastAsia" w:ascii="宋体" w:hAnsi="宋体"/>
          <w:sz w:val="28"/>
          <w:szCs w:val="28"/>
        </w:rPr>
        <w:t>辆，其中，主要领导干部用车</w:t>
      </w:r>
      <w:r>
        <w:rPr>
          <w:rFonts w:ascii="宋体"/>
          <w:sz w:val="28"/>
          <w:szCs w:val="28"/>
        </w:rPr>
        <w:t>0</w:t>
      </w:r>
      <w:r>
        <w:rPr>
          <w:rFonts w:hint="eastAsia" w:ascii="宋体" w:hAnsi="宋体"/>
          <w:sz w:val="28"/>
          <w:szCs w:val="28"/>
        </w:rPr>
        <w:t>辆、机要通信用车</w:t>
      </w:r>
      <w:r>
        <w:rPr>
          <w:rFonts w:ascii="宋体"/>
          <w:sz w:val="28"/>
          <w:szCs w:val="28"/>
        </w:rPr>
        <w:t>0</w:t>
      </w:r>
      <w:r>
        <w:rPr>
          <w:rFonts w:hint="eastAsia" w:ascii="宋体" w:hAnsi="宋体"/>
          <w:sz w:val="28"/>
          <w:szCs w:val="28"/>
        </w:rPr>
        <w:t>辆、应急保障用车</w:t>
      </w:r>
      <w:r>
        <w:rPr>
          <w:rFonts w:ascii="宋体"/>
          <w:sz w:val="28"/>
          <w:szCs w:val="28"/>
        </w:rPr>
        <w:t>0</w:t>
      </w:r>
      <w:r>
        <w:rPr>
          <w:rFonts w:hint="eastAsia" w:ascii="宋体" w:hAnsi="宋体"/>
          <w:sz w:val="28"/>
          <w:szCs w:val="28"/>
        </w:rPr>
        <w:t>辆、执法执勤用车</w:t>
      </w:r>
      <w:r>
        <w:rPr>
          <w:rFonts w:ascii="宋体"/>
          <w:sz w:val="28"/>
          <w:szCs w:val="28"/>
        </w:rPr>
        <w:t>0</w:t>
      </w:r>
      <w:r>
        <w:rPr>
          <w:rFonts w:hint="eastAsia" w:ascii="宋体" w:hAnsi="宋体" w:eastAsia="MS Gothic" w:cs="MS Gothic"/>
          <w:sz w:val="28"/>
          <w:szCs w:val="28"/>
        </w:rPr>
        <w:t> </w:t>
      </w:r>
      <w:r>
        <w:rPr>
          <w:rFonts w:hint="eastAsia" w:ascii="宋体" w:hAnsi="宋体"/>
          <w:sz w:val="28"/>
          <w:szCs w:val="28"/>
        </w:rPr>
        <w:t>辆、特种专业技术用车</w:t>
      </w:r>
      <w:r>
        <w:rPr>
          <w:rFonts w:ascii="宋体"/>
          <w:sz w:val="28"/>
          <w:szCs w:val="28"/>
        </w:rPr>
        <w:t>0</w:t>
      </w:r>
      <w:r>
        <w:rPr>
          <w:rFonts w:hint="eastAsia" w:ascii="宋体" w:hAnsi="宋体" w:eastAsia="MS Gothic" w:cs="MS Gothic"/>
          <w:sz w:val="28"/>
          <w:szCs w:val="28"/>
        </w:rPr>
        <w:t> </w:t>
      </w:r>
      <w:r>
        <w:rPr>
          <w:rFonts w:hint="eastAsia" w:ascii="宋体" w:hAnsi="宋体"/>
          <w:sz w:val="28"/>
          <w:szCs w:val="28"/>
        </w:rPr>
        <w:t>辆、离退休干部用车</w:t>
      </w:r>
      <w:r>
        <w:rPr>
          <w:rFonts w:ascii="宋体"/>
          <w:sz w:val="28"/>
          <w:szCs w:val="28"/>
        </w:rPr>
        <w:t>0</w:t>
      </w:r>
      <w:r>
        <w:rPr>
          <w:rFonts w:hint="eastAsia" w:ascii="宋体" w:hAnsi="宋体"/>
          <w:sz w:val="28"/>
          <w:szCs w:val="28"/>
        </w:rPr>
        <w:t>辆、</w:t>
      </w:r>
      <w:r>
        <w:rPr>
          <w:rFonts w:hint="eastAsia" w:ascii="宋体" w:hAnsi="宋体" w:eastAsia="MS Gothic" w:cs="MS Gothic"/>
          <w:sz w:val="28"/>
          <w:szCs w:val="28"/>
        </w:rPr>
        <w:t> </w:t>
      </w:r>
      <w:r>
        <w:rPr>
          <w:rFonts w:hint="eastAsia" w:ascii="宋体" w:hAnsi="宋体"/>
          <w:sz w:val="28"/>
          <w:szCs w:val="28"/>
        </w:rPr>
        <w:t>其他用车</w:t>
      </w:r>
      <w:r>
        <w:rPr>
          <w:rFonts w:ascii="宋体"/>
          <w:sz w:val="28"/>
          <w:szCs w:val="28"/>
        </w:rPr>
        <w:t>0</w:t>
      </w:r>
      <w:r>
        <w:rPr>
          <w:rFonts w:hint="eastAsia" w:ascii="宋体" w:hAnsi="宋体"/>
          <w:sz w:val="28"/>
          <w:szCs w:val="28"/>
        </w:rPr>
        <w:t>辆；单位价值</w:t>
      </w:r>
      <w:r>
        <w:rPr>
          <w:rFonts w:ascii="宋体" w:hAnsi="宋体"/>
          <w:sz w:val="28"/>
          <w:szCs w:val="28"/>
        </w:rPr>
        <w:t>50</w:t>
      </w:r>
      <w:r>
        <w:rPr>
          <w:rFonts w:hint="eastAsia" w:ascii="宋体" w:hAnsi="宋体"/>
          <w:sz w:val="28"/>
          <w:szCs w:val="28"/>
        </w:rPr>
        <w:t>万元以上通用设备</w:t>
      </w:r>
      <w:r>
        <w:rPr>
          <w:rFonts w:ascii="宋体"/>
          <w:sz w:val="28"/>
          <w:szCs w:val="28"/>
        </w:rPr>
        <w:t>0</w:t>
      </w:r>
      <w:r>
        <w:rPr>
          <w:rFonts w:hint="eastAsia" w:ascii="宋体" w:hAnsi="宋体"/>
          <w:sz w:val="28"/>
          <w:szCs w:val="28"/>
        </w:rPr>
        <w:t>台（套）；单位价值</w:t>
      </w:r>
      <w:r>
        <w:rPr>
          <w:rFonts w:ascii="宋体" w:hAnsi="宋体"/>
          <w:sz w:val="28"/>
          <w:szCs w:val="28"/>
        </w:rPr>
        <w:t>100</w:t>
      </w:r>
      <w:r>
        <w:rPr>
          <w:rFonts w:hint="eastAsia" w:ascii="宋体" w:hAnsi="宋体"/>
          <w:sz w:val="28"/>
          <w:szCs w:val="28"/>
        </w:rPr>
        <w:t>万元以上专用设备</w:t>
      </w:r>
      <w:r>
        <w:rPr>
          <w:rFonts w:ascii="宋体"/>
          <w:sz w:val="28"/>
          <w:szCs w:val="28"/>
        </w:rPr>
        <w:t>0</w:t>
      </w:r>
      <w:r>
        <w:rPr>
          <w:rFonts w:hint="eastAsia" w:ascii="宋体" w:hAnsi="宋体"/>
          <w:sz w:val="28"/>
          <w:szCs w:val="28"/>
        </w:rPr>
        <w:t>台（套）。</w:t>
      </w:r>
    </w:p>
    <w:p>
      <w:pPr>
        <w:shd w:val="clear" w:color="auto" w:fill="FFFFFF"/>
        <w:snapToGrid w:val="0"/>
        <w:spacing w:line="560" w:lineRule="atLeast"/>
        <w:ind w:firstLine="560" w:firstLineChars="200"/>
        <w:rPr>
          <w:rFonts w:ascii="宋体" w:cs="宋体"/>
          <w:color w:val="333333"/>
          <w:sz w:val="28"/>
          <w:szCs w:val="28"/>
        </w:rPr>
      </w:pPr>
    </w:p>
    <w:p>
      <w:pPr>
        <w:autoSpaceDE w:val="0"/>
        <w:autoSpaceDN w:val="0"/>
        <w:adjustRightInd w:val="0"/>
        <w:ind w:firstLine="560" w:firstLineChars="200"/>
        <w:jc w:val="left"/>
        <w:rPr>
          <w:rFonts w:ascii="宋体" w:cs="宋体"/>
          <w:kern w:val="0"/>
          <w:sz w:val="28"/>
          <w:szCs w:val="28"/>
          <w:lang w:val="zh-CN"/>
        </w:rPr>
      </w:pPr>
    </w:p>
    <w:p>
      <w:pPr>
        <w:pStyle w:val="7"/>
        <w:widowControl/>
        <w:numPr>
          <w:ilvl w:val="0"/>
          <w:numId w:val="1"/>
        </w:numPr>
        <w:spacing w:before="76" w:beforeAutospacing="0" w:after="76" w:afterAutospacing="0" w:line="450" w:lineRule="atLeast"/>
        <w:ind w:firstLine="420"/>
        <w:rPr>
          <w:rFonts w:ascii="宋体" w:cs="宋体"/>
          <w:b/>
          <w:bCs/>
          <w:sz w:val="28"/>
          <w:szCs w:val="28"/>
          <w:shd w:val="clear" w:color="auto" w:fill="FFFFFF"/>
          <w:lang w:val="zh-CN"/>
        </w:rPr>
      </w:pPr>
      <w:r>
        <w:rPr>
          <w:rFonts w:hint="eastAsia" w:ascii="宋体" w:hAnsi="宋体" w:cs="宋体"/>
          <w:b/>
          <w:bCs/>
          <w:sz w:val="28"/>
          <w:szCs w:val="28"/>
          <w:shd w:val="clear" w:color="auto" w:fill="FFFFFF"/>
          <w:lang w:val="zh-CN"/>
        </w:rPr>
        <w:t>重点效绩评价结果等预算绩效情况</w:t>
      </w:r>
      <w:r>
        <w:rPr>
          <w:rFonts w:hint="eastAsia" w:ascii="宋体" w:hAnsi="宋体" w:cs="宋体"/>
          <w:b/>
          <w:bCs/>
          <w:sz w:val="28"/>
          <w:szCs w:val="28"/>
          <w:shd w:val="clear" w:color="auto" w:fill="FFFFFF"/>
        </w:rPr>
        <w:t>说明</w:t>
      </w:r>
    </w:p>
    <w:p>
      <w:pPr>
        <w:pStyle w:val="7"/>
        <w:widowControl/>
        <w:spacing w:before="76" w:beforeAutospacing="0" w:after="76" w:afterAutospacing="0" w:line="450" w:lineRule="atLeast"/>
        <w:ind w:firstLine="560" w:firstLineChars="200"/>
        <w:rPr>
          <w:rFonts w:ascii="宋体" w:cs="宋体"/>
          <w:b/>
          <w:bCs/>
          <w:sz w:val="28"/>
          <w:szCs w:val="28"/>
          <w:shd w:val="clear" w:color="auto" w:fill="FFFFFF"/>
        </w:rPr>
      </w:pPr>
      <w:r>
        <w:rPr>
          <w:rFonts w:hint="eastAsia" w:ascii="宋体" w:hAnsi="宋体" w:cs="宋体"/>
          <w:sz w:val="28"/>
          <w:szCs w:val="28"/>
        </w:rPr>
        <w:t>本年度未开展预算绩效评价工作</w:t>
      </w:r>
    </w:p>
    <w:p>
      <w:pPr>
        <w:spacing w:line="440" w:lineRule="exact"/>
        <w:ind w:firstLine="562" w:firstLineChars="200"/>
        <w:rPr>
          <w:rFonts w:ascii="宋体"/>
          <w:b/>
          <w:color w:val="FF6600"/>
          <w:spacing w:val="2"/>
          <w:sz w:val="28"/>
          <w:szCs w:val="28"/>
        </w:rPr>
      </w:pPr>
      <w:r>
        <w:rPr>
          <w:rFonts w:hint="eastAsia" w:ascii="宋体" w:hAnsi="宋体" w:cs="宋体"/>
          <w:b/>
          <w:bCs/>
          <w:sz w:val="28"/>
          <w:szCs w:val="28"/>
        </w:rPr>
        <w:t>（七）</w:t>
      </w:r>
      <w:r>
        <w:rPr>
          <w:rFonts w:hint="eastAsia" w:ascii="宋体" w:hAnsi="宋体"/>
          <w:b/>
          <w:spacing w:val="2"/>
          <w:sz w:val="28"/>
          <w:szCs w:val="28"/>
        </w:rPr>
        <w:t>决算收支增减变化情况</w:t>
      </w:r>
    </w:p>
    <w:p>
      <w:pPr>
        <w:spacing w:line="440" w:lineRule="exact"/>
        <w:ind w:firstLine="568" w:firstLineChars="200"/>
        <w:rPr>
          <w:rFonts w:ascii="宋体"/>
          <w:spacing w:val="2"/>
          <w:sz w:val="28"/>
          <w:szCs w:val="28"/>
        </w:rPr>
      </w:pPr>
      <w:r>
        <w:rPr>
          <w:rFonts w:ascii="宋体" w:hAnsi="宋体"/>
          <w:spacing w:val="2"/>
          <w:sz w:val="28"/>
          <w:szCs w:val="28"/>
        </w:rPr>
        <w:t>1</w:t>
      </w:r>
      <w:r>
        <w:rPr>
          <w:rFonts w:hint="eastAsia" w:ascii="宋体" w:hAnsi="宋体"/>
          <w:spacing w:val="2"/>
          <w:sz w:val="28"/>
          <w:szCs w:val="28"/>
        </w:rPr>
        <w:t>、收入增减变化情况</w:t>
      </w:r>
    </w:p>
    <w:p>
      <w:pPr>
        <w:widowControl/>
        <w:ind w:firstLine="560" w:firstLineChars="200"/>
        <w:rPr>
          <w:rFonts w:ascii="宋体"/>
          <w:spacing w:val="2"/>
          <w:sz w:val="28"/>
          <w:szCs w:val="28"/>
        </w:rPr>
      </w:pPr>
      <w:r>
        <w:rPr>
          <w:rFonts w:hint="eastAsia" w:ascii="宋体" w:hAnsi="宋体" w:cs="宋体"/>
          <w:color w:val="333333"/>
          <w:sz w:val="28"/>
          <w:szCs w:val="28"/>
        </w:rPr>
        <w:t>本年总收入</w:t>
      </w:r>
      <w:r>
        <w:rPr>
          <w:rFonts w:ascii="宋体" w:hAnsi="宋体" w:cs="宋体"/>
          <w:color w:val="333333"/>
          <w:sz w:val="28"/>
          <w:szCs w:val="28"/>
        </w:rPr>
        <w:t>383.85</w:t>
      </w:r>
      <w:r>
        <w:rPr>
          <w:rFonts w:hint="eastAsia" w:ascii="宋体" w:hAnsi="宋体" w:cs="宋体"/>
          <w:color w:val="333333"/>
          <w:sz w:val="28"/>
          <w:szCs w:val="28"/>
        </w:rPr>
        <w:t>万元。比去年的</w:t>
      </w:r>
      <w:r>
        <w:rPr>
          <w:rFonts w:ascii="宋体" w:hAnsi="宋体" w:cs="宋体"/>
          <w:color w:val="333333"/>
          <w:sz w:val="28"/>
          <w:szCs w:val="28"/>
        </w:rPr>
        <w:t>376.02</w:t>
      </w:r>
      <w:r>
        <w:rPr>
          <w:rFonts w:hint="eastAsia" w:ascii="宋体" w:hAnsi="宋体" w:cs="宋体"/>
          <w:color w:val="333333"/>
          <w:sz w:val="28"/>
          <w:szCs w:val="28"/>
        </w:rPr>
        <w:t>万元增加</w:t>
      </w:r>
      <w:r>
        <w:rPr>
          <w:rFonts w:ascii="宋体" w:hAnsi="宋体" w:cs="宋体"/>
          <w:color w:val="333333"/>
          <w:sz w:val="28"/>
          <w:szCs w:val="28"/>
        </w:rPr>
        <w:t>7.83</w:t>
      </w:r>
      <w:r>
        <w:rPr>
          <w:rFonts w:hint="eastAsia" w:ascii="宋体" w:hAnsi="宋体" w:cs="宋体"/>
          <w:color w:val="333333"/>
          <w:sz w:val="28"/>
          <w:szCs w:val="28"/>
        </w:rPr>
        <w:t>万元，增幅</w:t>
      </w:r>
      <w:r>
        <w:rPr>
          <w:rFonts w:ascii="宋体" w:hAnsi="宋体" w:cs="宋体"/>
          <w:color w:val="333333"/>
          <w:sz w:val="28"/>
          <w:szCs w:val="28"/>
        </w:rPr>
        <w:t>2.08%</w:t>
      </w:r>
      <w:r>
        <w:rPr>
          <w:rFonts w:hint="eastAsia" w:ascii="宋体" w:hAnsi="宋体" w:cs="宋体"/>
          <w:color w:val="333333"/>
          <w:sz w:val="28"/>
          <w:szCs w:val="28"/>
        </w:rPr>
        <w:t>，其主要原因为本年召开区政协八届五次会议所致。</w:t>
      </w:r>
    </w:p>
    <w:p>
      <w:pPr>
        <w:spacing w:line="440" w:lineRule="exact"/>
        <w:ind w:firstLine="568" w:firstLineChars="200"/>
        <w:rPr>
          <w:rFonts w:ascii="宋体"/>
          <w:spacing w:val="2"/>
          <w:sz w:val="28"/>
          <w:szCs w:val="28"/>
        </w:rPr>
      </w:pPr>
      <w:r>
        <w:rPr>
          <w:rFonts w:ascii="宋体" w:hAnsi="宋体"/>
          <w:spacing w:val="2"/>
          <w:sz w:val="28"/>
          <w:szCs w:val="28"/>
        </w:rPr>
        <w:t>2</w:t>
      </w:r>
      <w:r>
        <w:rPr>
          <w:rFonts w:hint="eastAsia" w:ascii="宋体" w:hAnsi="宋体"/>
          <w:spacing w:val="2"/>
          <w:sz w:val="28"/>
          <w:szCs w:val="28"/>
        </w:rPr>
        <w:t>、支出增减变化情况</w:t>
      </w:r>
    </w:p>
    <w:p>
      <w:pPr>
        <w:widowControl/>
        <w:ind w:firstLine="560" w:firstLineChars="200"/>
        <w:rPr>
          <w:rFonts w:ascii="宋体"/>
          <w:spacing w:val="2"/>
          <w:sz w:val="28"/>
          <w:szCs w:val="28"/>
        </w:rPr>
      </w:pPr>
      <w:r>
        <w:rPr>
          <w:rFonts w:hint="eastAsia" w:ascii="宋体" w:hAnsi="宋体" w:cs="宋体"/>
          <w:color w:val="333333"/>
          <w:sz w:val="28"/>
          <w:szCs w:val="28"/>
        </w:rPr>
        <w:t>本年总支出为</w:t>
      </w:r>
      <w:r>
        <w:rPr>
          <w:rFonts w:ascii="宋体" w:hAnsi="宋体" w:cs="宋体"/>
          <w:color w:val="333333"/>
          <w:sz w:val="28"/>
          <w:szCs w:val="28"/>
        </w:rPr>
        <w:t>383.85</w:t>
      </w:r>
      <w:r>
        <w:rPr>
          <w:rFonts w:hint="eastAsia" w:ascii="宋体" w:hAnsi="宋体" w:cs="宋体"/>
          <w:color w:val="333333"/>
          <w:sz w:val="28"/>
          <w:szCs w:val="28"/>
        </w:rPr>
        <w:t>万元。比去年的</w:t>
      </w:r>
      <w:r>
        <w:rPr>
          <w:rFonts w:ascii="宋体" w:hAnsi="宋体" w:cs="宋体"/>
          <w:color w:val="333333"/>
          <w:sz w:val="28"/>
          <w:szCs w:val="28"/>
        </w:rPr>
        <w:t>376.85</w:t>
      </w:r>
      <w:r>
        <w:rPr>
          <w:rFonts w:hint="eastAsia" w:ascii="宋体" w:hAnsi="宋体" w:cs="宋体"/>
          <w:color w:val="333333"/>
          <w:sz w:val="28"/>
          <w:szCs w:val="28"/>
        </w:rPr>
        <w:t>万元增加</w:t>
      </w:r>
      <w:r>
        <w:rPr>
          <w:rFonts w:ascii="宋体" w:hAnsi="宋体" w:cs="宋体"/>
          <w:color w:val="333333"/>
          <w:sz w:val="28"/>
          <w:szCs w:val="28"/>
        </w:rPr>
        <w:t>7.00</w:t>
      </w:r>
      <w:r>
        <w:rPr>
          <w:rFonts w:hint="eastAsia" w:ascii="宋体" w:hAnsi="宋体" w:cs="宋体"/>
          <w:color w:val="333333"/>
          <w:sz w:val="28"/>
          <w:szCs w:val="28"/>
        </w:rPr>
        <w:t>万元，增幅</w:t>
      </w:r>
      <w:r>
        <w:rPr>
          <w:rFonts w:ascii="宋体" w:hAnsi="宋体" w:cs="宋体"/>
          <w:color w:val="333333"/>
          <w:sz w:val="28"/>
          <w:szCs w:val="28"/>
        </w:rPr>
        <w:t>1.86%</w:t>
      </w:r>
      <w:r>
        <w:rPr>
          <w:rFonts w:hint="eastAsia" w:ascii="宋体" w:hAnsi="宋体" w:cs="宋体"/>
          <w:color w:val="333333"/>
          <w:sz w:val="28"/>
          <w:szCs w:val="28"/>
        </w:rPr>
        <w:t>，其主要原因为本年召开区政协八届五次会议所致。其中一般公共预算财政拨款支出</w:t>
      </w:r>
      <w:r>
        <w:rPr>
          <w:rFonts w:ascii="宋体" w:hAnsi="宋体" w:cs="宋体"/>
          <w:color w:val="333333"/>
          <w:sz w:val="28"/>
          <w:szCs w:val="28"/>
        </w:rPr>
        <w:t>381.85</w:t>
      </w:r>
      <w:r>
        <w:rPr>
          <w:rFonts w:hint="eastAsia" w:ascii="宋体" w:hAnsi="宋体" w:cs="宋体"/>
          <w:color w:val="333333"/>
          <w:sz w:val="28"/>
          <w:szCs w:val="28"/>
        </w:rPr>
        <w:t>万元，比去年的</w:t>
      </w:r>
      <w:r>
        <w:rPr>
          <w:rFonts w:ascii="宋体" w:hAnsi="宋体" w:cs="宋体"/>
          <w:color w:val="333333"/>
          <w:sz w:val="28"/>
          <w:szCs w:val="28"/>
        </w:rPr>
        <w:t>375.82</w:t>
      </w:r>
      <w:r>
        <w:rPr>
          <w:rFonts w:hint="eastAsia" w:ascii="宋体" w:hAnsi="宋体" w:cs="宋体"/>
          <w:color w:val="333333"/>
          <w:sz w:val="28"/>
          <w:szCs w:val="28"/>
        </w:rPr>
        <w:t>万元增加</w:t>
      </w:r>
      <w:r>
        <w:rPr>
          <w:rFonts w:ascii="宋体" w:hAnsi="宋体" w:cs="宋体"/>
          <w:color w:val="333333"/>
          <w:sz w:val="28"/>
          <w:szCs w:val="28"/>
        </w:rPr>
        <w:t>6.03</w:t>
      </w:r>
      <w:r>
        <w:rPr>
          <w:rFonts w:hint="eastAsia" w:ascii="宋体" w:hAnsi="宋体" w:cs="宋体"/>
          <w:color w:val="333333"/>
          <w:sz w:val="28"/>
          <w:szCs w:val="28"/>
        </w:rPr>
        <w:t>万元，增幅</w:t>
      </w:r>
      <w:r>
        <w:rPr>
          <w:rFonts w:ascii="宋体" w:hAnsi="宋体" w:cs="宋体"/>
          <w:color w:val="333333"/>
          <w:sz w:val="28"/>
          <w:szCs w:val="28"/>
        </w:rPr>
        <w:t>1.60%</w:t>
      </w:r>
      <w:r>
        <w:rPr>
          <w:rFonts w:hint="eastAsia" w:ascii="宋体" w:hAnsi="宋体" w:cs="宋体"/>
          <w:color w:val="333333"/>
          <w:sz w:val="28"/>
          <w:szCs w:val="28"/>
        </w:rPr>
        <w:t>，其主要原因为本年召开区政协八届五次会议所致</w:t>
      </w:r>
      <w:r>
        <w:rPr>
          <w:rFonts w:hint="eastAsia" w:ascii="宋体" w:hAnsi="宋体" w:cs="仿宋_GB2312"/>
          <w:color w:val="000000"/>
          <w:sz w:val="28"/>
          <w:szCs w:val="28"/>
        </w:rPr>
        <w:t>。</w:t>
      </w:r>
      <w:r>
        <w:rPr>
          <w:rFonts w:hint="eastAsia" w:ascii="宋体" w:hAnsi="宋体" w:cs="宋体"/>
          <w:color w:val="333333"/>
          <w:sz w:val="28"/>
          <w:szCs w:val="28"/>
        </w:rPr>
        <w:t>与年初预算数</w:t>
      </w:r>
      <w:r>
        <w:rPr>
          <w:rFonts w:ascii="宋体" w:hAnsi="宋体" w:cs="宋体"/>
          <w:color w:val="333333"/>
          <w:sz w:val="28"/>
          <w:szCs w:val="28"/>
        </w:rPr>
        <w:t>209.32</w:t>
      </w:r>
      <w:r>
        <w:rPr>
          <w:rFonts w:hint="eastAsia" w:ascii="宋体" w:hAnsi="宋体" w:cs="宋体"/>
          <w:color w:val="333333"/>
          <w:sz w:val="28"/>
          <w:szCs w:val="28"/>
        </w:rPr>
        <w:t>万元对比增加</w:t>
      </w:r>
      <w:r>
        <w:rPr>
          <w:rFonts w:ascii="宋体" w:hAnsi="宋体" w:cs="宋体"/>
          <w:color w:val="333333"/>
          <w:sz w:val="28"/>
          <w:szCs w:val="28"/>
        </w:rPr>
        <w:t>172.53</w:t>
      </w:r>
      <w:r>
        <w:rPr>
          <w:rFonts w:hint="eastAsia" w:ascii="宋体" w:hAnsi="宋体" w:cs="宋体"/>
          <w:color w:val="333333"/>
          <w:sz w:val="28"/>
          <w:szCs w:val="28"/>
        </w:rPr>
        <w:t>万元，增幅</w:t>
      </w:r>
      <w:r>
        <w:rPr>
          <w:rFonts w:ascii="宋体" w:hAnsi="宋体" w:cs="宋体"/>
          <w:color w:val="333333"/>
          <w:sz w:val="28"/>
          <w:szCs w:val="28"/>
        </w:rPr>
        <w:t>82.42%</w:t>
      </w:r>
      <w:r>
        <w:rPr>
          <w:rFonts w:hint="eastAsia" w:ascii="宋体" w:hAnsi="宋体" w:cs="宋体"/>
          <w:color w:val="333333"/>
          <w:sz w:val="28"/>
          <w:szCs w:val="28"/>
        </w:rPr>
        <w:t>，其主要原因为本年召开区政协八届五次会议所致。</w:t>
      </w:r>
    </w:p>
    <w:p>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lang w:val="zh-CN"/>
        </w:rPr>
      </w:pPr>
    </w:p>
    <w:p>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lang w:val="zh-CN"/>
        </w:rPr>
      </w:pPr>
      <w:r>
        <w:rPr>
          <w:rStyle w:val="10"/>
          <w:rFonts w:hint="eastAsia" w:ascii="微软雅黑" w:hAnsi="微软雅黑" w:eastAsia="微软雅黑" w:cs="微软雅黑"/>
          <w:color w:val="333333"/>
          <w:shd w:val="clear" w:color="auto" w:fill="FFFFFF"/>
          <w:lang w:val="zh-CN"/>
        </w:rPr>
        <w:t>第四部分</w:t>
      </w:r>
      <w:r>
        <w:rPr>
          <w:rStyle w:val="10"/>
          <w:rFonts w:ascii="微软雅黑" w:hAnsi="微软雅黑" w:eastAsia="微软雅黑" w:cs="微软雅黑"/>
          <w:color w:val="333333"/>
          <w:shd w:val="clear" w:color="auto" w:fill="FFFFFF"/>
          <w:lang w:val="zh-CN"/>
        </w:rPr>
        <w:t xml:space="preserve"> </w:t>
      </w:r>
      <w:r>
        <w:rPr>
          <w:rStyle w:val="10"/>
          <w:rFonts w:hint="eastAsia" w:ascii="微软雅黑" w:hAnsi="微软雅黑" w:eastAsia="微软雅黑" w:cs="微软雅黑"/>
          <w:color w:val="333333"/>
          <w:shd w:val="clear" w:color="auto" w:fill="FFFFFF"/>
          <w:lang w:val="zh-CN"/>
        </w:rPr>
        <w:t>名词解释</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一、财政补助收入：指县级财政当年拨付的资金。</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二、其他收入：指除“财政拨款收入”、“上级补助收入”、“事业收入”、“经营收入”等以外的收入。主要是存款利息收入等。</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三、年初结转和结余：指以前年度尚未完成、结转到本年按有关规定继续使用的资金。</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四、一般公共服务（类）行政运行（项）：指县行政单位及参照公务员管理事业单位用于保障机构正常运行、开展日常工作的基本支出。</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五、一般公共服务（类）一般行政管理事务（项）：指县行政单位及参照公务员管理事业单位用于开展立法调研、财政信息宣传、非税收入征管等未单独设置项级科目的专门性财政管理工作的项目支出。</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六、一般公共服务（类）机关服务（项）：指黄石港区政协服务中心为机关提供办公楼日常维修、维护等后勤保障服务的支出。</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七、一般公共服务（类）其他一般公共服务支出（款）其他一般公共服务支出（项）：指黄石港区政协用于其他一般公共服务方面的支出。</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八、教育（类）普通教育（款）高等教育（项）：指黄石港区政协支持地方高校的重点发展和特色办学，组织专家对省属院校申报的建设规划和项目预算进行评审等相关工作的支出。</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九、社会保障和就业</w:t>
      </w:r>
      <w:r>
        <w:rPr>
          <w:rFonts w:ascii="宋体" w:hAnsi="宋体" w:cs="宋体"/>
          <w:kern w:val="0"/>
          <w:sz w:val="28"/>
          <w:szCs w:val="28"/>
          <w:lang w:val="zh-CN"/>
        </w:rPr>
        <w:t>(</w:t>
      </w:r>
      <w:r>
        <w:rPr>
          <w:rFonts w:hint="eastAsia" w:ascii="宋体" w:hAnsi="宋体" w:cs="宋体"/>
          <w:kern w:val="0"/>
          <w:sz w:val="28"/>
          <w:szCs w:val="28"/>
          <w:lang w:val="zh-CN"/>
        </w:rPr>
        <w:t>类</w:t>
      </w:r>
      <w:r>
        <w:rPr>
          <w:rFonts w:ascii="宋体" w:hAnsi="宋体" w:cs="宋体"/>
          <w:kern w:val="0"/>
          <w:sz w:val="28"/>
          <w:szCs w:val="28"/>
          <w:lang w:val="zh-CN"/>
        </w:rPr>
        <w:t>)</w:t>
      </w:r>
      <w:r>
        <w:rPr>
          <w:rFonts w:hint="eastAsia" w:ascii="宋体" w:hAnsi="宋体" w:cs="宋体"/>
          <w:kern w:val="0"/>
          <w:sz w:val="28"/>
          <w:szCs w:val="28"/>
          <w:lang w:val="zh-CN"/>
        </w:rPr>
        <w:t>行政事业单位离退休（款）归口管理的行政单位离退休（项）：指黄石港区政协用于离退休人员的支出、退休人员支出，以及提供管理服务工作的离退休干部处的支出。</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十、社会保障和就业</w:t>
      </w:r>
      <w:r>
        <w:rPr>
          <w:rFonts w:ascii="宋体" w:hAnsi="宋体" w:cs="宋体"/>
          <w:kern w:val="0"/>
          <w:sz w:val="28"/>
          <w:szCs w:val="28"/>
          <w:lang w:val="zh-CN"/>
        </w:rPr>
        <w:t>(</w:t>
      </w:r>
      <w:r>
        <w:rPr>
          <w:rFonts w:hint="eastAsia" w:ascii="宋体" w:hAnsi="宋体" w:cs="宋体"/>
          <w:kern w:val="0"/>
          <w:sz w:val="28"/>
          <w:szCs w:val="28"/>
          <w:lang w:val="zh-CN"/>
        </w:rPr>
        <w:t>类</w:t>
      </w:r>
      <w:r>
        <w:rPr>
          <w:rFonts w:ascii="宋体" w:hAnsi="宋体" w:cs="宋体"/>
          <w:kern w:val="0"/>
          <w:sz w:val="28"/>
          <w:szCs w:val="28"/>
          <w:lang w:val="zh-CN"/>
        </w:rPr>
        <w:t>)</w:t>
      </w:r>
      <w:r>
        <w:rPr>
          <w:rFonts w:hint="eastAsia" w:ascii="宋体" w:hAnsi="宋体" w:cs="宋体"/>
          <w:kern w:val="0"/>
          <w:sz w:val="28"/>
          <w:szCs w:val="28"/>
          <w:lang w:val="zh-CN"/>
        </w:rPr>
        <w:t>行政事业单位离退休（款）其他行政事业单位离退休支出（项）：指黄石港区政协用于离退休方面的其他支出。</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十一、医疗卫生与计划生育（类）医疗保障（款）行政单位医疗（项）：指黄石港区政协用于机关干部职工及离退休人员医疗方面的支出。</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十二、住房保障（类）住房改革支出（款）购房补贴（项）：指按照相关住房分配货币化改革的政策规定和标准，对无房和住房未达标职工发放的住房分配货币化补贴资金。</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十三、年末结转和结余：指本年度或以前年度预算安排、因客观条件发生变化无法按原计划实施，需要延迟到以后年度按有关规定继续使用的资金。</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十四、基本支出：指为保障机构正常运转、完成日常工作任务而发生的人员支出（包括基本工资、津贴补贴等）和公用支出（包括办公费、水电费、邮电费、交通费、差旅费等）。</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十五、项目支出：指在基本支出之外为完成特定行政任务和事业发展目标所发生的支出。</w:t>
      </w:r>
    </w:p>
    <w:p>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十六、“三公”经费：是指用财政拨款安排的因公出国（境）费、公务用车购置及运行维护费、公务接待费。</w:t>
      </w:r>
    </w:p>
    <w:p>
      <w:pPr>
        <w:autoSpaceDE w:val="0"/>
        <w:autoSpaceDN w:val="0"/>
        <w:adjustRightInd w:val="0"/>
        <w:ind w:firstLine="560" w:firstLineChars="200"/>
        <w:jc w:val="left"/>
        <w:rPr>
          <w:rFonts w:ascii="宋体" w:cs="宋体"/>
          <w:kern w:val="0"/>
          <w:sz w:val="28"/>
          <w:szCs w:val="28"/>
          <w:lang w:val="zh-CN"/>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3B8A0"/>
    <w:multiLevelType w:val="singleLevel"/>
    <w:tmpl w:val="2513B8A0"/>
    <w:lvl w:ilvl="0" w:tentative="0">
      <w:start w:val="6"/>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Y0MjZhZWQxZDJkN2Q1OTIxZTI5MTJlYjM0YzA0NjQifQ=="/>
  </w:docVars>
  <w:rsids>
    <w:rsidRoot w:val="009F431E"/>
    <w:rsid w:val="00017B50"/>
    <w:rsid w:val="0003050A"/>
    <w:rsid w:val="000311A4"/>
    <w:rsid w:val="00060C2D"/>
    <w:rsid w:val="00067A3A"/>
    <w:rsid w:val="0008276B"/>
    <w:rsid w:val="00083789"/>
    <w:rsid w:val="00095B33"/>
    <w:rsid w:val="000B55E2"/>
    <w:rsid w:val="000C6D6D"/>
    <w:rsid w:val="000C6DAE"/>
    <w:rsid w:val="000E1EE2"/>
    <w:rsid w:val="000F780F"/>
    <w:rsid w:val="00135E1A"/>
    <w:rsid w:val="00170DAF"/>
    <w:rsid w:val="001F52BF"/>
    <w:rsid w:val="00236694"/>
    <w:rsid w:val="002629B6"/>
    <w:rsid w:val="002A56BE"/>
    <w:rsid w:val="00315998"/>
    <w:rsid w:val="00320465"/>
    <w:rsid w:val="00327E1C"/>
    <w:rsid w:val="00336DF9"/>
    <w:rsid w:val="00337BB3"/>
    <w:rsid w:val="00356C09"/>
    <w:rsid w:val="003621D5"/>
    <w:rsid w:val="004505D1"/>
    <w:rsid w:val="00485E66"/>
    <w:rsid w:val="00486B59"/>
    <w:rsid w:val="004A50DB"/>
    <w:rsid w:val="004D59FE"/>
    <w:rsid w:val="004E206E"/>
    <w:rsid w:val="00514AE2"/>
    <w:rsid w:val="0051733C"/>
    <w:rsid w:val="00557C69"/>
    <w:rsid w:val="00563E4F"/>
    <w:rsid w:val="0058414F"/>
    <w:rsid w:val="00587F93"/>
    <w:rsid w:val="00592170"/>
    <w:rsid w:val="005A5118"/>
    <w:rsid w:val="005B1270"/>
    <w:rsid w:val="005B3416"/>
    <w:rsid w:val="005E5331"/>
    <w:rsid w:val="005F081C"/>
    <w:rsid w:val="00603885"/>
    <w:rsid w:val="006140D4"/>
    <w:rsid w:val="00615BFA"/>
    <w:rsid w:val="006245C3"/>
    <w:rsid w:val="00642A52"/>
    <w:rsid w:val="00660DB2"/>
    <w:rsid w:val="00682E6A"/>
    <w:rsid w:val="006915EC"/>
    <w:rsid w:val="006A2614"/>
    <w:rsid w:val="006B5497"/>
    <w:rsid w:val="006C3FBF"/>
    <w:rsid w:val="006D5FE1"/>
    <w:rsid w:val="006E67AB"/>
    <w:rsid w:val="00702FA4"/>
    <w:rsid w:val="007175D0"/>
    <w:rsid w:val="00735B92"/>
    <w:rsid w:val="0074045A"/>
    <w:rsid w:val="00747A84"/>
    <w:rsid w:val="00770DD2"/>
    <w:rsid w:val="00794080"/>
    <w:rsid w:val="00797E35"/>
    <w:rsid w:val="007B6542"/>
    <w:rsid w:val="007F4C78"/>
    <w:rsid w:val="00851F58"/>
    <w:rsid w:val="0085273F"/>
    <w:rsid w:val="008542E4"/>
    <w:rsid w:val="008902B4"/>
    <w:rsid w:val="008D5320"/>
    <w:rsid w:val="008D6AA3"/>
    <w:rsid w:val="00912A45"/>
    <w:rsid w:val="00913C84"/>
    <w:rsid w:val="00923832"/>
    <w:rsid w:val="00945511"/>
    <w:rsid w:val="00952769"/>
    <w:rsid w:val="00974DB5"/>
    <w:rsid w:val="009E78E4"/>
    <w:rsid w:val="009F211A"/>
    <w:rsid w:val="009F431E"/>
    <w:rsid w:val="00A340DA"/>
    <w:rsid w:val="00A64D2F"/>
    <w:rsid w:val="00A71CF2"/>
    <w:rsid w:val="00A77E90"/>
    <w:rsid w:val="00A87776"/>
    <w:rsid w:val="00AB7DE9"/>
    <w:rsid w:val="00B21156"/>
    <w:rsid w:val="00B40057"/>
    <w:rsid w:val="00B430E7"/>
    <w:rsid w:val="00B82F0D"/>
    <w:rsid w:val="00B853BF"/>
    <w:rsid w:val="00BA0FDF"/>
    <w:rsid w:val="00BC36A0"/>
    <w:rsid w:val="00BF3263"/>
    <w:rsid w:val="00C545B2"/>
    <w:rsid w:val="00CF5142"/>
    <w:rsid w:val="00D44C6D"/>
    <w:rsid w:val="00DA5601"/>
    <w:rsid w:val="00DD249A"/>
    <w:rsid w:val="00DF26CD"/>
    <w:rsid w:val="00E234DD"/>
    <w:rsid w:val="00E30581"/>
    <w:rsid w:val="00E72C9B"/>
    <w:rsid w:val="00E9358C"/>
    <w:rsid w:val="00E95602"/>
    <w:rsid w:val="00F04F12"/>
    <w:rsid w:val="00FB1F95"/>
    <w:rsid w:val="00FC04D5"/>
    <w:rsid w:val="04C527F3"/>
    <w:rsid w:val="0664587B"/>
    <w:rsid w:val="09FF39B4"/>
    <w:rsid w:val="11411182"/>
    <w:rsid w:val="132A4F40"/>
    <w:rsid w:val="1D451DDD"/>
    <w:rsid w:val="1FEC65A2"/>
    <w:rsid w:val="219E41B4"/>
    <w:rsid w:val="255E033E"/>
    <w:rsid w:val="27390172"/>
    <w:rsid w:val="2CCE2491"/>
    <w:rsid w:val="2F081AB6"/>
    <w:rsid w:val="325D23D5"/>
    <w:rsid w:val="33DA2CDE"/>
    <w:rsid w:val="38F961A5"/>
    <w:rsid w:val="457D21A1"/>
    <w:rsid w:val="458E538D"/>
    <w:rsid w:val="50F166FE"/>
    <w:rsid w:val="55D63674"/>
    <w:rsid w:val="621B3808"/>
    <w:rsid w:val="67E4782B"/>
    <w:rsid w:val="6BC9191C"/>
    <w:rsid w:val="6DA8363C"/>
    <w:rsid w:val="746766E2"/>
    <w:rsid w:val="74EA7B66"/>
    <w:rsid w:val="76597733"/>
    <w:rsid w:val="7818640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qFormat/>
    <w:uiPriority w:val="99"/>
    <w:pPr>
      <w:spacing w:beforeAutospacing="1" w:afterAutospacing="1"/>
      <w:jc w:val="left"/>
      <w:outlineLvl w:val="4"/>
    </w:pPr>
    <w:rPr>
      <w:rFonts w:ascii="宋体" w:hAnsi="宋体"/>
      <w:b/>
      <w:kern w:val="0"/>
      <w:sz w:val="20"/>
      <w:szCs w:val="20"/>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uiPriority w:val="99"/>
    <w:pPr>
      <w:spacing w:line="500" w:lineRule="exact"/>
      <w:ind w:firstLine="640" w:firstLineChars="200"/>
    </w:pPr>
    <w:rPr>
      <w:rFonts w:ascii="宋体"/>
      <w:sz w:val="32"/>
    </w:rPr>
  </w:style>
  <w:style w:type="paragraph" w:styleId="4">
    <w:name w:val="Plain Text"/>
    <w:basedOn w:val="1"/>
    <w:link w:val="13"/>
    <w:qFormat/>
    <w:uiPriority w:val="99"/>
    <w:rPr>
      <w:rFonts w:ascii="宋体" w:hAnsi="Courier New" w:cs="Courier New"/>
      <w:szCs w:val="21"/>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pPr>
      <w:spacing w:beforeAutospacing="1" w:afterAutospacing="1"/>
      <w:jc w:val="left"/>
    </w:pPr>
    <w:rPr>
      <w:kern w:val="0"/>
      <w:sz w:val="24"/>
    </w:rPr>
  </w:style>
  <w:style w:type="character" w:styleId="10">
    <w:name w:val="Strong"/>
    <w:basedOn w:val="9"/>
    <w:qFormat/>
    <w:uiPriority w:val="99"/>
    <w:rPr>
      <w:rFonts w:cs="Times New Roman"/>
      <w:b/>
    </w:rPr>
  </w:style>
  <w:style w:type="character" w:customStyle="1" w:styleId="11">
    <w:name w:val="Heading 5 Char"/>
    <w:basedOn w:val="9"/>
    <w:link w:val="2"/>
    <w:semiHidden/>
    <w:qFormat/>
    <w:locked/>
    <w:uiPriority w:val="99"/>
    <w:rPr>
      <w:rFonts w:ascii="Calibri" w:hAnsi="Calibri" w:cs="Times New Roman"/>
      <w:b/>
      <w:bCs/>
      <w:sz w:val="28"/>
      <w:szCs w:val="28"/>
    </w:rPr>
  </w:style>
  <w:style w:type="character" w:customStyle="1" w:styleId="12">
    <w:name w:val="Body Text Indent Char"/>
    <w:basedOn w:val="9"/>
    <w:link w:val="3"/>
    <w:semiHidden/>
    <w:qFormat/>
    <w:locked/>
    <w:uiPriority w:val="99"/>
    <w:rPr>
      <w:rFonts w:ascii="Calibri" w:hAnsi="Calibri" w:cs="Times New Roman"/>
      <w:sz w:val="24"/>
      <w:szCs w:val="24"/>
    </w:rPr>
  </w:style>
  <w:style w:type="character" w:customStyle="1" w:styleId="13">
    <w:name w:val="Plain Text Char"/>
    <w:basedOn w:val="9"/>
    <w:link w:val="4"/>
    <w:semiHidden/>
    <w:qFormat/>
    <w:locked/>
    <w:uiPriority w:val="99"/>
    <w:rPr>
      <w:rFonts w:ascii="宋体" w:hAnsi="Courier New" w:cs="Courier New"/>
      <w:sz w:val="21"/>
      <w:szCs w:val="21"/>
    </w:rPr>
  </w:style>
  <w:style w:type="character" w:customStyle="1" w:styleId="14">
    <w:name w:val="Footer Char"/>
    <w:basedOn w:val="9"/>
    <w:link w:val="5"/>
    <w:semiHidden/>
    <w:locked/>
    <w:uiPriority w:val="99"/>
    <w:rPr>
      <w:rFonts w:ascii="Calibri" w:hAnsi="Calibri" w:cs="Times New Roman"/>
      <w:sz w:val="18"/>
      <w:szCs w:val="18"/>
    </w:rPr>
  </w:style>
  <w:style w:type="character" w:customStyle="1" w:styleId="15">
    <w:name w:val="Header Char"/>
    <w:basedOn w:val="9"/>
    <w:link w:val="6"/>
    <w:semiHidden/>
    <w:qFormat/>
    <w:locked/>
    <w:uiPriority w:val="99"/>
    <w:rPr>
      <w:rFonts w:ascii="Calibri" w:hAnsi="Calibri" w:cs="Times New Roman"/>
      <w:sz w:val="18"/>
      <w:szCs w:val="18"/>
    </w:rPr>
  </w:style>
  <w:style w:type="paragraph" w:customStyle="1" w:styleId="16">
    <w:name w:val="正文缩进 + 首行缩进:  2 字符"/>
    <w:basedOn w:val="1"/>
    <w:qFormat/>
    <w:uiPriority w:val="99"/>
    <w:pPr>
      <w:spacing w:line="560" w:lineRule="exact"/>
      <w:ind w:firstLine="640"/>
    </w:pPr>
    <w:rPr>
      <w:rFonts w:ascii="仿宋" w:hAnsi="仿宋" w:cs="宋体"/>
      <w:sz w:val="32"/>
      <w:szCs w:val="32"/>
    </w:rPr>
  </w:style>
  <w:style w:type="character" w:customStyle="1" w:styleId="17">
    <w:name w:val="ca-2"/>
    <w:basedOn w:val="9"/>
    <w:qFormat/>
    <w:uiPriority w:val="99"/>
    <w:rPr>
      <w:rFonts w:cs="Times New Roman"/>
    </w:rPr>
  </w:style>
  <w:style w:type="paragraph" w:customStyle="1" w:styleId="18">
    <w:name w:val="Normal (Web)1"/>
    <w:basedOn w:val="1"/>
    <w:qFormat/>
    <w:uiPriority w:val="99"/>
    <w:pPr>
      <w:widowControl/>
      <w:spacing w:before="100" w:beforeAutospacing="1" w:after="100" w:afterAutospacing="1"/>
      <w:jc w:val="left"/>
    </w:pPr>
    <w:rPr>
      <w:rFonts w:ascii="宋体" w:hAnsi="宋体" w:cs="宋体"/>
      <w:kern w:val="0"/>
      <w:sz w:val="24"/>
    </w:rPr>
  </w:style>
  <w:style w:type="character" w:customStyle="1" w:styleId="19">
    <w:name w:val="ca-3"/>
    <w:basedOn w:val="9"/>
    <w:uiPriority w:val="99"/>
    <w:rPr>
      <w:rFonts w:cs="Times New Roman"/>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19</Pages>
  <Words>3727</Words>
  <Characters>4170</Characters>
  <Lines>0</Lines>
  <Paragraphs>0</Paragraphs>
  <TotalTime>45</TotalTime>
  <ScaleCrop>false</ScaleCrop>
  <LinksUpToDate>false</LinksUpToDate>
  <CharactersWithSpaces>4184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南有乔木</cp:lastModifiedBy>
  <dcterms:modified xsi:type="dcterms:W3CDTF">2023-08-23T09:08:11Z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0EFFA458AEC14B01919A7434BAF36EC2</vt:lpwstr>
  </property>
</Properties>
</file>