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组织部</w:t>
      </w:r>
      <w:r>
        <w:rPr>
          <w:rFonts w:ascii="微软雅黑" w:hAnsi="微软雅黑" w:eastAsia="微软雅黑" w:cs="微软雅黑"/>
          <w:color w:val="BC1010"/>
          <w:sz w:val="40"/>
          <w:szCs w:val="40"/>
          <w:shd w:val="clear" w:color="auto" w:fill="FFFFFF"/>
        </w:rPr>
        <w:t>2019</w:t>
      </w:r>
      <w:r>
        <w:rPr>
          <w:rFonts w:hint="eastAsia" w:ascii="微软雅黑" w:hAnsi="微软雅黑" w:eastAsia="微软雅黑" w:cs="微软雅黑"/>
          <w:color w:val="BC1010"/>
          <w:sz w:val="40"/>
          <w:szCs w:val="40"/>
          <w:shd w:val="clear" w:color="auto" w:fill="FFFFFF"/>
        </w:rPr>
        <w:t>年决算公开</w:t>
      </w:r>
    </w:p>
    <w:p>
      <w:pPr>
        <w:pStyle w:val="7"/>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黄石港区组织部</w:t>
      </w:r>
      <w:r>
        <w:rPr>
          <w:rStyle w:val="9"/>
          <w:rFonts w:ascii="微软雅黑" w:hAnsi="微软雅黑" w:eastAsia="微软雅黑" w:cs="微软雅黑"/>
          <w:color w:val="333333"/>
          <w:shd w:val="clear" w:color="auto" w:fill="FFFFFF"/>
        </w:rPr>
        <w:t>2019</w:t>
      </w:r>
      <w:r>
        <w:rPr>
          <w:rStyle w:val="9"/>
          <w:rFonts w:hint="eastAsia" w:ascii="微软雅黑" w:hAnsi="微软雅黑" w:eastAsia="微软雅黑" w:cs="微软雅黑"/>
          <w:color w:val="333333"/>
          <w:shd w:val="clear" w:color="auto" w:fill="FFFFFF"/>
        </w:rPr>
        <w:t>年决算公开</w:t>
      </w:r>
    </w:p>
    <w:p>
      <w:pPr>
        <w:pStyle w:val="7"/>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录</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w:t>
      </w:r>
      <w:r>
        <w:rPr>
          <w:rFonts w:ascii="微软雅黑" w:hAnsi="微软雅黑" w:eastAsia="微软雅黑" w:cs="微软雅黑"/>
          <w:color w:val="333333"/>
          <w:shd w:val="clear" w:color="auto" w:fill="FFFFFF"/>
        </w:rPr>
        <w:t>:</w:t>
      </w:r>
      <w:r>
        <w:rPr>
          <w:rFonts w:hint="eastAsia" w:ascii="微软雅黑" w:hAnsi="微软雅黑" w:eastAsia="微软雅黑" w:cs="微软雅黑"/>
          <w:color w:val="333333"/>
          <w:shd w:val="clear" w:color="auto" w:fill="FFFFFF"/>
        </w:rPr>
        <w:t>部门基本情况</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部门</w:t>
      </w:r>
      <w:r>
        <w:rPr>
          <w:rFonts w:ascii="微软雅黑" w:hAnsi="微软雅黑" w:eastAsia="微软雅黑" w:cs="微软雅黑"/>
          <w:color w:val="333333"/>
          <w:shd w:val="clear" w:color="auto" w:fill="FFFFFF"/>
        </w:rPr>
        <w:t>2019</w:t>
      </w:r>
      <w:r>
        <w:rPr>
          <w:rFonts w:hint="eastAsia" w:ascii="微软雅黑" w:hAnsi="微软雅黑" w:eastAsia="微软雅黑" w:cs="微软雅黑"/>
          <w:color w:val="333333"/>
          <w:shd w:val="clear" w:color="auto" w:fill="FFFFFF"/>
        </w:rPr>
        <w:t>年部门决算表</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w:t>
      </w:r>
      <w:r>
        <w:rPr>
          <w:rFonts w:ascii="微软雅黑" w:hAnsi="微软雅黑" w:eastAsia="微软雅黑" w:cs="微软雅黑"/>
          <w:color w:val="333333"/>
          <w:shd w:val="clear" w:color="auto" w:fill="FFFFFF"/>
        </w:rPr>
        <w:t>2019</w:t>
      </w:r>
      <w:r>
        <w:rPr>
          <w:rFonts w:hint="eastAsia" w:ascii="微软雅黑" w:hAnsi="微软雅黑" w:eastAsia="微软雅黑" w:cs="微软雅黑"/>
          <w:color w:val="333333"/>
          <w:shd w:val="clear" w:color="auto" w:fill="FFFFFF"/>
        </w:rPr>
        <w:t>年部门决算情况说明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7"/>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w:t>
      </w:r>
      <w:r>
        <w:rPr>
          <w:rFonts w:ascii="微软雅黑" w:hAnsi="微软雅黑" w:eastAsia="微软雅黑" w:cs="微软雅黑"/>
          <w:color w:val="333333"/>
          <w:shd w:val="clear" w:color="auto" w:fill="FFFFFF"/>
        </w:rPr>
        <w:t> </w:t>
      </w:r>
    </w:p>
    <w:p>
      <w:pPr>
        <w:pStyle w:val="7"/>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color w:val="333333"/>
        </w:rPr>
      </w:pPr>
      <w:r>
        <w:rPr>
          <w:rStyle w:val="9"/>
          <w:rFonts w:ascii="微软雅黑" w:hAnsi="微软雅黑" w:eastAsia="微软雅黑" w:cs="微软雅黑"/>
          <w:color w:val="333333"/>
          <w:shd w:val="clear" w:color="auto" w:fill="FFFFFF"/>
        </w:rPr>
        <w:t>2019</w:t>
      </w:r>
      <w:r>
        <w:rPr>
          <w:rStyle w:val="9"/>
          <w:rFonts w:hint="eastAsia" w:ascii="微软雅黑" w:hAnsi="微软雅黑" w:eastAsia="微软雅黑" w:cs="微软雅黑"/>
          <w:color w:val="333333"/>
          <w:shd w:val="clear" w:color="auto" w:fill="FFFFFF"/>
        </w:rPr>
        <w:t>年部门决算</w:t>
      </w:r>
    </w:p>
    <w:p>
      <w:pPr>
        <w:pStyle w:val="7"/>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w:t>
      </w:r>
      <w:r>
        <w:rPr>
          <w:rStyle w:val="9"/>
          <w:rFonts w:ascii="微软雅黑" w:hAnsi="微软雅黑" w:eastAsia="微软雅黑" w:cs="微软雅黑"/>
          <w:color w:val="333333"/>
          <w:shd w:val="clear" w:color="auto" w:fill="FFFFFF"/>
        </w:rPr>
        <w:t xml:space="preserve"> </w:t>
      </w:r>
      <w:r>
        <w:rPr>
          <w:rStyle w:val="9"/>
          <w:rFonts w:hint="eastAsia" w:ascii="微软雅黑" w:hAnsi="微软雅黑" w:eastAsia="微软雅黑" w:cs="微软雅黑"/>
          <w:color w:val="333333"/>
          <w:shd w:val="clear" w:color="auto" w:fill="FFFFFF"/>
        </w:rPr>
        <w:t>部门概况</w:t>
      </w:r>
    </w:p>
    <w:p>
      <w:pPr>
        <w:widowControl/>
        <w:shd w:val="clear" w:color="auto" w:fill="FFFFFF"/>
        <w:snapToGrid w:val="0"/>
        <w:spacing w:line="560" w:lineRule="atLeast"/>
        <w:ind w:firstLine="562"/>
        <w:jc w:val="left"/>
        <w:rPr>
          <w:rFonts w:ascii="宋体" w:cs="宋体"/>
          <w:b/>
          <w:bCs/>
          <w:color w:val="333333"/>
          <w:kern w:val="0"/>
          <w:sz w:val="28"/>
          <w:szCs w:val="28"/>
        </w:rPr>
      </w:pPr>
      <w:r>
        <w:rPr>
          <w:rFonts w:hint="eastAsia" w:ascii="宋体" w:hAnsi="宋体" w:cs="宋体"/>
          <w:color w:val="333333"/>
          <w:kern w:val="0"/>
          <w:sz w:val="28"/>
          <w:szCs w:val="28"/>
        </w:rPr>
        <w:t>　（</w:t>
      </w:r>
      <w:r>
        <w:rPr>
          <w:rFonts w:hint="eastAsia" w:ascii="宋体" w:hAnsi="宋体"/>
          <w:sz w:val="28"/>
          <w:szCs w:val="28"/>
        </w:rPr>
        <w:t>一）主要职责</w:t>
      </w:r>
    </w:p>
    <w:p>
      <w:pPr>
        <w:spacing w:line="540" w:lineRule="exact"/>
        <w:ind w:firstLine="560" w:firstLineChars="200"/>
        <w:rPr>
          <w:rFonts w:ascii="宋体"/>
          <w:sz w:val="28"/>
          <w:szCs w:val="28"/>
        </w:rPr>
      </w:pPr>
      <w:r>
        <w:rPr>
          <w:rFonts w:hint="eastAsia" w:ascii="宋体" w:hAnsi="宋体"/>
          <w:sz w:val="28"/>
          <w:szCs w:val="28"/>
        </w:rPr>
        <w:t>中共黄石港区委组织部位于黄石市磁湖路</w:t>
      </w:r>
      <w:r>
        <w:rPr>
          <w:rFonts w:ascii="宋体" w:hAnsi="宋体"/>
          <w:sz w:val="28"/>
          <w:szCs w:val="28"/>
        </w:rPr>
        <w:t>180</w:t>
      </w:r>
      <w:r>
        <w:rPr>
          <w:rFonts w:hint="eastAsia" w:ascii="宋体" w:hAnsi="宋体"/>
          <w:sz w:val="28"/>
          <w:szCs w:val="28"/>
        </w:rPr>
        <w:t>号，</w:t>
      </w:r>
      <w:r>
        <w:rPr>
          <w:rFonts w:hint="eastAsia" w:ascii="宋体" w:hAnsi="宋体" w:cs="仿宋_GB2312"/>
          <w:sz w:val="28"/>
          <w:szCs w:val="28"/>
        </w:rPr>
        <w:t>区委组织部是区委主管组织工作、干部工作和人才工作的职能部门，主要职能是：贯彻执行党的组织工作和干部工作的路线、方针、政策及区委和上级组织部门的指示、决议，研究制订全区组织工作和干部工作的规划和年度计划，并负责组织实施、监督检查；会同有关部门抓好各级领导班子的思想政治建设和干部队伍建设；检查督促下级党组织贯彻执行民主集中制、坚持集体领导、领导班子民主生活会的情况，提出改进意见和措施，并向区委报告；贯彻执行党的干部路线和干部政策，深化干部人事制度改革，搞好干部的宏观管理。负责对区委、部管以及区委协助市委管理干部的考察、考核工作。研究、指导全区党的基层组织建设，探索街道社区和各类新经济组织以及新的社会组织中党组织的设置形式和活动方式，制定加强党员管理工作的措施和意见，并组织实施。完成区委交办的其他工作任务，承办上级组织部门交办的其他工作。</w:t>
      </w:r>
    </w:p>
    <w:p>
      <w:pPr>
        <w:spacing w:line="620" w:lineRule="exact"/>
        <w:ind w:firstLine="280" w:firstLineChars="100"/>
        <w:rPr>
          <w:rFonts w:ascii="宋体" w:cs="宋体"/>
          <w:kern w:val="0"/>
          <w:sz w:val="28"/>
          <w:szCs w:val="28"/>
        </w:rPr>
      </w:pPr>
      <w:r>
        <w:rPr>
          <w:rFonts w:hint="eastAsia" w:ascii="宋体" w:hAnsi="宋体"/>
          <w:sz w:val="28"/>
          <w:szCs w:val="28"/>
        </w:rPr>
        <w:t>（二）机构设置：</w:t>
      </w:r>
      <w:r>
        <w:rPr>
          <w:rFonts w:hint="eastAsia" w:ascii="宋体" w:hAnsi="宋体" w:cs="Tahoma"/>
          <w:color w:val="333333"/>
          <w:kern w:val="0"/>
          <w:sz w:val="28"/>
          <w:szCs w:val="28"/>
        </w:rPr>
        <w:t>干部科、组织科、办公室。</w:t>
      </w:r>
    </w:p>
    <w:p>
      <w:pPr>
        <w:autoSpaceDE w:val="0"/>
        <w:spacing w:line="520" w:lineRule="exact"/>
        <w:ind w:firstLine="640" w:firstLineChars="200"/>
        <w:rPr>
          <w:rFonts w:ascii="仿宋" w:hAnsi="仿宋" w:eastAsia="仿宋" w:cs="仿宋"/>
          <w:sz w:val="32"/>
          <w:szCs w:val="32"/>
        </w:rPr>
      </w:pPr>
    </w:p>
    <w:p>
      <w:pPr>
        <w:widowControl/>
        <w:shd w:val="clear" w:color="auto" w:fill="FFFFFF"/>
        <w:jc w:val="left"/>
        <w:rPr>
          <w:rFonts w:ascii="宋体" w:cs="宋体"/>
          <w:color w:val="333333"/>
          <w:kern w:val="0"/>
          <w:sz w:val="30"/>
          <w:szCs w:val="30"/>
        </w:rPr>
      </w:pPr>
    </w:p>
    <w:p>
      <w:pPr>
        <w:pStyle w:val="7"/>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第二部分</w:t>
      </w:r>
      <w:r>
        <w:rPr>
          <w:rStyle w:val="9"/>
          <w:rFonts w:ascii="微软雅黑" w:hAnsi="微软雅黑" w:eastAsia="微软雅黑" w:cs="微软雅黑"/>
          <w:color w:val="333333"/>
          <w:shd w:val="clear" w:color="auto" w:fill="FFFFFF"/>
        </w:rPr>
        <w:t xml:space="preserve"> </w:t>
      </w:r>
      <w:r>
        <w:rPr>
          <w:rStyle w:val="9"/>
          <w:rFonts w:hint="eastAsia" w:ascii="微软雅黑" w:hAnsi="微软雅黑" w:eastAsia="微软雅黑" w:cs="微软雅黑"/>
          <w:color w:val="333333"/>
          <w:shd w:val="clear" w:color="auto" w:fill="FFFFFF"/>
        </w:rPr>
        <w:t>部门</w:t>
      </w:r>
      <w:r>
        <w:rPr>
          <w:rStyle w:val="9"/>
          <w:rFonts w:ascii="微软雅黑" w:hAnsi="微软雅黑" w:eastAsia="微软雅黑" w:cs="微软雅黑"/>
          <w:color w:val="333333"/>
          <w:shd w:val="clear" w:color="auto" w:fill="FFFFFF"/>
        </w:rPr>
        <w:t>2019</w:t>
      </w:r>
      <w:r>
        <w:rPr>
          <w:rStyle w:val="9"/>
          <w:rFonts w:hint="eastAsia" w:ascii="微软雅黑" w:hAnsi="微软雅黑" w:eastAsia="微软雅黑" w:cs="微软雅黑"/>
          <w:color w:val="333333"/>
          <w:shd w:val="clear" w:color="auto" w:fill="FFFFFF"/>
        </w:rPr>
        <w:t>年部门决算表</w:t>
      </w:r>
    </w:p>
    <w:tbl>
      <w:tblPr>
        <w:tblStyle w:val="10"/>
        <w:tblW w:w="13426" w:type="dxa"/>
        <w:jc w:val="center"/>
        <w:tblInd w:w="0" w:type="dxa"/>
        <w:tblLayout w:type="fixed"/>
        <w:tblCellMar>
          <w:top w:w="0" w:type="dxa"/>
          <w:left w:w="108" w:type="dxa"/>
          <w:bottom w:w="0" w:type="dxa"/>
          <w:right w:w="108" w:type="dxa"/>
        </w:tblCellMar>
      </w:tblPr>
      <w:tblGrid>
        <w:gridCol w:w="3651"/>
        <w:gridCol w:w="143"/>
        <w:gridCol w:w="796"/>
        <w:gridCol w:w="2160"/>
        <w:gridCol w:w="2856"/>
        <w:gridCol w:w="720"/>
        <w:gridCol w:w="3100"/>
      </w:tblGrid>
      <w:tr>
        <w:tblPrEx>
          <w:tblLayout w:type="fixed"/>
          <w:tblCellMar>
            <w:top w:w="0" w:type="dxa"/>
            <w:left w:w="108" w:type="dxa"/>
            <w:bottom w:w="0" w:type="dxa"/>
            <w:right w:w="108" w:type="dxa"/>
          </w:tblCellMar>
        </w:tblPrEx>
        <w:trPr>
          <w:trHeight w:val="375" w:hRule="atLeast"/>
          <w:jc w:val="center"/>
        </w:trPr>
        <w:tc>
          <w:tcPr>
            <w:tcW w:w="13426" w:type="dxa"/>
            <w:gridSpan w:val="7"/>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收入支出决算总表</w:t>
            </w:r>
          </w:p>
        </w:tc>
      </w:tr>
      <w:tr>
        <w:tblPrEx>
          <w:tblLayout w:type="fixed"/>
          <w:tblCellMar>
            <w:top w:w="0" w:type="dxa"/>
            <w:left w:w="108" w:type="dxa"/>
            <w:bottom w:w="0" w:type="dxa"/>
            <w:right w:w="108" w:type="dxa"/>
          </w:tblCellMar>
        </w:tblPrEx>
        <w:trPr>
          <w:trHeight w:val="300" w:hRule="atLeast"/>
          <w:jc w:val="center"/>
        </w:trPr>
        <w:tc>
          <w:tcPr>
            <w:tcW w:w="3651" w:type="dxa"/>
            <w:tcBorders>
              <w:top w:val="nil"/>
              <w:left w:val="nil"/>
              <w:bottom w:val="nil"/>
              <w:right w:val="nil"/>
            </w:tcBorders>
            <w:shd w:val="clear" w:color="auto" w:fill="FFFFFF"/>
            <w:noWrap/>
            <w:vAlign w:val="center"/>
          </w:tcPr>
          <w:p>
            <w:pPr>
              <w:widowControl/>
              <w:jc w:val="left"/>
              <w:rPr>
                <w:rFonts w:ascii="宋体" w:cs="Arial"/>
                <w:kern w:val="0"/>
                <w:sz w:val="22"/>
                <w:szCs w:val="22"/>
              </w:rPr>
            </w:pPr>
            <w:r>
              <w:rPr>
                <w:rFonts w:hint="eastAsia" w:ascii="宋体" w:hAnsi="宋体" w:cs="Arial"/>
                <w:kern w:val="0"/>
                <w:sz w:val="22"/>
                <w:szCs w:val="22"/>
              </w:rPr>
              <w:t>　</w:t>
            </w:r>
          </w:p>
        </w:tc>
        <w:tc>
          <w:tcPr>
            <w:tcW w:w="939"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16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85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7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10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r>
      <w:tr>
        <w:tblPrEx>
          <w:tblLayout w:type="fixed"/>
          <w:tblCellMar>
            <w:top w:w="0" w:type="dxa"/>
            <w:left w:w="108" w:type="dxa"/>
            <w:bottom w:w="0" w:type="dxa"/>
            <w:right w:w="108" w:type="dxa"/>
          </w:tblCellMar>
        </w:tblPrEx>
        <w:trPr>
          <w:trHeight w:val="300" w:hRule="atLeast"/>
          <w:jc w:val="center"/>
        </w:trPr>
        <w:tc>
          <w:tcPr>
            <w:tcW w:w="3651"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39"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16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85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7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100"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01</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00" w:hRule="atLeast"/>
          <w:jc w:val="center"/>
        </w:trPr>
        <w:tc>
          <w:tcPr>
            <w:tcW w:w="3651" w:type="dxa"/>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部门：黄石市黄石港区组织部</w:t>
            </w:r>
          </w:p>
        </w:tc>
        <w:tc>
          <w:tcPr>
            <w:tcW w:w="939" w:type="dxa"/>
            <w:gridSpan w:val="2"/>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2160"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285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720"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3100"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jc w:val="center"/>
        </w:trPr>
        <w:tc>
          <w:tcPr>
            <w:tcW w:w="6750"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收入</w:t>
            </w:r>
          </w:p>
        </w:tc>
        <w:tc>
          <w:tcPr>
            <w:tcW w:w="6676"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支出</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216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金额</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310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金额</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栏次</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216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栏次</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310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一、一般公共预算财政拨款收入</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2,165,364.83</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一、一般公共服务支出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29</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2,167,564.83</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二、政府性基金预算财政拨款收入</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二、外交支出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30</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三、上级补助收入</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三、国防支出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31</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四、事业收入</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四、公共安全支出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32</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五、经营收入</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五、教育支出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33</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六、附属单位上缴收入</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6</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六、科学技术支出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34</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七、其他收入</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7</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2,200.00</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七、文化旅游体育与传媒支出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35</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8</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八、社会保障和就业支出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36</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9</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九、卫生健康支出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37</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10</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十、节能环保支出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38</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11</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十一、城乡社区支出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39</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12</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十二、农林水支出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40</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13</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十三、交通运输支出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41</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14</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十四、资源勘探信息等支出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42</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15</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十五、商业服务业等支出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43</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16</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十六、金融支出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44</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17</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十七、援助其他地区支出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45</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18</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十八、自然资源海洋气象等支出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46</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19</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十九、住房保障支出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47</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20</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二十、粮油物资储备支出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48</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21</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二十一、灾害防治及应急管理支出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49</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22</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二十二、其他支出</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50</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23</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51</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本年收入合计</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24</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2,167,564.83</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本年支出合计</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52</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2,167,564.83</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用事业基金弥补收支差额</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25</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结余分配</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53</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年初结转和结余</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26</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6,695.72</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年末结转和结余</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54</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6,695.72</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27</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55</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jc w:val="center"/>
        </w:trPr>
        <w:tc>
          <w:tcPr>
            <w:tcW w:w="3794"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28</w:t>
            </w:r>
          </w:p>
        </w:tc>
        <w:tc>
          <w:tcPr>
            <w:tcW w:w="21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2,174,260.55</w:t>
            </w:r>
          </w:p>
        </w:tc>
        <w:tc>
          <w:tcPr>
            <w:tcW w:w="285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7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56</w:t>
            </w:r>
          </w:p>
        </w:tc>
        <w:tc>
          <w:tcPr>
            <w:tcW w:w="3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2,174,260.55</w:t>
            </w:r>
          </w:p>
        </w:tc>
      </w:tr>
      <w:tr>
        <w:tblPrEx>
          <w:tblLayout w:type="fixed"/>
          <w:tblCellMar>
            <w:top w:w="0" w:type="dxa"/>
            <w:left w:w="108" w:type="dxa"/>
            <w:bottom w:w="0" w:type="dxa"/>
            <w:right w:w="108" w:type="dxa"/>
          </w:tblCellMar>
        </w:tblPrEx>
        <w:trPr>
          <w:trHeight w:val="300" w:hRule="atLeast"/>
          <w:jc w:val="center"/>
        </w:trPr>
        <w:tc>
          <w:tcPr>
            <w:tcW w:w="13426" w:type="dxa"/>
            <w:gridSpan w:val="7"/>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注：本表反映部门本年度的总收支和年末结转结余情况。</w:t>
            </w:r>
          </w:p>
        </w:tc>
      </w:tr>
    </w:tbl>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tbl>
      <w:tblPr>
        <w:tblStyle w:val="10"/>
        <w:tblW w:w="14080" w:type="dxa"/>
        <w:jc w:val="center"/>
        <w:tblInd w:w="0" w:type="dxa"/>
        <w:tblLayout w:type="fixed"/>
        <w:tblCellMar>
          <w:top w:w="0" w:type="dxa"/>
          <w:left w:w="108" w:type="dxa"/>
          <w:bottom w:w="0" w:type="dxa"/>
          <w:right w:w="108" w:type="dxa"/>
        </w:tblCellMar>
      </w:tblPr>
      <w:tblGrid>
        <w:gridCol w:w="304"/>
        <w:gridCol w:w="304"/>
        <w:gridCol w:w="308"/>
        <w:gridCol w:w="2654"/>
        <w:gridCol w:w="1606"/>
        <w:gridCol w:w="1606"/>
        <w:gridCol w:w="1596"/>
        <w:gridCol w:w="1176"/>
        <w:gridCol w:w="1216"/>
        <w:gridCol w:w="1844"/>
        <w:gridCol w:w="1466"/>
      </w:tblGrid>
      <w:tr>
        <w:tblPrEx>
          <w:tblLayout w:type="fixed"/>
          <w:tblCellMar>
            <w:top w:w="0" w:type="dxa"/>
            <w:left w:w="108" w:type="dxa"/>
            <w:bottom w:w="0" w:type="dxa"/>
            <w:right w:w="108" w:type="dxa"/>
          </w:tblCellMar>
        </w:tblPrEx>
        <w:trPr>
          <w:trHeight w:val="375" w:hRule="atLeast"/>
          <w:jc w:val="center"/>
        </w:trPr>
        <w:tc>
          <w:tcPr>
            <w:tcW w:w="14080" w:type="dxa"/>
            <w:gridSpan w:val="11"/>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收入决算表</w:t>
            </w:r>
          </w:p>
        </w:tc>
      </w:tr>
      <w:tr>
        <w:tblPrEx>
          <w:tblLayout w:type="fixed"/>
          <w:tblCellMar>
            <w:top w:w="0" w:type="dxa"/>
            <w:left w:w="108" w:type="dxa"/>
            <w:bottom w:w="0" w:type="dxa"/>
            <w:right w:w="108" w:type="dxa"/>
          </w:tblCellMar>
        </w:tblPrEx>
        <w:trPr>
          <w:trHeight w:val="300" w:hRule="atLeast"/>
          <w:jc w:val="center"/>
        </w:trPr>
        <w:tc>
          <w:tcPr>
            <w:tcW w:w="3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65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0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0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59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7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84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66"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02</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00" w:hRule="atLeast"/>
          <w:jc w:val="center"/>
        </w:trPr>
        <w:tc>
          <w:tcPr>
            <w:tcW w:w="3570" w:type="dxa"/>
            <w:gridSpan w:val="4"/>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部门：黄石市黄石港区组织部</w:t>
            </w:r>
          </w:p>
        </w:tc>
        <w:tc>
          <w:tcPr>
            <w:tcW w:w="160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606"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159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17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21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844"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466"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jc w:val="center"/>
        </w:trPr>
        <w:tc>
          <w:tcPr>
            <w:tcW w:w="3570"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160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本年收入合计</w:t>
            </w:r>
          </w:p>
        </w:tc>
        <w:tc>
          <w:tcPr>
            <w:tcW w:w="160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财政拨款收入</w:t>
            </w:r>
          </w:p>
        </w:tc>
        <w:tc>
          <w:tcPr>
            <w:tcW w:w="159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上级补助收入</w:t>
            </w:r>
          </w:p>
        </w:tc>
        <w:tc>
          <w:tcPr>
            <w:tcW w:w="117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事业收入</w:t>
            </w:r>
          </w:p>
        </w:tc>
        <w:tc>
          <w:tcPr>
            <w:tcW w:w="121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经营收入</w:t>
            </w:r>
          </w:p>
        </w:tc>
        <w:tc>
          <w:tcPr>
            <w:tcW w:w="1844"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附属单位上缴收入</w:t>
            </w:r>
          </w:p>
        </w:tc>
        <w:tc>
          <w:tcPr>
            <w:tcW w:w="146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其他收入</w:t>
            </w:r>
          </w:p>
        </w:tc>
      </w:tr>
      <w:tr>
        <w:tblPrEx>
          <w:tblLayout w:type="fixed"/>
          <w:tblCellMar>
            <w:top w:w="0" w:type="dxa"/>
            <w:left w:w="108" w:type="dxa"/>
            <w:bottom w:w="0" w:type="dxa"/>
            <w:right w:w="108" w:type="dxa"/>
          </w:tblCellMar>
        </w:tblPrEx>
        <w:trPr>
          <w:trHeight w:val="312" w:hRule="atLeast"/>
          <w:jc w:val="center"/>
        </w:trPr>
        <w:tc>
          <w:tcPr>
            <w:tcW w:w="916"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功能分类科目编码</w:t>
            </w:r>
          </w:p>
        </w:tc>
        <w:tc>
          <w:tcPr>
            <w:tcW w:w="2654" w:type="dxa"/>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60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60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59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7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1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4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6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12" w:hRule="atLeast"/>
          <w:jc w:val="center"/>
        </w:trPr>
        <w:tc>
          <w:tcPr>
            <w:tcW w:w="91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265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60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60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59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7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1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4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6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12" w:hRule="atLeast"/>
          <w:jc w:val="center"/>
        </w:trPr>
        <w:tc>
          <w:tcPr>
            <w:tcW w:w="91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265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60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60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59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7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1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84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6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00" w:hRule="atLeast"/>
          <w:jc w:val="center"/>
        </w:trPr>
        <w:tc>
          <w:tcPr>
            <w:tcW w:w="3570"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栏次</w:t>
            </w:r>
          </w:p>
        </w:tc>
        <w:tc>
          <w:tcPr>
            <w:tcW w:w="160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w:t>
            </w:r>
          </w:p>
        </w:tc>
        <w:tc>
          <w:tcPr>
            <w:tcW w:w="160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2</w:t>
            </w:r>
          </w:p>
        </w:tc>
        <w:tc>
          <w:tcPr>
            <w:tcW w:w="159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3</w:t>
            </w:r>
          </w:p>
        </w:tc>
        <w:tc>
          <w:tcPr>
            <w:tcW w:w="117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4</w:t>
            </w:r>
          </w:p>
        </w:tc>
        <w:tc>
          <w:tcPr>
            <w:tcW w:w="121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5</w:t>
            </w:r>
          </w:p>
        </w:tc>
        <w:tc>
          <w:tcPr>
            <w:tcW w:w="1844"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6</w:t>
            </w:r>
          </w:p>
        </w:tc>
        <w:tc>
          <w:tcPr>
            <w:tcW w:w="146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7</w:t>
            </w:r>
          </w:p>
        </w:tc>
      </w:tr>
      <w:tr>
        <w:tblPrEx>
          <w:tblLayout w:type="fixed"/>
          <w:tblCellMar>
            <w:top w:w="0" w:type="dxa"/>
            <w:left w:w="108" w:type="dxa"/>
            <w:bottom w:w="0" w:type="dxa"/>
            <w:right w:w="108" w:type="dxa"/>
          </w:tblCellMar>
        </w:tblPrEx>
        <w:trPr>
          <w:trHeight w:val="300" w:hRule="atLeast"/>
          <w:jc w:val="center"/>
        </w:trPr>
        <w:tc>
          <w:tcPr>
            <w:tcW w:w="3570"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合计</w:t>
            </w:r>
          </w:p>
        </w:tc>
        <w:tc>
          <w:tcPr>
            <w:tcW w:w="160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2,167,564.83</w:t>
            </w:r>
          </w:p>
        </w:tc>
        <w:tc>
          <w:tcPr>
            <w:tcW w:w="160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2,165,364.83</w:t>
            </w:r>
          </w:p>
        </w:tc>
        <w:tc>
          <w:tcPr>
            <w:tcW w:w="159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17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46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2,200.00</w:t>
            </w:r>
          </w:p>
        </w:tc>
      </w:tr>
      <w:tr>
        <w:tblPrEx>
          <w:tblLayout w:type="fixed"/>
          <w:tblCellMar>
            <w:top w:w="0" w:type="dxa"/>
            <w:left w:w="108" w:type="dxa"/>
            <w:bottom w:w="0" w:type="dxa"/>
            <w:right w:w="108" w:type="dxa"/>
          </w:tblCellMar>
        </w:tblPrEx>
        <w:trPr>
          <w:trHeight w:val="300" w:hRule="atLeast"/>
          <w:jc w:val="center"/>
        </w:trPr>
        <w:tc>
          <w:tcPr>
            <w:tcW w:w="916"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一般公共服务支出</w:t>
            </w:r>
          </w:p>
        </w:tc>
        <w:tc>
          <w:tcPr>
            <w:tcW w:w="160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2,167,564.83</w:t>
            </w:r>
          </w:p>
        </w:tc>
        <w:tc>
          <w:tcPr>
            <w:tcW w:w="160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2,165,364.83</w:t>
            </w:r>
          </w:p>
        </w:tc>
        <w:tc>
          <w:tcPr>
            <w:tcW w:w="159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17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21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844"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46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2,200.00</w:t>
            </w:r>
          </w:p>
        </w:tc>
      </w:tr>
      <w:tr>
        <w:tblPrEx>
          <w:tblLayout w:type="fixed"/>
          <w:tblCellMar>
            <w:top w:w="0" w:type="dxa"/>
            <w:left w:w="108" w:type="dxa"/>
            <w:bottom w:w="0" w:type="dxa"/>
            <w:right w:w="108" w:type="dxa"/>
          </w:tblCellMar>
        </w:tblPrEx>
        <w:trPr>
          <w:trHeight w:val="300" w:hRule="atLeast"/>
          <w:jc w:val="center"/>
        </w:trPr>
        <w:tc>
          <w:tcPr>
            <w:tcW w:w="916"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20110</w:t>
            </w:r>
          </w:p>
        </w:tc>
        <w:tc>
          <w:tcPr>
            <w:tcW w:w="265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人力资源事务</w:t>
            </w:r>
          </w:p>
        </w:tc>
        <w:tc>
          <w:tcPr>
            <w:tcW w:w="160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2,167,564.83</w:t>
            </w:r>
          </w:p>
        </w:tc>
        <w:tc>
          <w:tcPr>
            <w:tcW w:w="160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2,165,364.83</w:t>
            </w:r>
          </w:p>
        </w:tc>
        <w:tc>
          <w:tcPr>
            <w:tcW w:w="159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17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21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844"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46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2,200.00</w:t>
            </w:r>
          </w:p>
        </w:tc>
      </w:tr>
      <w:tr>
        <w:tblPrEx>
          <w:tblLayout w:type="fixed"/>
          <w:tblCellMar>
            <w:top w:w="0" w:type="dxa"/>
            <w:left w:w="108" w:type="dxa"/>
            <w:bottom w:w="0" w:type="dxa"/>
            <w:right w:w="108" w:type="dxa"/>
          </w:tblCellMar>
        </w:tblPrEx>
        <w:trPr>
          <w:trHeight w:val="300" w:hRule="atLeast"/>
          <w:jc w:val="center"/>
        </w:trPr>
        <w:tc>
          <w:tcPr>
            <w:tcW w:w="916"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2011001</w:t>
            </w:r>
          </w:p>
        </w:tc>
        <w:tc>
          <w:tcPr>
            <w:tcW w:w="2654"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行政运行</w:t>
            </w:r>
          </w:p>
        </w:tc>
        <w:tc>
          <w:tcPr>
            <w:tcW w:w="160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2,167,564.83</w:t>
            </w:r>
          </w:p>
        </w:tc>
        <w:tc>
          <w:tcPr>
            <w:tcW w:w="160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2,165,364.83</w:t>
            </w:r>
          </w:p>
        </w:tc>
        <w:tc>
          <w:tcPr>
            <w:tcW w:w="159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17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6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2,200.00</w:t>
            </w:r>
          </w:p>
        </w:tc>
      </w:tr>
      <w:tr>
        <w:tblPrEx>
          <w:tblLayout w:type="fixed"/>
          <w:tblCellMar>
            <w:top w:w="0" w:type="dxa"/>
            <w:left w:w="108" w:type="dxa"/>
            <w:bottom w:w="0" w:type="dxa"/>
            <w:right w:w="108" w:type="dxa"/>
          </w:tblCellMar>
        </w:tblPrEx>
        <w:trPr>
          <w:trHeight w:val="300" w:hRule="atLeast"/>
          <w:jc w:val="center"/>
        </w:trPr>
        <w:tc>
          <w:tcPr>
            <w:tcW w:w="14080" w:type="dxa"/>
            <w:gridSpan w:val="11"/>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注：本表反映部门本年度取得的各项收入情况。</w:t>
            </w:r>
          </w:p>
        </w:tc>
      </w:tr>
    </w:tbl>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tbl>
      <w:tblPr>
        <w:tblStyle w:val="10"/>
        <w:tblW w:w="14080" w:type="dxa"/>
        <w:tblInd w:w="94" w:type="dxa"/>
        <w:tblLayout w:type="fixed"/>
        <w:tblCellMar>
          <w:top w:w="0" w:type="dxa"/>
          <w:left w:w="108" w:type="dxa"/>
          <w:bottom w:w="0" w:type="dxa"/>
          <w:right w:w="108" w:type="dxa"/>
        </w:tblCellMar>
      </w:tblPr>
      <w:tblGrid>
        <w:gridCol w:w="304"/>
        <w:gridCol w:w="304"/>
        <w:gridCol w:w="871"/>
        <w:gridCol w:w="2340"/>
        <w:gridCol w:w="2204"/>
        <w:gridCol w:w="2146"/>
        <w:gridCol w:w="1092"/>
        <w:gridCol w:w="1436"/>
        <w:gridCol w:w="1260"/>
        <w:gridCol w:w="2123"/>
      </w:tblGrid>
      <w:tr>
        <w:tblPrEx>
          <w:tblLayout w:type="fixed"/>
          <w:tblCellMar>
            <w:top w:w="0" w:type="dxa"/>
            <w:left w:w="108" w:type="dxa"/>
            <w:bottom w:w="0" w:type="dxa"/>
            <w:right w:w="108" w:type="dxa"/>
          </w:tblCellMar>
        </w:tblPrEx>
        <w:trPr>
          <w:trHeight w:val="375" w:hRule="atLeast"/>
        </w:trPr>
        <w:tc>
          <w:tcPr>
            <w:tcW w:w="14080" w:type="dxa"/>
            <w:gridSpan w:val="10"/>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支出决算表</w:t>
            </w:r>
          </w:p>
        </w:tc>
      </w:tr>
      <w:tr>
        <w:tblPrEx>
          <w:tblLayout w:type="fixed"/>
          <w:tblCellMar>
            <w:top w:w="0" w:type="dxa"/>
            <w:left w:w="108" w:type="dxa"/>
            <w:bottom w:w="0" w:type="dxa"/>
            <w:right w:w="108" w:type="dxa"/>
          </w:tblCellMar>
        </w:tblPrEx>
        <w:trPr>
          <w:trHeight w:val="300" w:hRule="atLeast"/>
        </w:trPr>
        <w:tc>
          <w:tcPr>
            <w:tcW w:w="3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871"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34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2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14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9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3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6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123"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03</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00" w:hRule="atLeast"/>
        </w:trPr>
        <w:tc>
          <w:tcPr>
            <w:tcW w:w="3819" w:type="dxa"/>
            <w:gridSpan w:val="4"/>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部门：黄石市黄石港区组织部</w:t>
            </w:r>
          </w:p>
        </w:tc>
        <w:tc>
          <w:tcPr>
            <w:tcW w:w="2204"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 xml:space="preserve">        2019</w:t>
            </w:r>
            <w:r>
              <w:rPr>
                <w:rFonts w:hint="eastAsia" w:ascii="宋体" w:hAnsi="宋体" w:cs="Arial"/>
                <w:color w:val="000000"/>
                <w:kern w:val="0"/>
                <w:sz w:val="24"/>
              </w:rPr>
              <w:t>年度</w:t>
            </w:r>
          </w:p>
        </w:tc>
        <w:tc>
          <w:tcPr>
            <w:tcW w:w="214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092"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43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260"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2123"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3819"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2204"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本年支出合计</w:t>
            </w:r>
          </w:p>
        </w:tc>
        <w:tc>
          <w:tcPr>
            <w:tcW w:w="214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基本支出</w:t>
            </w:r>
          </w:p>
        </w:tc>
        <w:tc>
          <w:tcPr>
            <w:tcW w:w="1092"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项目支出</w:t>
            </w:r>
          </w:p>
        </w:tc>
        <w:tc>
          <w:tcPr>
            <w:tcW w:w="143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上缴上级支出</w:t>
            </w:r>
          </w:p>
        </w:tc>
        <w:tc>
          <w:tcPr>
            <w:tcW w:w="126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经营支出</w:t>
            </w:r>
          </w:p>
        </w:tc>
        <w:tc>
          <w:tcPr>
            <w:tcW w:w="2123"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对附属单位补助支出</w:t>
            </w:r>
          </w:p>
        </w:tc>
      </w:tr>
      <w:tr>
        <w:tblPrEx>
          <w:tblLayout w:type="fixed"/>
          <w:tblCellMar>
            <w:top w:w="0" w:type="dxa"/>
            <w:left w:w="108" w:type="dxa"/>
            <w:bottom w:w="0" w:type="dxa"/>
            <w:right w:w="108" w:type="dxa"/>
          </w:tblCellMar>
        </w:tblPrEx>
        <w:trPr>
          <w:trHeight w:val="312" w:hRule="atLeast"/>
        </w:trPr>
        <w:tc>
          <w:tcPr>
            <w:tcW w:w="1479"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功能分类科目编码</w:t>
            </w:r>
          </w:p>
        </w:tc>
        <w:tc>
          <w:tcPr>
            <w:tcW w:w="2340" w:type="dxa"/>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220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14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92"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3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12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12" w:hRule="atLeast"/>
        </w:trPr>
        <w:tc>
          <w:tcPr>
            <w:tcW w:w="1479"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234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20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14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92"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3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12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12" w:hRule="atLeast"/>
        </w:trPr>
        <w:tc>
          <w:tcPr>
            <w:tcW w:w="1479"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234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20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14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92"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3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12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3819"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栏次</w:t>
            </w:r>
          </w:p>
        </w:tc>
        <w:tc>
          <w:tcPr>
            <w:tcW w:w="2204"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w:t>
            </w:r>
          </w:p>
        </w:tc>
        <w:tc>
          <w:tcPr>
            <w:tcW w:w="214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2</w:t>
            </w:r>
          </w:p>
        </w:tc>
        <w:tc>
          <w:tcPr>
            <w:tcW w:w="1092"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3</w:t>
            </w:r>
          </w:p>
        </w:tc>
        <w:tc>
          <w:tcPr>
            <w:tcW w:w="143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4</w:t>
            </w:r>
          </w:p>
        </w:tc>
        <w:tc>
          <w:tcPr>
            <w:tcW w:w="126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5</w:t>
            </w:r>
          </w:p>
        </w:tc>
        <w:tc>
          <w:tcPr>
            <w:tcW w:w="212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6</w:t>
            </w:r>
          </w:p>
        </w:tc>
      </w:tr>
      <w:tr>
        <w:tblPrEx>
          <w:tblLayout w:type="fixed"/>
          <w:tblCellMar>
            <w:top w:w="0" w:type="dxa"/>
            <w:left w:w="108" w:type="dxa"/>
            <w:bottom w:w="0" w:type="dxa"/>
            <w:right w:w="108" w:type="dxa"/>
          </w:tblCellMar>
        </w:tblPrEx>
        <w:trPr>
          <w:trHeight w:val="300" w:hRule="atLeast"/>
        </w:trPr>
        <w:tc>
          <w:tcPr>
            <w:tcW w:w="3819"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合计</w:t>
            </w:r>
          </w:p>
        </w:tc>
        <w:tc>
          <w:tcPr>
            <w:tcW w:w="22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2,167,564.83</w:t>
            </w:r>
          </w:p>
        </w:tc>
        <w:tc>
          <w:tcPr>
            <w:tcW w:w="214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2,167,564.83</w:t>
            </w:r>
          </w:p>
        </w:tc>
        <w:tc>
          <w:tcPr>
            <w:tcW w:w="10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43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2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212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1479"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w:t>
            </w:r>
          </w:p>
        </w:tc>
        <w:tc>
          <w:tcPr>
            <w:tcW w:w="234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一般公共服务支出</w:t>
            </w:r>
          </w:p>
        </w:tc>
        <w:tc>
          <w:tcPr>
            <w:tcW w:w="2204"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2,167,564.83</w:t>
            </w:r>
          </w:p>
        </w:tc>
        <w:tc>
          <w:tcPr>
            <w:tcW w:w="214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2,167,564.83</w:t>
            </w:r>
          </w:p>
        </w:tc>
        <w:tc>
          <w:tcPr>
            <w:tcW w:w="1092"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43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2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212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1479"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20110</w:t>
            </w:r>
          </w:p>
        </w:tc>
        <w:tc>
          <w:tcPr>
            <w:tcW w:w="234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人力资源事务</w:t>
            </w:r>
          </w:p>
        </w:tc>
        <w:tc>
          <w:tcPr>
            <w:tcW w:w="2204"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2,167,564.83</w:t>
            </w:r>
          </w:p>
        </w:tc>
        <w:tc>
          <w:tcPr>
            <w:tcW w:w="214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2,167,564.83</w:t>
            </w:r>
          </w:p>
        </w:tc>
        <w:tc>
          <w:tcPr>
            <w:tcW w:w="1092"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436"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12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c>
          <w:tcPr>
            <w:tcW w:w="212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1479"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2011001</w:t>
            </w:r>
          </w:p>
        </w:tc>
        <w:tc>
          <w:tcPr>
            <w:tcW w:w="2340"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行政运行</w:t>
            </w:r>
          </w:p>
        </w:tc>
        <w:tc>
          <w:tcPr>
            <w:tcW w:w="220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2,167,564.83</w:t>
            </w:r>
          </w:p>
        </w:tc>
        <w:tc>
          <w:tcPr>
            <w:tcW w:w="214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2,167,564.83</w:t>
            </w:r>
          </w:p>
        </w:tc>
        <w:tc>
          <w:tcPr>
            <w:tcW w:w="109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3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212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14080" w:type="dxa"/>
            <w:gridSpan w:val="10"/>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注：本表反映部门本年度各项支出情况。</w:t>
            </w:r>
          </w:p>
        </w:tc>
      </w:tr>
    </w:tbl>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tbl>
      <w:tblPr>
        <w:tblStyle w:val="10"/>
        <w:tblW w:w="13923" w:type="dxa"/>
        <w:tblInd w:w="94" w:type="dxa"/>
        <w:tblLayout w:type="fixed"/>
        <w:tblCellMar>
          <w:top w:w="0" w:type="dxa"/>
          <w:left w:w="108" w:type="dxa"/>
          <w:bottom w:w="0" w:type="dxa"/>
          <w:right w:w="108" w:type="dxa"/>
        </w:tblCellMar>
      </w:tblPr>
      <w:tblGrid>
        <w:gridCol w:w="3258"/>
        <w:gridCol w:w="796"/>
        <w:gridCol w:w="1416"/>
        <w:gridCol w:w="3420"/>
        <w:gridCol w:w="416"/>
        <w:gridCol w:w="268"/>
        <w:gridCol w:w="1416"/>
        <w:gridCol w:w="1416"/>
        <w:gridCol w:w="1517"/>
      </w:tblGrid>
      <w:tr>
        <w:tblPrEx>
          <w:tblLayout w:type="fixed"/>
          <w:tblCellMar>
            <w:top w:w="0" w:type="dxa"/>
            <w:left w:w="108" w:type="dxa"/>
            <w:bottom w:w="0" w:type="dxa"/>
            <w:right w:w="108" w:type="dxa"/>
          </w:tblCellMar>
        </w:tblPrEx>
        <w:trPr>
          <w:trHeight w:val="375" w:hRule="atLeast"/>
        </w:trPr>
        <w:tc>
          <w:tcPr>
            <w:tcW w:w="13923" w:type="dxa"/>
            <w:gridSpan w:val="9"/>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财政拨款收入支出决算总表</w:t>
            </w:r>
          </w:p>
        </w:tc>
      </w:tr>
      <w:tr>
        <w:tblPrEx>
          <w:tblLayout w:type="fixed"/>
          <w:tblCellMar>
            <w:top w:w="0" w:type="dxa"/>
            <w:left w:w="108" w:type="dxa"/>
            <w:bottom w:w="0" w:type="dxa"/>
            <w:right w:w="108" w:type="dxa"/>
          </w:tblCellMar>
        </w:tblPrEx>
        <w:trPr>
          <w:trHeight w:val="300" w:hRule="atLeast"/>
        </w:trPr>
        <w:tc>
          <w:tcPr>
            <w:tcW w:w="325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79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4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4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84"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517"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04</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00" w:hRule="atLeast"/>
        </w:trPr>
        <w:tc>
          <w:tcPr>
            <w:tcW w:w="3258" w:type="dxa"/>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部门：黄石市黄石港区组织部</w:t>
            </w:r>
          </w:p>
        </w:tc>
        <w:tc>
          <w:tcPr>
            <w:tcW w:w="79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41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3420"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41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684" w:type="dxa"/>
            <w:gridSpan w:val="2"/>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41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517"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547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收</w:t>
            </w:r>
            <w:r>
              <w:rPr>
                <w:rFonts w:ascii="宋体" w:hAnsi="宋体" w:cs="Arial"/>
                <w:kern w:val="0"/>
                <w:sz w:val="20"/>
                <w:szCs w:val="20"/>
              </w:rPr>
              <w:t xml:space="preserve">     </w:t>
            </w:r>
            <w:r>
              <w:rPr>
                <w:rFonts w:hint="eastAsia" w:ascii="宋体" w:hAnsi="宋体" w:cs="Arial"/>
                <w:kern w:val="0"/>
                <w:sz w:val="20"/>
                <w:szCs w:val="20"/>
              </w:rPr>
              <w:t>入</w:t>
            </w:r>
          </w:p>
        </w:tc>
        <w:tc>
          <w:tcPr>
            <w:tcW w:w="8453" w:type="dxa"/>
            <w:gridSpan w:val="6"/>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支</w:t>
            </w:r>
            <w:r>
              <w:rPr>
                <w:rFonts w:ascii="宋体" w:hAnsi="宋体" w:cs="Arial"/>
                <w:kern w:val="0"/>
                <w:sz w:val="20"/>
                <w:szCs w:val="20"/>
              </w:rPr>
              <w:t xml:space="preserve">     </w:t>
            </w:r>
            <w:r>
              <w:rPr>
                <w:rFonts w:hint="eastAsia" w:ascii="宋体" w:hAnsi="宋体" w:cs="Arial"/>
                <w:kern w:val="0"/>
                <w:sz w:val="20"/>
                <w:szCs w:val="20"/>
              </w:rPr>
              <w:t>出</w:t>
            </w:r>
          </w:p>
        </w:tc>
      </w:tr>
      <w:tr>
        <w:tblPrEx>
          <w:tblLayout w:type="fixed"/>
          <w:tblCellMar>
            <w:top w:w="0" w:type="dxa"/>
            <w:left w:w="108" w:type="dxa"/>
            <w:bottom w:w="0" w:type="dxa"/>
            <w:right w:w="108" w:type="dxa"/>
          </w:tblCellMar>
        </w:tblPrEx>
        <w:trPr>
          <w:trHeight w:val="312" w:hRule="atLeast"/>
        </w:trPr>
        <w:tc>
          <w:tcPr>
            <w:tcW w:w="3258" w:type="dxa"/>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79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141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金额</w:t>
            </w:r>
          </w:p>
        </w:tc>
        <w:tc>
          <w:tcPr>
            <w:tcW w:w="3420" w:type="dxa"/>
            <w:vMerge w:val="restart"/>
            <w:tcBorders>
              <w:top w:val="nil"/>
              <w:left w:val="nil"/>
              <w:bottom w:val="single" w:color="000000" w:sz="4" w:space="0"/>
              <w:right w:val="single" w:color="000000" w:sz="4" w:space="0"/>
            </w:tcBorders>
            <w:shd w:val="clear" w:color="auto" w:fill="C0C0C0"/>
            <w:vAlign w:val="bottom"/>
          </w:tcPr>
          <w:p>
            <w:pPr>
              <w:widowControl/>
              <w:jc w:val="left"/>
              <w:rPr>
                <w:rFonts w:ascii="宋体" w:cs="Arial"/>
                <w:kern w:val="0"/>
                <w:sz w:val="20"/>
                <w:szCs w:val="20"/>
              </w:rPr>
            </w:pPr>
            <w:r>
              <w:rPr>
                <w:rFonts w:hint="eastAsia" w:ascii="宋体" w:hAnsi="宋体" w:cs="Arial"/>
                <w:kern w:val="0"/>
                <w:sz w:val="20"/>
                <w:szCs w:val="20"/>
              </w:rPr>
              <w:t>项目</w:t>
            </w:r>
          </w:p>
        </w:tc>
        <w:tc>
          <w:tcPr>
            <w:tcW w:w="684" w:type="dxa"/>
            <w:gridSpan w:val="2"/>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1416" w:type="dxa"/>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合计</w:t>
            </w:r>
          </w:p>
        </w:tc>
        <w:tc>
          <w:tcPr>
            <w:tcW w:w="141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一般公共预算财政拨款</w:t>
            </w:r>
          </w:p>
        </w:tc>
        <w:tc>
          <w:tcPr>
            <w:tcW w:w="151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政府性基金预算财政拨款</w:t>
            </w:r>
          </w:p>
        </w:tc>
      </w:tr>
      <w:tr>
        <w:tblPrEx>
          <w:tblLayout w:type="fixed"/>
          <w:tblCellMar>
            <w:top w:w="0" w:type="dxa"/>
            <w:left w:w="108" w:type="dxa"/>
            <w:bottom w:w="0" w:type="dxa"/>
            <w:right w:w="108" w:type="dxa"/>
          </w:tblCellMar>
        </w:tblPrEx>
        <w:trPr>
          <w:trHeight w:val="600" w:hRule="atLeast"/>
        </w:trPr>
        <w:tc>
          <w:tcPr>
            <w:tcW w:w="325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79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1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34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684"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1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1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51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栏次</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1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3420" w:type="dxa"/>
            <w:tcBorders>
              <w:top w:val="nil"/>
              <w:left w:val="nil"/>
              <w:bottom w:val="single" w:color="000000" w:sz="4" w:space="0"/>
              <w:right w:val="single" w:color="000000" w:sz="4" w:space="0"/>
            </w:tcBorders>
            <w:shd w:val="clear" w:color="auto" w:fill="C0C0C0"/>
            <w:noWrap/>
            <w:vAlign w:val="bottom"/>
          </w:tcPr>
          <w:p>
            <w:pPr>
              <w:widowControl/>
              <w:jc w:val="left"/>
              <w:rPr>
                <w:rFonts w:ascii="宋体" w:cs="Arial"/>
                <w:kern w:val="0"/>
                <w:sz w:val="20"/>
                <w:szCs w:val="20"/>
              </w:rPr>
            </w:pPr>
            <w:r>
              <w:rPr>
                <w:rFonts w:hint="eastAsia" w:ascii="宋体" w:hAnsi="宋体" w:cs="Arial"/>
                <w:kern w:val="0"/>
                <w:sz w:val="20"/>
                <w:szCs w:val="20"/>
              </w:rPr>
              <w:t>栏次</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1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141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c>
          <w:tcPr>
            <w:tcW w:w="1517"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一、一般公共预算财政拨款</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2,165,364.83</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一、一般公共服务支出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2,165,364.83</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2,165,364.83</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二、政府性基金预算财政拨款</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二、外交支出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31</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三、国防支出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32</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四、公共安全支出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33</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五、教育支出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34</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6</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六、科学技术支出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35</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7</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七、文化旅游体育与传媒支出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36</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8</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八、社会保障和就业支出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37</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9</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九、卫生健康支出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38</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十、节能环保支出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39</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11</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十一、城乡社区支出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12</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十二、农林水支出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41</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13</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十三、交通运输支出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42</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14</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十四、资源勘探信息等支出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43</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15</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十五、商业服务业等支出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44</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16</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十六、金融支出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45</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17</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十七、援助其他地区支出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46</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18</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十八、自然资源海洋气象等支出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47</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19</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十九、住房保障支出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48</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二十、粮油物资储备支出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49</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21</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二十一、灾害防治及应急管理支出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22</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二十二、其他支出</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51</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23</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52</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本年收入合计</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24</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2,165,364.83</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本年支出合计</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53</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2,165,364.83</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2,165,364.83</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年初财政拨款结转和结余</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25</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年末财政拨款结转和结余</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54</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一、一般公共预算财政拨款</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26</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55</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二、政府性基金预算财政拨款</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27</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56</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28</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57</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3258"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7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29</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2,165,364.83</w:t>
            </w:r>
          </w:p>
        </w:tc>
        <w:tc>
          <w:tcPr>
            <w:tcW w:w="34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684"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58</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2,165,364.83</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2,165,364.83</w:t>
            </w:r>
          </w:p>
        </w:tc>
        <w:tc>
          <w:tcPr>
            <w:tcW w:w="151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13923" w:type="dxa"/>
            <w:gridSpan w:val="9"/>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注：本表反映部门本年度一般公共预算财政拨款和政府性基金预算财政拨款的总收支和年末结转结余情况。</w:t>
            </w:r>
          </w:p>
        </w:tc>
      </w:tr>
    </w:tbl>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tbl>
      <w:tblPr>
        <w:tblStyle w:val="10"/>
        <w:tblW w:w="14054" w:type="dxa"/>
        <w:tblInd w:w="94" w:type="dxa"/>
        <w:tblLayout w:type="fixed"/>
        <w:tblCellMar>
          <w:top w:w="0" w:type="dxa"/>
          <w:left w:w="108" w:type="dxa"/>
          <w:bottom w:w="0" w:type="dxa"/>
          <w:right w:w="108" w:type="dxa"/>
        </w:tblCellMar>
      </w:tblPr>
      <w:tblGrid>
        <w:gridCol w:w="963"/>
        <w:gridCol w:w="963"/>
        <w:gridCol w:w="1199"/>
        <w:gridCol w:w="2804"/>
        <w:gridCol w:w="2853"/>
        <w:gridCol w:w="2853"/>
        <w:gridCol w:w="2419"/>
      </w:tblGrid>
      <w:tr>
        <w:tblPrEx>
          <w:tblLayout w:type="fixed"/>
          <w:tblCellMar>
            <w:top w:w="0" w:type="dxa"/>
            <w:left w:w="108" w:type="dxa"/>
            <w:bottom w:w="0" w:type="dxa"/>
            <w:right w:w="108" w:type="dxa"/>
          </w:tblCellMar>
        </w:tblPrEx>
        <w:trPr>
          <w:trHeight w:val="375" w:hRule="atLeast"/>
        </w:trPr>
        <w:tc>
          <w:tcPr>
            <w:tcW w:w="14054" w:type="dxa"/>
            <w:gridSpan w:val="7"/>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一般公共预算财政拨款支出决算表</w:t>
            </w:r>
          </w:p>
        </w:tc>
      </w:tr>
      <w:tr>
        <w:tblPrEx>
          <w:tblLayout w:type="fixed"/>
          <w:tblCellMar>
            <w:top w:w="0" w:type="dxa"/>
            <w:left w:w="108" w:type="dxa"/>
            <w:bottom w:w="0" w:type="dxa"/>
            <w:right w:w="108" w:type="dxa"/>
          </w:tblCellMar>
        </w:tblPrEx>
        <w:trPr>
          <w:trHeight w:val="300" w:hRule="atLeast"/>
        </w:trPr>
        <w:tc>
          <w:tcPr>
            <w:tcW w:w="96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6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9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80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85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85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419"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05</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00" w:hRule="atLeast"/>
        </w:trPr>
        <w:tc>
          <w:tcPr>
            <w:tcW w:w="3125" w:type="dxa"/>
            <w:gridSpan w:val="3"/>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部门：黄石市黄石港区组织部</w:t>
            </w:r>
          </w:p>
        </w:tc>
        <w:tc>
          <w:tcPr>
            <w:tcW w:w="2804"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2853"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2853"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2419"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5929"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8125" w:type="dxa"/>
            <w:gridSpan w:val="3"/>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本年支出</w:t>
            </w:r>
          </w:p>
        </w:tc>
      </w:tr>
      <w:tr>
        <w:tblPrEx>
          <w:tblLayout w:type="fixed"/>
          <w:tblCellMar>
            <w:top w:w="0" w:type="dxa"/>
            <w:left w:w="108" w:type="dxa"/>
            <w:bottom w:w="0" w:type="dxa"/>
            <w:right w:w="108" w:type="dxa"/>
          </w:tblCellMar>
        </w:tblPrEx>
        <w:trPr>
          <w:trHeight w:val="312" w:hRule="atLeast"/>
        </w:trPr>
        <w:tc>
          <w:tcPr>
            <w:tcW w:w="3125"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功能分类科目编码</w:t>
            </w:r>
          </w:p>
        </w:tc>
        <w:tc>
          <w:tcPr>
            <w:tcW w:w="2804" w:type="dxa"/>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2853"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小计</w:t>
            </w:r>
          </w:p>
        </w:tc>
        <w:tc>
          <w:tcPr>
            <w:tcW w:w="2853"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基本支出</w:t>
            </w:r>
          </w:p>
        </w:tc>
        <w:tc>
          <w:tcPr>
            <w:tcW w:w="2419"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项目支出</w:t>
            </w:r>
          </w:p>
        </w:tc>
      </w:tr>
      <w:tr>
        <w:tblPrEx>
          <w:tblLayout w:type="fixed"/>
          <w:tblCellMar>
            <w:top w:w="0" w:type="dxa"/>
            <w:left w:w="108" w:type="dxa"/>
            <w:bottom w:w="0" w:type="dxa"/>
            <w:right w:w="108" w:type="dxa"/>
          </w:tblCellMar>
        </w:tblPrEx>
        <w:trPr>
          <w:trHeight w:val="312" w:hRule="atLeast"/>
        </w:trPr>
        <w:tc>
          <w:tcPr>
            <w:tcW w:w="3125"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280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85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85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41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12" w:hRule="atLeast"/>
        </w:trPr>
        <w:tc>
          <w:tcPr>
            <w:tcW w:w="3125"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280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85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85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41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5929"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栏次</w:t>
            </w:r>
          </w:p>
        </w:tc>
        <w:tc>
          <w:tcPr>
            <w:tcW w:w="2853"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2853"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241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r>
      <w:tr>
        <w:tblPrEx>
          <w:tblLayout w:type="fixed"/>
          <w:tblCellMar>
            <w:top w:w="0" w:type="dxa"/>
            <w:left w:w="108" w:type="dxa"/>
            <w:bottom w:w="0" w:type="dxa"/>
            <w:right w:w="108" w:type="dxa"/>
          </w:tblCellMar>
        </w:tblPrEx>
        <w:trPr>
          <w:trHeight w:val="300" w:hRule="atLeast"/>
        </w:trPr>
        <w:tc>
          <w:tcPr>
            <w:tcW w:w="5929"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合计</w:t>
            </w:r>
          </w:p>
        </w:tc>
        <w:tc>
          <w:tcPr>
            <w:tcW w:w="28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2,165,364.83</w:t>
            </w:r>
          </w:p>
        </w:tc>
        <w:tc>
          <w:tcPr>
            <w:tcW w:w="28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2,165,364.83</w:t>
            </w:r>
          </w:p>
        </w:tc>
        <w:tc>
          <w:tcPr>
            <w:tcW w:w="24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3125"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w:t>
            </w:r>
          </w:p>
        </w:tc>
        <w:tc>
          <w:tcPr>
            <w:tcW w:w="28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一般公共服务支出</w:t>
            </w:r>
          </w:p>
        </w:tc>
        <w:tc>
          <w:tcPr>
            <w:tcW w:w="285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2,165,364.83</w:t>
            </w:r>
          </w:p>
        </w:tc>
        <w:tc>
          <w:tcPr>
            <w:tcW w:w="285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2,165,364.83</w:t>
            </w:r>
          </w:p>
        </w:tc>
        <w:tc>
          <w:tcPr>
            <w:tcW w:w="2419"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3125"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20110</w:t>
            </w:r>
          </w:p>
        </w:tc>
        <w:tc>
          <w:tcPr>
            <w:tcW w:w="280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人力资源事务</w:t>
            </w:r>
          </w:p>
        </w:tc>
        <w:tc>
          <w:tcPr>
            <w:tcW w:w="285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2,165,364.83</w:t>
            </w:r>
          </w:p>
        </w:tc>
        <w:tc>
          <w:tcPr>
            <w:tcW w:w="285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2,165,364.83</w:t>
            </w:r>
          </w:p>
        </w:tc>
        <w:tc>
          <w:tcPr>
            <w:tcW w:w="2419"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0.00</w:t>
            </w:r>
          </w:p>
        </w:tc>
      </w:tr>
      <w:tr>
        <w:tblPrEx>
          <w:tblLayout w:type="fixed"/>
          <w:tblCellMar>
            <w:top w:w="0" w:type="dxa"/>
            <w:left w:w="108" w:type="dxa"/>
            <w:bottom w:w="0" w:type="dxa"/>
            <w:right w:w="108" w:type="dxa"/>
          </w:tblCellMar>
        </w:tblPrEx>
        <w:trPr>
          <w:trHeight w:val="300" w:hRule="atLeast"/>
        </w:trPr>
        <w:tc>
          <w:tcPr>
            <w:tcW w:w="3125"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2011001</w:t>
            </w:r>
          </w:p>
        </w:tc>
        <w:tc>
          <w:tcPr>
            <w:tcW w:w="2804"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行政运行</w:t>
            </w:r>
          </w:p>
        </w:tc>
        <w:tc>
          <w:tcPr>
            <w:tcW w:w="28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2,165,364.83</w:t>
            </w:r>
          </w:p>
        </w:tc>
        <w:tc>
          <w:tcPr>
            <w:tcW w:w="28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2,165,364.83</w:t>
            </w:r>
          </w:p>
        </w:tc>
        <w:tc>
          <w:tcPr>
            <w:tcW w:w="24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14054" w:type="dxa"/>
            <w:gridSpan w:val="7"/>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注：本表反映部门本年度一般公共预算财政拨款支出情况。</w:t>
            </w:r>
          </w:p>
        </w:tc>
      </w:tr>
    </w:tbl>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tbl>
      <w:tblPr>
        <w:tblStyle w:val="10"/>
        <w:tblW w:w="14150" w:type="dxa"/>
        <w:tblInd w:w="94" w:type="dxa"/>
        <w:tblLayout w:type="fixed"/>
        <w:tblCellMar>
          <w:top w:w="0" w:type="dxa"/>
          <w:left w:w="108" w:type="dxa"/>
          <w:bottom w:w="0" w:type="dxa"/>
          <w:right w:w="108" w:type="dxa"/>
        </w:tblCellMar>
      </w:tblPr>
      <w:tblGrid>
        <w:gridCol w:w="716"/>
        <w:gridCol w:w="3029"/>
        <w:gridCol w:w="1416"/>
        <w:gridCol w:w="716"/>
        <w:gridCol w:w="2028"/>
        <w:gridCol w:w="1216"/>
        <w:gridCol w:w="716"/>
        <w:gridCol w:w="2597"/>
        <w:gridCol w:w="1716"/>
      </w:tblGrid>
      <w:tr>
        <w:tblPrEx>
          <w:tblLayout w:type="fixed"/>
          <w:tblCellMar>
            <w:top w:w="0" w:type="dxa"/>
            <w:left w:w="108" w:type="dxa"/>
            <w:bottom w:w="0" w:type="dxa"/>
            <w:right w:w="108" w:type="dxa"/>
          </w:tblCellMar>
        </w:tblPrEx>
        <w:trPr>
          <w:trHeight w:val="375" w:hRule="atLeast"/>
        </w:trPr>
        <w:tc>
          <w:tcPr>
            <w:tcW w:w="14150" w:type="dxa"/>
            <w:gridSpan w:val="9"/>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一般公共预算财政拨款基本支出决算表</w:t>
            </w:r>
          </w:p>
        </w:tc>
      </w:tr>
      <w:tr>
        <w:tblPrEx>
          <w:tblLayout w:type="fixed"/>
          <w:tblCellMar>
            <w:top w:w="0" w:type="dxa"/>
            <w:left w:w="108" w:type="dxa"/>
            <w:bottom w:w="0" w:type="dxa"/>
            <w:right w:w="108" w:type="dxa"/>
          </w:tblCellMar>
        </w:tblPrEx>
        <w:trPr>
          <w:trHeight w:val="300" w:hRule="atLeast"/>
        </w:trPr>
        <w:tc>
          <w:tcPr>
            <w:tcW w:w="7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2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7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02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7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59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16"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06</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00" w:hRule="atLeast"/>
        </w:trPr>
        <w:tc>
          <w:tcPr>
            <w:tcW w:w="3745" w:type="dxa"/>
            <w:gridSpan w:val="2"/>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部门：黄石市黄石港区组织部</w:t>
            </w:r>
          </w:p>
        </w:tc>
        <w:tc>
          <w:tcPr>
            <w:tcW w:w="141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71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2028"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121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71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2597"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716"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5161"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人员经费</w:t>
            </w:r>
          </w:p>
        </w:tc>
        <w:tc>
          <w:tcPr>
            <w:tcW w:w="8989" w:type="dxa"/>
            <w:gridSpan w:val="6"/>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公用经费</w:t>
            </w:r>
          </w:p>
        </w:tc>
      </w:tr>
      <w:tr>
        <w:tblPrEx>
          <w:tblLayout w:type="fixed"/>
          <w:tblCellMar>
            <w:top w:w="0" w:type="dxa"/>
            <w:left w:w="108" w:type="dxa"/>
            <w:bottom w:w="0" w:type="dxa"/>
            <w:right w:w="108" w:type="dxa"/>
          </w:tblCellMar>
        </w:tblPrEx>
        <w:trPr>
          <w:trHeight w:val="312" w:hRule="atLeast"/>
        </w:trPr>
        <w:tc>
          <w:tcPr>
            <w:tcW w:w="716" w:type="dxa"/>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科目编码</w:t>
            </w:r>
          </w:p>
        </w:tc>
        <w:tc>
          <w:tcPr>
            <w:tcW w:w="3029"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41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决算数</w:t>
            </w:r>
          </w:p>
        </w:tc>
        <w:tc>
          <w:tcPr>
            <w:tcW w:w="71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科目编码</w:t>
            </w:r>
          </w:p>
        </w:tc>
        <w:tc>
          <w:tcPr>
            <w:tcW w:w="2028"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21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决算数</w:t>
            </w:r>
          </w:p>
        </w:tc>
        <w:tc>
          <w:tcPr>
            <w:tcW w:w="71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科目编码</w:t>
            </w:r>
          </w:p>
        </w:tc>
        <w:tc>
          <w:tcPr>
            <w:tcW w:w="259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71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决算数</w:t>
            </w:r>
          </w:p>
        </w:tc>
      </w:tr>
      <w:tr>
        <w:tblPrEx>
          <w:tblLayout w:type="fixed"/>
          <w:tblCellMar>
            <w:top w:w="0" w:type="dxa"/>
            <w:left w:w="108" w:type="dxa"/>
            <w:bottom w:w="0" w:type="dxa"/>
            <w:right w:w="108" w:type="dxa"/>
          </w:tblCellMar>
        </w:tblPrEx>
        <w:trPr>
          <w:trHeight w:val="312" w:hRule="atLeast"/>
        </w:trPr>
        <w:tc>
          <w:tcPr>
            <w:tcW w:w="7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302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1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71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02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1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71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59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1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工资福利支出</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1,570,612.12</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商品和服务支出</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546,862.31</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307</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债务利息及费用支出</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30101</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基本工资</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324,719.00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30201</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办公费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52,648.57</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30701</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国内债务付息</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30102</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津贴补贴</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198,029.00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30202</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印刷费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101,406.00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30702</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国外债务付息</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30103</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奖金</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541,017.00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30203</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咨询费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资本性支出</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47,890.40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30106</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伙食补助费</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30204</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手续费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31001</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房屋建筑物购建</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30107</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绩效工资</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90,624.00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30205</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水费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31002</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办公设备购置</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47,890.40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30108</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机关事业单位基本养老保险缴费</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83,252.04</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30206</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电费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31003</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专用设备购置</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30109</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职业年金缴费</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58,627.36</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30207</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邮电费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8,475.74</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31005</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基础设施建设</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30110</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职工基本医疗保险缴费</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122,722.82</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30208</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取暖费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31006</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大型修缮</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30111</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公务员医疗补助缴费</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30209</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物业管理费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31007</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信息网络及软件购置更新</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30112</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其他社会保障缴费</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29,244.90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30211</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差旅费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40,457.00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31008</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物资储备</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30113</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住房公积金</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122,376.00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30212</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因公出国（境）费用</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31009</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土地补偿</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30114</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医疗费</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30213</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维修（护）费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3,550.00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31010</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安置补助</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30199</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其他工资福利支出</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30214</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租赁费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31011</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地上附着物和青苗补偿</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对个人和家庭的补助</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30215</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会议费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31012</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拆迁补偿</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30301</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离休费</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30216</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培训费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17,860.00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31013</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公务用车购置</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30302</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退休费</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30217</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公务接待费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535.00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31019</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其他交通工具购置</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30303</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退职（役）费</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30218</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专用材料费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31021</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文物和陈列品购置</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30304</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抚恤金</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30224</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被装购置费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31022</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无形资产购置</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30305</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生活补助</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30225</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专用燃料费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31099</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其他资本性支出</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30306</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救济费</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30226</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劳务费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12,800.00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其他支出</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30307</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医疗费补助</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30227</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委托业务费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164,649.00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39906</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赠与</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30308</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助学金</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30228</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工会经费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24,621.00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39907</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国家赔偿费用支出</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30309</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奖励金</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30229</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福利费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39908</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对民间非营利组织和群众性自治组织补贴</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30310</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个人农业生产补贴</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30231</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公务用车运行维护费</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39999</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其他支出</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30399</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其他对个人和家庭的补助</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30239</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其他交通费用</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42,370.00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30240</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税金及附加费用</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3029"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30299</w:t>
            </w:r>
          </w:p>
        </w:tc>
        <w:tc>
          <w:tcPr>
            <w:tcW w:w="202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其他商品和服务支出</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77,490.00</w:t>
            </w:r>
          </w:p>
        </w:tc>
        <w:tc>
          <w:tcPr>
            <w:tcW w:w="71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597"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Layout w:type="fixed"/>
          <w:tblCellMar>
            <w:top w:w="0" w:type="dxa"/>
            <w:left w:w="108" w:type="dxa"/>
            <w:bottom w:w="0" w:type="dxa"/>
            <w:right w:w="108" w:type="dxa"/>
          </w:tblCellMar>
        </w:tblPrEx>
        <w:trPr>
          <w:trHeight w:val="300" w:hRule="atLeast"/>
        </w:trPr>
        <w:tc>
          <w:tcPr>
            <w:tcW w:w="3745"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人员经费合计</w:t>
            </w:r>
          </w:p>
        </w:tc>
        <w:tc>
          <w:tcPr>
            <w:tcW w:w="14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1,570,612.12</w:t>
            </w:r>
          </w:p>
        </w:tc>
        <w:tc>
          <w:tcPr>
            <w:tcW w:w="7273" w:type="dxa"/>
            <w:gridSpan w:val="5"/>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公用经费合计</w:t>
            </w:r>
          </w:p>
        </w:tc>
        <w:tc>
          <w:tcPr>
            <w:tcW w:w="17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594,752.71</w:t>
            </w:r>
          </w:p>
        </w:tc>
      </w:tr>
      <w:tr>
        <w:tblPrEx>
          <w:tblLayout w:type="fixed"/>
          <w:tblCellMar>
            <w:top w:w="0" w:type="dxa"/>
            <w:left w:w="108" w:type="dxa"/>
            <w:bottom w:w="0" w:type="dxa"/>
            <w:right w:w="108" w:type="dxa"/>
          </w:tblCellMar>
        </w:tblPrEx>
        <w:trPr>
          <w:trHeight w:val="300" w:hRule="atLeast"/>
        </w:trPr>
        <w:tc>
          <w:tcPr>
            <w:tcW w:w="14150" w:type="dxa"/>
            <w:gridSpan w:val="9"/>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注：本表反映部门本年度一般公共预算财政拨款基本支出明细情况。</w:t>
            </w:r>
          </w:p>
        </w:tc>
      </w:tr>
    </w:tbl>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p>
      <w:pPr>
        <w:pStyle w:val="7"/>
        <w:widowControl/>
        <w:spacing w:before="76" w:beforeAutospacing="0" w:after="76" w:afterAutospacing="0" w:line="450" w:lineRule="atLeast"/>
        <w:rPr>
          <w:color w:val="333333"/>
        </w:rPr>
      </w:pPr>
    </w:p>
    <w:tbl>
      <w:tblPr>
        <w:tblStyle w:val="10"/>
        <w:tblW w:w="13874" w:type="dxa"/>
        <w:tblInd w:w="94" w:type="dxa"/>
        <w:tblLayout w:type="fixed"/>
        <w:tblCellMar>
          <w:top w:w="0" w:type="dxa"/>
          <w:left w:w="108" w:type="dxa"/>
          <w:bottom w:w="0" w:type="dxa"/>
          <w:right w:w="108" w:type="dxa"/>
        </w:tblCellMar>
      </w:tblPr>
      <w:tblGrid>
        <w:gridCol w:w="1180"/>
        <w:gridCol w:w="1185"/>
        <w:gridCol w:w="1122"/>
        <w:gridCol w:w="1063"/>
        <w:gridCol w:w="1102"/>
        <w:gridCol w:w="1216"/>
        <w:gridCol w:w="1107"/>
        <w:gridCol w:w="1146"/>
        <w:gridCol w:w="1102"/>
        <w:gridCol w:w="1063"/>
        <w:gridCol w:w="1063"/>
        <w:gridCol w:w="1525"/>
      </w:tblGrid>
      <w:tr>
        <w:tblPrEx>
          <w:tblLayout w:type="fixed"/>
          <w:tblCellMar>
            <w:top w:w="0" w:type="dxa"/>
            <w:left w:w="108" w:type="dxa"/>
            <w:bottom w:w="0" w:type="dxa"/>
            <w:right w:w="108" w:type="dxa"/>
          </w:tblCellMar>
        </w:tblPrEx>
        <w:trPr>
          <w:trHeight w:val="375" w:hRule="atLeast"/>
        </w:trPr>
        <w:tc>
          <w:tcPr>
            <w:tcW w:w="13874" w:type="dxa"/>
            <w:gridSpan w:val="12"/>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财政拨款“三公”经费支出决算表</w:t>
            </w:r>
          </w:p>
        </w:tc>
      </w:tr>
      <w:tr>
        <w:tblPrEx>
          <w:tblLayout w:type="fixed"/>
          <w:tblCellMar>
            <w:top w:w="0" w:type="dxa"/>
            <w:left w:w="108" w:type="dxa"/>
            <w:bottom w:w="0" w:type="dxa"/>
            <w:right w:w="108" w:type="dxa"/>
          </w:tblCellMar>
        </w:tblPrEx>
        <w:trPr>
          <w:trHeight w:val="300" w:hRule="atLeast"/>
        </w:trPr>
        <w:tc>
          <w:tcPr>
            <w:tcW w:w="118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8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2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6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0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1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0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4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0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6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6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525" w:type="dxa"/>
            <w:tcBorders>
              <w:top w:val="nil"/>
              <w:left w:val="nil"/>
              <w:bottom w:val="nil"/>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07</w:t>
            </w:r>
            <w:r>
              <w:rPr>
                <w:rFonts w:hint="eastAsia" w:ascii="宋体" w:hAnsi="宋体" w:cs="Arial"/>
                <w:color w:val="000000"/>
                <w:kern w:val="0"/>
                <w:sz w:val="22"/>
                <w:szCs w:val="22"/>
              </w:rPr>
              <w:t>表</w:t>
            </w:r>
          </w:p>
        </w:tc>
      </w:tr>
      <w:tr>
        <w:tblPrEx>
          <w:tblLayout w:type="fixed"/>
          <w:tblCellMar>
            <w:top w:w="0" w:type="dxa"/>
            <w:left w:w="108" w:type="dxa"/>
            <w:bottom w:w="0" w:type="dxa"/>
            <w:right w:w="108" w:type="dxa"/>
          </w:tblCellMar>
        </w:tblPrEx>
        <w:trPr>
          <w:trHeight w:val="300" w:hRule="atLeast"/>
        </w:trPr>
        <w:tc>
          <w:tcPr>
            <w:tcW w:w="3487" w:type="dxa"/>
            <w:gridSpan w:val="3"/>
            <w:tcBorders>
              <w:top w:val="nil"/>
              <w:left w:val="nil"/>
              <w:bottom w:val="single" w:color="000000" w:sz="4" w:space="0"/>
              <w:right w:val="nil"/>
            </w:tcBorders>
            <w:shd w:val="clear" w:color="auto" w:fill="FFFFFF"/>
            <w:noWrap/>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部门：黄石市黄石港区组织部</w:t>
            </w:r>
          </w:p>
        </w:tc>
        <w:tc>
          <w:tcPr>
            <w:tcW w:w="1063"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102"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216" w:type="dxa"/>
            <w:tcBorders>
              <w:top w:val="nil"/>
              <w:left w:val="nil"/>
              <w:bottom w:val="single" w:color="000000" w:sz="4" w:space="0"/>
              <w:right w:val="nil"/>
            </w:tcBorders>
            <w:shd w:val="clear" w:color="auto" w:fill="FFFFFF"/>
            <w:noWrap/>
            <w:vAlign w:val="center"/>
          </w:tcPr>
          <w:p>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1107"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146"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102"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063"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063" w:type="dxa"/>
            <w:tcBorders>
              <w:top w:val="nil"/>
              <w:left w:val="nil"/>
              <w:bottom w:val="single" w:color="000000" w:sz="4" w:space="0"/>
              <w:right w:val="nil"/>
            </w:tcBorders>
            <w:shd w:val="clear" w:color="auto" w:fill="FFFFFF"/>
            <w:noWrap/>
            <w:vAlign w:val="center"/>
          </w:tcPr>
          <w:p>
            <w:pPr>
              <w:widowControl/>
              <w:jc w:val="center"/>
              <w:rPr>
                <w:rFonts w:ascii="宋体" w:cs="Arial"/>
                <w:kern w:val="0"/>
                <w:sz w:val="18"/>
                <w:szCs w:val="18"/>
              </w:rPr>
            </w:pPr>
            <w:r>
              <w:rPr>
                <w:rFonts w:hint="eastAsia" w:ascii="宋体" w:hAnsi="宋体" w:cs="Arial"/>
                <w:kern w:val="0"/>
                <w:sz w:val="18"/>
                <w:szCs w:val="18"/>
              </w:rPr>
              <w:t>　</w:t>
            </w:r>
          </w:p>
        </w:tc>
        <w:tc>
          <w:tcPr>
            <w:tcW w:w="1525" w:type="dxa"/>
            <w:tcBorders>
              <w:top w:val="nil"/>
              <w:left w:val="nil"/>
              <w:bottom w:val="single" w:color="000000" w:sz="4" w:space="0"/>
              <w:right w:val="nil"/>
            </w:tcBorders>
            <w:shd w:val="clear" w:color="auto" w:fill="FFFFFF"/>
            <w:noWrap/>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tblPrEx>
          <w:tblLayout w:type="fixed"/>
          <w:tblCellMar>
            <w:top w:w="0" w:type="dxa"/>
            <w:left w:w="108" w:type="dxa"/>
            <w:bottom w:w="0" w:type="dxa"/>
            <w:right w:w="108" w:type="dxa"/>
          </w:tblCellMar>
        </w:tblPrEx>
        <w:trPr>
          <w:trHeight w:val="300" w:hRule="atLeast"/>
        </w:trPr>
        <w:tc>
          <w:tcPr>
            <w:tcW w:w="6868" w:type="dxa"/>
            <w:gridSpan w:val="6"/>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预算数</w:t>
            </w:r>
          </w:p>
        </w:tc>
        <w:tc>
          <w:tcPr>
            <w:tcW w:w="7006" w:type="dxa"/>
            <w:gridSpan w:val="6"/>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决算数</w:t>
            </w:r>
          </w:p>
        </w:tc>
      </w:tr>
      <w:tr>
        <w:tblPrEx>
          <w:tblLayout w:type="fixed"/>
          <w:tblCellMar>
            <w:top w:w="0" w:type="dxa"/>
            <w:left w:w="108" w:type="dxa"/>
            <w:bottom w:w="0" w:type="dxa"/>
            <w:right w:w="108" w:type="dxa"/>
          </w:tblCellMar>
        </w:tblPrEx>
        <w:trPr>
          <w:trHeight w:val="300" w:hRule="atLeast"/>
        </w:trPr>
        <w:tc>
          <w:tcPr>
            <w:tcW w:w="1180" w:type="dxa"/>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合计</w:t>
            </w:r>
          </w:p>
        </w:tc>
        <w:tc>
          <w:tcPr>
            <w:tcW w:w="118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因公出国（境）费</w:t>
            </w:r>
          </w:p>
        </w:tc>
        <w:tc>
          <w:tcPr>
            <w:tcW w:w="3287" w:type="dxa"/>
            <w:gridSpan w:val="3"/>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公务用车购置及运行费</w:t>
            </w:r>
          </w:p>
        </w:tc>
        <w:tc>
          <w:tcPr>
            <w:tcW w:w="121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公务接待费</w:t>
            </w:r>
          </w:p>
        </w:tc>
        <w:tc>
          <w:tcPr>
            <w:tcW w:w="1107"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合计</w:t>
            </w:r>
          </w:p>
        </w:tc>
        <w:tc>
          <w:tcPr>
            <w:tcW w:w="114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因公出国（境）费</w:t>
            </w:r>
          </w:p>
        </w:tc>
        <w:tc>
          <w:tcPr>
            <w:tcW w:w="3228" w:type="dxa"/>
            <w:gridSpan w:val="3"/>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公务用车购置及运行费</w:t>
            </w:r>
          </w:p>
        </w:tc>
        <w:tc>
          <w:tcPr>
            <w:tcW w:w="152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公务接待费</w:t>
            </w:r>
          </w:p>
        </w:tc>
      </w:tr>
      <w:tr>
        <w:tblPrEx>
          <w:tblLayout w:type="fixed"/>
          <w:tblCellMar>
            <w:top w:w="0" w:type="dxa"/>
            <w:left w:w="108" w:type="dxa"/>
            <w:bottom w:w="0" w:type="dxa"/>
            <w:right w:w="108" w:type="dxa"/>
          </w:tblCellMar>
        </w:tblPrEx>
        <w:trPr>
          <w:trHeight w:val="600" w:hRule="atLeast"/>
        </w:trPr>
        <w:tc>
          <w:tcPr>
            <w:tcW w:w="11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118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22"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小计</w:t>
            </w:r>
          </w:p>
        </w:tc>
        <w:tc>
          <w:tcPr>
            <w:tcW w:w="106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公务用车购置费</w:t>
            </w:r>
          </w:p>
        </w:tc>
        <w:tc>
          <w:tcPr>
            <w:tcW w:w="1102"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公务用车运行费</w:t>
            </w:r>
          </w:p>
        </w:tc>
        <w:tc>
          <w:tcPr>
            <w:tcW w:w="121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07"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4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02"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小计</w:t>
            </w:r>
          </w:p>
        </w:tc>
        <w:tc>
          <w:tcPr>
            <w:tcW w:w="106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公务用车购置费</w:t>
            </w:r>
          </w:p>
        </w:tc>
        <w:tc>
          <w:tcPr>
            <w:tcW w:w="106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公务用车运行费</w:t>
            </w:r>
          </w:p>
        </w:tc>
        <w:tc>
          <w:tcPr>
            <w:tcW w:w="152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1180" w:type="dxa"/>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w:t>
            </w:r>
          </w:p>
        </w:tc>
        <w:tc>
          <w:tcPr>
            <w:tcW w:w="1185"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2</w:t>
            </w:r>
          </w:p>
        </w:tc>
        <w:tc>
          <w:tcPr>
            <w:tcW w:w="1122"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3</w:t>
            </w:r>
          </w:p>
        </w:tc>
        <w:tc>
          <w:tcPr>
            <w:tcW w:w="106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4</w:t>
            </w:r>
          </w:p>
        </w:tc>
        <w:tc>
          <w:tcPr>
            <w:tcW w:w="1102"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5</w:t>
            </w:r>
          </w:p>
        </w:tc>
        <w:tc>
          <w:tcPr>
            <w:tcW w:w="121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6</w:t>
            </w:r>
          </w:p>
        </w:tc>
        <w:tc>
          <w:tcPr>
            <w:tcW w:w="1107"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7</w:t>
            </w:r>
          </w:p>
        </w:tc>
        <w:tc>
          <w:tcPr>
            <w:tcW w:w="114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8</w:t>
            </w:r>
          </w:p>
        </w:tc>
        <w:tc>
          <w:tcPr>
            <w:tcW w:w="1102"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9</w:t>
            </w:r>
          </w:p>
        </w:tc>
        <w:tc>
          <w:tcPr>
            <w:tcW w:w="106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10</w:t>
            </w:r>
          </w:p>
        </w:tc>
        <w:tc>
          <w:tcPr>
            <w:tcW w:w="106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11</w:t>
            </w:r>
          </w:p>
        </w:tc>
        <w:tc>
          <w:tcPr>
            <w:tcW w:w="1525"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12</w:t>
            </w:r>
          </w:p>
        </w:tc>
      </w:tr>
      <w:tr>
        <w:tblPrEx>
          <w:tblLayout w:type="fixed"/>
          <w:tblCellMar>
            <w:top w:w="0" w:type="dxa"/>
            <w:left w:w="108" w:type="dxa"/>
            <w:bottom w:w="0" w:type="dxa"/>
            <w:right w:w="108" w:type="dxa"/>
          </w:tblCellMar>
        </w:tblPrEx>
        <w:trPr>
          <w:trHeight w:val="300" w:hRule="atLeast"/>
        </w:trPr>
        <w:tc>
          <w:tcPr>
            <w:tcW w:w="1180" w:type="dxa"/>
            <w:tcBorders>
              <w:top w:val="nil"/>
              <w:left w:val="single" w:color="000000" w:sz="4" w:space="0"/>
              <w:bottom w:val="single" w:color="000000" w:sz="4" w:space="0"/>
              <w:right w:val="single" w:color="000000" w:sz="4" w:space="0"/>
            </w:tcBorders>
            <w:shd w:val="clear" w:color="auto" w:fill="00FF00"/>
            <w:noWrap/>
            <w:vAlign w:val="center"/>
          </w:tcPr>
          <w:p>
            <w:pPr>
              <w:widowControl/>
              <w:jc w:val="right"/>
              <w:rPr>
                <w:rFonts w:ascii="宋体" w:cs="Arial"/>
                <w:kern w:val="0"/>
                <w:sz w:val="20"/>
                <w:szCs w:val="20"/>
              </w:rPr>
            </w:pPr>
            <w:r>
              <w:rPr>
                <w:rFonts w:ascii="宋体" w:hAnsi="宋体" w:cs="Arial"/>
                <w:kern w:val="0"/>
                <w:sz w:val="20"/>
                <w:szCs w:val="20"/>
              </w:rPr>
              <w:t>0.00</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122" w:type="dxa"/>
            <w:tcBorders>
              <w:top w:val="nil"/>
              <w:left w:val="nil"/>
              <w:bottom w:val="single" w:color="000000" w:sz="4" w:space="0"/>
              <w:right w:val="single" w:color="000000" w:sz="4" w:space="0"/>
            </w:tcBorders>
            <w:shd w:val="clear" w:color="auto" w:fill="00FF00"/>
            <w:noWrap/>
            <w:vAlign w:val="center"/>
          </w:tcPr>
          <w:p>
            <w:pPr>
              <w:widowControl/>
              <w:jc w:val="right"/>
              <w:rPr>
                <w:rFonts w:ascii="宋体" w:cs="Arial"/>
                <w:kern w:val="0"/>
                <w:sz w:val="20"/>
                <w:szCs w:val="20"/>
              </w:rPr>
            </w:pPr>
            <w:r>
              <w:rPr>
                <w:rFonts w:ascii="宋体" w:hAnsi="宋体" w:cs="Arial"/>
                <w:kern w:val="0"/>
                <w:sz w:val="20"/>
                <w:szCs w:val="20"/>
              </w:rPr>
              <w:t>0.00</w:t>
            </w:r>
          </w:p>
        </w:tc>
        <w:tc>
          <w:tcPr>
            <w:tcW w:w="10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10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21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10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535.00</w:t>
            </w:r>
          </w:p>
        </w:tc>
        <w:tc>
          <w:tcPr>
            <w:tcW w:w="114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10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0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06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0.00</w:t>
            </w:r>
          </w:p>
        </w:tc>
        <w:tc>
          <w:tcPr>
            <w:tcW w:w="152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535.00</w:t>
            </w:r>
          </w:p>
        </w:tc>
      </w:tr>
      <w:tr>
        <w:tblPrEx>
          <w:tblLayout w:type="fixed"/>
          <w:tblCellMar>
            <w:top w:w="0" w:type="dxa"/>
            <w:left w:w="108" w:type="dxa"/>
            <w:bottom w:w="0" w:type="dxa"/>
            <w:right w:w="108" w:type="dxa"/>
          </w:tblCellMar>
        </w:tblPrEx>
        <w:trPr>
          <w:trHeight w:val="600" w:hRule="atLeast"/>
        </w:trPr>
        <w:tc>
          <w:tcPr>
            <w:tcW w:w="13874" w:type="dxa"/>
            <w:gridSpan w:val="12"/>
            <w:tcBorders>
              <w:top w:val="nil"/>
              <w:left w:val="nil"/>
              <w:bottom w:val="nil"/>
              <w:right w:val="nil"/>
            </w:tcBorders>
            <w:shd w:val="clear" w:color="auto" w:fill="FFFFFF"/>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tbl>
      <w:tblPr>
        <w:tblStyle w:val="10"/>
        <w:tblpPr w:leftFromText="180" w:rightFromText="180" w:vertAnchor="text" w:horzAnchor="page" w:tblpXSpec="center" w:tblpY="-21"/>
        <w:tblOverlap w:val="never"/>
        <w:tblW w:w="13700" w:type="dxa"/>
        <w:jc w:val="center"/>
        <w:tblInd w:w="0" w:type="dxa"/>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tblPrEx>
          <w:shd w:val="clear" w:color="auto" w:fill="auto"/>
          <w:tblLayout w:type="fixed"/>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Layout w:type="fixed"/>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Layout w:type="fixed"/>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cs="宋体" w:eastAsiaTheme="minorEastAsia"/>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cs="Arial"/>
                <w:color w:val="000000"/>
                <w:kern w:val="0"/>
                <w:sz w:val="22"/>
                <w:szCs w:val="22"/>
              </w:rPr>
              <w:t>黄石市黄石港区组织部</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Layout w:type="fixed"/>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Layout w:type="fixed"/>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Layout w:type="fixed"/>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Layout w:type="fixed"/>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pStyle w:val="7"/>
        <w:widowControl/>
        <w:spacing w:before="76" w:beforeAutospacing="0" w:after="76" w:afterAutospacing="0" w:line="450" w:lineRule="atLeast"/>
        <w:rPr>
          <w:color w:val="333333"/>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pPr>
    </w:p>
    <w:p>
      <w:pPr>
        <w:pStyle w:val="7"/>
        <w:widowControl/>
        <w:spacing w:before="76" w:beforeAutospacing="0" w:after="76" w:afterAutospacing="0" w:line="450" w:lineRule="atLeast"/>
        <w:rPr>
          <w:color w:val="333333"/>
        </w:rPr>
      </w:pPr>
      <w:r>
        <w:rPr>
          <w:rStyle w:val="9"/>
          <w:rFonts w:hint="eastAsia" w:ascii="微软雅黑" w:hAnsi="微软雅黑" w:eastAsia="微软雅黑" w:cs="微软雅黑"/>
          <w:color w:val="333333"/>
          <w:shd w:val="clear" w:color="auto" w:fill="FFFFFF"/>
        </w:rPr>
        <w:t>第三部分</w:t>
      </w:r>
      <w:r>
        <w:rPr>
          <w:rStyle w:val="9"/>
          <w:rFonts w:ascii="微软雅黑" w:hAnsi="微软雅黑" w:eastAsia="微软雅黑" w:cs="微软雅黑"/>
          <w:color w:val="333333"/>
          <w:shd w:val="clear" w:color="auto" w:fill="FFFFFF"/>
        </w:rPr>
        <w:t xml:space="preserve"> 2019</w:t>
      </w:r>
      <w:r>
        <w:rPr>
          <w:rStyle w:val="9"/>
          <w:rFonts w:hint="eastAsia" w:ascii="微软雅黑" w:hAnsi="微软雅黑" w:eastAsia="微软雅黑" w:cs="微软雅黑"/>
          <w:color w:val="333333"/>
          <w:shd w:val="clear" w:color="auto" w:fill="FFFFFF"/>
        </w:rPr>
        <w:t>年部门决算情况说明</w:t>
      </w:r>
    </w:p>
    <w:p>
      <w:pPr>
        <w:pStyle w:val="7"/>
        <w:widowControl/>
        <w:spacing w:before="76" w:beforeAutospacing="0" w:after="76" w:afterAutospacing="0" w:line="450" w:lineRule="atLeast"/>
        <w:ind w:firstLine="420"/>
        <w:rPr>
          <w:rFonts w:ascii="宋体" w:cs="宋体"/>
          <w:b/>
          <w:bCs/>
          <w:color w:val="333333"/>
          <w:sz w:val="28"/>
          <w:szCs w:val="28"/>
          <w:shd w:val="clear" w:color="auto" w:fill="FFFFFF"/>
        </w:rPr>
      </w:pPr>
      <w:r>
        <w:rPr>
          <w:rFonts w:hint="eastAsia" w:ascii="宋体" w:hAnsi="宋体" w:cs="宋体"/>
          <w:b/>
          <w:bCs/>
          <w:sz w:val="28"/>
          <w:szCs w:val="28"/>
          <w:shd w:val="clear" w:color="auto" w:fill="FFFFFF"/>
        </w:rPr>
        <w:t>（一）预算执行情况分析</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ascii="仿宋_GB2312" w:hAnsi="宋体" w:eastAsia="仿宋_GB2312" w:cs="宋体"/>
          <w:color w:val="333333"/>
          <w:sz w:val="32"/>
          <w:szCs w:val="32"/>
        </w:rPr>
        <w:t>1</w:t>
      </w:r>
      <w:r>
        <w:rPr>
          <w:rFonts w:hint="eastAsia" w:ascii="仿宋_GB2312" w:hAnsi="宋体" w:eastAsia="仿宋_GB2312" w:cs="宋体"/>
          <w:color w:val="333333"/>
          <w:sz w:val="32"/>
          <w:szCs w:val="32"/>
        </w:rPr>
        <w:t>、收入分析：</w:t>
      </w:r>
    </w:p>
    <w:p>
      <w:pPr>
        <w:shd w:val="clear" w:color="auto" w:fill="FFFFFF"/>
        <w:snapToGrid w:val="0"/>
        <w:spacing w:line="560" w:lineRule="atLeast"/>
        <w:ind w:firstLine="640" w:firstLineChars="200"/>
        <w:rPr>
          <w:rFonts w:ascii="宋体" w:cs="宋体"/>
          <w:color w:val="333333"/>
          <w:sz w:val="28"/>
          <w:szCs w:val="28"/>
        </w:rPr>
      </w:pPr>
      <w:r>
        <w:rPr>
          <w:rFonts w:hint="eastAsia" w:ascii="仿宋_GB2312" w:hAnsi="宋体" w:eastAsia="仿宋_GB2312" w:cs="宋体"/>
          <w:color w:val="333333"/>
          <w:sz w:val="32"/>
          <w:szCs w:val="32"/>
        </w:rPr>
        <w:t>本年总收入</w:t>
      </w:r>
      <w:r>
        <w:rPr>
          <w:rFonts w:ascii="仿宋_GB2312" w:hAnsi="宋体" w:eastAsia="仿宋_GB2312" w:cs="宋体"/>
          <w:color w:val="333333"/>
          <w:sz w:val="32"/>
          <w:szCs w:val="32"/>
        </w:rPr>
        <w:t>216.76</w:t>
      </w:r>
      <w:r>
        <w:rPr>
          <w:rFonts w:hint="eastAsia" w:ascii="仿宋_GB2312" w:hAnsi="宋体" w:eastAsia="仿宋_GB2312" w:cs="宋体"/>
          <w:color w:val="333333"/>
          <w:sz w:val="32"/>
          <w:szCs w:val="32"/>
        </w:rPr>
        <w:t>万元。比去年的</w:t>
      </w:r>
      <w:r>
        <w:rPr>
          <w:rFonts w:ascii="仿宋_GB2312" w:hAnsi="宋体" w:eastAsia="仿宋_GB2312" w:cs="宋体"/>
          <w:color w:val="333333"/>
          <w:sz w:val="32"/>
          <w:szCs w:val="32"/>
        </w:rPr>
        <w:t>223.43</w:t>
      </w:r>
      <w:r>
        <w:rPr>
          <w:rFonts w:hint="eastAsia" w:ascii="仿宋_GB2312" w:hAnsi="宋体" w:eastAsia="仿宋_GB2312" w:cs="宋体"/>
          <w:color w:val="333333"/>
          <w:sz w:val="32"/>
          <w:szCs w:val="32"/>
        </w:rPr>
        <w:t>万元减少</w:t>
      </w:r>
      <w:r>
        <w:rPr>
          <w:rFonts w:ascii="仿宋_GB2312" w:hAnsi="宋体" w:eastAsia="仿宋_GB2312" w:cs="宋体"/>
          <w:color w:val="333333"/>
          <w:sz w:val="32"/>
          <w:szCs w:val="32"/>
        </w:rPr>
        <w:t>6.67</w:t>
      </w:r>
      <w:r>
        <w:rPr>
          <w:rFonts w:hint="eastAsia" w:ascii="仿宋_GB2312" w:hAnsi="宋体" w:eastAsia="仿宋_GB2312" w:cs="宋体"/>
          <w:color w:val="333333"/>
          <w:sz w:val="32"/>
          <w:szCs w:val="32"/>
        </w:rPr>
        <w:t>万元，其主要原因为节约开支，其中财政拨款收入</w:t>
      </w:r>
      <w:r>
        <w:rPr>
          <w:rFonts w:ascii="仿宋_GB2312" w:hAnsi="宋体" w:eastAsia="仿宋_GB2312" w:cs="宋体"/>
          <w:color w:val="333333"/>
          <w:sz w:val="32"/>
          <w:szCs w:val="32"/>
        </w:rPr>
        <w:t>216.54</w:t>
      </w:r>
      <w:r>
        <w:rPr>
          <w:rFonts w:hint="eastAsia" w:ascii="仿宋_GB2312" w:hAnsi="宋体" w:eastAsia="仿宋_GB2312" w:cs="宋体"/>
          <w:color w:val="333333"/>
          <w:sz w:val="32"/>
          <w:szCs w:val="32"/>
        </w:rPr>
        <w:t>万元，占比</w:t>
      </w:r>
      <w:r>
        <w:rPr>
          <w:rFonts w:ascii="宋体" w:hAnsi="宋体" w:cs="宋体"/>
          <w:color w:val="333333"/>
          <w:sz w:val="28"/>
          <w:szCs w:val="28"/>
        </w:rPr>
        <w:t>99.90%</w:t>
      </w:r>
      <w:r>
        <w:rPr>
          <w:rFonts w:hint="eastAsia" w:ascii="宋体" w:hAnsi="宋体" w:cs="宋体"/>
          <w:color w:val="333333"/>
          <w:sz w:val="28"/>
          <w:szCs w:val="28"/>
        </w:rPr>
        <w:t>，其他收入</w:t>
      </w:r>
      <w:r>
        <w:rPr>
          <w:rFonts w:ascii="宋体" w:hAnsi="宋体" w:cs="宋体"/>
          <w:color w:val="333333"/>
          <w:sz w:val="28"/>
          <w:szCs w:val="28"/>
        </w:rPr>
        <w:t>0.22</w:t>
      </w:r>
      <w:r>
        <w:rPr>
          <w:rFonts w:hint="eastAsia" w:ascii="宋体" w:hAnsi="宋体" w:cs="宋体"/>
          <w:color w:val="333333"/>
          <w:sz w:val="28"/>
          <w:szCs w:val="28"/>
        </w:rPr>
        <w:t>万元，占比</w:t>
      </w:r>
      <w:r>
        <w:rPr>
          <w:rFonts w:ascii="宋体" w:hAnsi="宋体" w:cs="宋体"/>
          <w:color w:val="333333"/>
          <w:sz w:val="28"/>
          <w:szCs w:val="28"/>
        </w:rPr>
        <w:t>0.1%</w:t>
      </w:r>
      <w:r>
        <w:rPr>
          <w:rFonts w:hint="eastAsia" w:ascii="宋体" w:hAnsi="宋体" w:cs="宋体"/>
          <w:color w:val="333333"/>
          <w:sz w:val="28"/>
          <w:szCs w:val="28"/>
        </w:rPr>
        <w:t>。</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ascii="仿宋_GB2312" w:hAnsi="宋体" w:eastAsia="仿宋_GB2312" w:cs="宋体"/>
          <w:color w:val="333333"/>
          <w:sz w:val="32"/>
          <w:szCs w:val="32"/>
        </w:rPr>
        <w:t>2</w:t>
      </w:r>
      <w:r>
        <w:rPr>
          <w:rFonts w:hint="eastAsia" w:ascii="仿宋_GB2312" w:hAnsi="宋体" w:eastAsia="仿宋_GB2312" w:cs="宋体"/>
          <w:color w:val="333333"/>
          <w:sz w:val="32"/>
          <w:szCs w:val="32"/>
        </w:rPr>
        <w:t>、支出分析：</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本年总支出为</w:t>
      </w:r>
      <w:r>
        <w:rPr>
          <w:rFonts w:ascii="仿宋_GB2312" w:hAnsi="宋体" w:eastAsia="仿宋_GB2312" w:cs="宋体"/>
          <w:color w:val="333333"/>
          <w:sz w:val="32"/>
          <w:szCs w:val="32"/>
        </w:rPr>
        <w:t>216.76</w:t>
      </w:r>
      <w:r>
        <w:rPr>
          <w:rFonts w:hint="eastAsia" w:ascii="仿宋_GB2312" w:hAnsi="宋体" w:eastAsia="仿宋_GB2312" w:cs="宋体"/>
          <w:color w:val="333333"/>
          <w:sz w:val="32"/>
          <w:szCs w:val="32"/>
        </w:rPr>
        <w:t>万元。比去年的</w:t>
      </w:r>
      <w:r>
        <w:rPr>
          <w:rFonts w:ascii="仿宋_GB2312" w:hAnsi="宋体" w:eastAsia="仿宋_GB2312" w:cs="宋体"/>
          <w:color w:val="333333"/>
          <w:sz w:val="32"/>
          <w:szCs w:val="32"/>
        </w:rPr>
        <w:t>223.43</w:t>
      </w:r>
      <w:r>
        <w:rPr>
          <w:rFonts w:hint="eastAsia" w:ascii="仿宋_GB2312" w:hAnsi="宋体" w:eastAsia="仿宋_GB2312" w:cs="宋体"/>
          <w:color w:val="333333"/>
          <w:sz w:val="32"/>
          <w:szCs w:val="32"/>
        </w:rPr>
        <w:t>万元减少</w:t>
      </w:r>
      <w:r>
        <w:rPr>
          <w:rFonts w:ascii="仿宋_GB2312" w:hAnsi="宋体" w:eastAsia="仿宋_GB2312" w:cs="宋体"/>
          <w:color w:val="333333"/>
          <w:sz w:val="32"/>
          <w:szCs w:val="32"/>
        </w:rPr>
        <w:t>6.67</w:t>
      </w:r>
      <w:r>
        <w:rPr>
          <w:rFonts w:hint="eastAsia" w:ascii="仿宋_GB2312" w:hAnsi="宋体" w:eastAsia="仿宋_GB2312" w:cs="宋体"/>
          <w:color w:val="333333"/>
          <w:sz w:val="32"/>
          <w:szCs w:val="32"/>
        </w:rPr>
        <w:t>万元，其主要原因为节约开支，其中一般公共预算财政拨款支出</w:t>
      </w:r>
      <w:r>
        <w:rPr>
          <w:rFonts w:ascii="仿宋_GB2312" w:hAnsi="宋体" w:eastAsia="仿宋_GB2312" w:cs="宋体"/>
          <w:color w:val="333333"/>
          <w:sz w:val="32"/>
          <w:szCs w:val="32"/>
        </w:rPr>
        <w:t>216.54</w:t>
      </w:r>
      <w:r>
        <w:rPr>
          <w:rFonts w:hint="eastAsia" w:ascii="仿宋_GB2312" w:hAnsi="宋体" w:eastAsia="仿宋_GB2312" w:cs="宋体"/>
          <w:color w:val="333333"/>
          <w:sz w:val="32"/>
          <w:szCs w:val="32"/>
        </w:rPr>
        <w:t>万元，具体构成如下：</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w:t>
      </w:r>
      <w:r>
        <w:rPr>
          <w:rFonts w:ascii="仿宋_GB2312" w:hAnsi="宋体" w:eastAsia="仿宋_GB2312" w:cs="宋体"/>
          <w:color w:val="333333"/>
          <w:sz w:val="32"/>
          <w:szCs w:val="32"/>
        </w:rPr>
        <w:t>1</w:t>
      </w:r>
      <w:r>
        <w:rPr>
          <w:rFonts w:hint="eastAsia" w:ascii="仿宋_GB2312" w:hAnsi="宋体" w:eastAsia="仿宋_GB2312" w:cs="宋体"/>
          <w:color w:val="333333"/>
          <w:sz w:val="32"/>
          <w:szCs w:val="32"/>
        </w:rPr>
        <w:t>）工资福利支出</w:t>
      </w:r>
      <w:r>
        <w:rPr>
          <w:rFonts w:ascii="仿宋_GB2312" w:hAnsi="宋体" w:eastAsia="仿宋_GB2312" w:cs="宋体"/>
          <w:color w:val="333333"/>
          <w:sz w:val="32"/>
          <w:szCs w:val="32"/>
        </w:rPr>
        <w:t>157.06</w:t>
      </w:r>
      <w:r>
        <w:rPr>
          <w:rFonts w:hint="eastAsia" w:ascii="仿宋_GB2312" w:hAnsi="宋体" w:eastAsia="仿宋_GB2312" w:cs="宋体"/>
          <w:color w:val="333333"/>
          <w:sz w:val="32"/>
          <w:szCs w:val="32"/>
        </w:rPr>
        <w:t>万元。占比</w:t>
      </w:r>
      <w:r>
        <w:rPr>
          <w:rFonts w:ascii="仿宋_GB2312" w:hAnsi="宋体" w:eastAsia="仿宋_GB2312" w:cs="宋体"/>
          <w:color w:val="333333"/>
          <w:sz w:val="32"/>
          <w:szCs w:val="32"/>
        </w:rPr>
        <w:t>72.53%</w:t>
      </w:r>
    </w:p>
    <w:p>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w:t>
      </w:r>
      <w:r>
        <w:rPr>
          <w:rFonts w:ascii="仿宋_GB2312" w:hAnsi="宋体" w:eastAsia="仿宋_GB2312" w:cs="宋体"/>
          <w:color w:val="333333"/>
          <w:sz w:val="32"/>
          <w:szCs w:val="32"/>
        </w:rPr>
        <w:t>2</w:t>
      </w:r>
      <w:r>
        <w:rPr>
          <w:rFonts w:hint="eastAsia" w:ascii="仿宋_GB2312" w:hAnsi="宋体" w:eastAsia="仿宋_GB2312" w:cs="宋体"/>
          <w:color w:val="333333"/>
          <w:sz w:val="32"/>
          <w:szCs w:val="32"/>
        </w:rPr>
        <w:t>）商品和服务支出</w:t>
      </w:r>
      <w:r>
        <w:rPr>
          <w:rFonts w:ascii="仿宋_GB2312" w:hAnsi="宋体" w:eastAsia="仿宋_GB2312" w:cs="宋体"/>
          <w:color w:val="333333"/>
          <w:sz w:val="32"/>
          <w:szCs w:val="32"/>
        </w:rPr>
        <w:t>54.69</w:t>
      </w:r>
      <w:r>
        <w:rPr>
          <w:rFonts w:hint="eastAsia" w:ascii="仿宋_GB2312" w:hAnsi="宋体" w:eastAsia="仿宋_GB2312" w:cs="宋体"/>
          <w:color w:val="333333"/>
          <w:sz w:val="32"/>
          <w:szCs w:val="32"/>
        </w:rPr>
        <w:t>万元。占比</w:t>
      </w:r>
      <w:r>
        <w:rPr>
          <w:rFonts w:ascii="仿宋_GB2312" w:hAnsi="宋体" w:eastAsia="仿宋_GB2312" w:cs="宋体"/>
          <w:color w:val="333333"/>
          <w:sz w:val="32"/>
          <w:szCs w:val="32"/>
        </w:rPr>
        <w:t>25.26%</w:t>
      </w:r>
    </w:p>
    <w:p>
      <w:pPr>
        <w:shd w:val="clear" w:color="auto" w:fill="FFFFFF"/>
        <w:snapToGrid w:val="0"/>
        <w:spacing w:line="560" w:lineRule="atLeast"/>
        <w:ind w:firstLine="640" w:firstLineChars="200"/>
        <w:rPr>
          <w:rFonts w:ascii="宋体" w:cs="宋体"/>
          <w:color w:val="333333"/>
          <w:kern w:val="0"/>
          <w:sz w:val="28"/>
          <w:szCs w:val="28"/>
        </w:rPr>
      </w:pPr>
      <w:r>
        <w:rPr>
          <w:rFonts w:hint="eastAsia" w:ascii="仿宋_GB2312" w:hAnsi="宋体" w:eastAsia="仿宋_GB2312" w:cs="宋体"/>
          <w:color w:val="333333"/>
          <w:sz w:val="32"/>
          <w:szCs w:val="32"/>
        </w:rPr>
        <w:t>（</w:t>
      </w:r>
      <w:r>
        <w:rPr>
          <w:rFonts w:ascii="仿宋_GB2312" w:hAnsi="宋体" w:eastAsia="仿宋_GB2312" w:cs="宋体"/>
          <w:color w:val="333333"/>
          <w:sz w:val="32"/>
          <w:szCs w:val="32"/>
        </w:rPr>
        <w:t>3</w:t>
      </w:r>
      <w:r>
        <w:rPr>
          <w:rFonts w:hint="eastAsia" w:ascii="仿宋_GB2312" w:hAnsi="宋体" w:eastAsia="仿宋_GB2312" w:cs="宋体"/>
          <w:color w:val="333333"/>
          <w:sz w:val="32"/>
          <w:szCs w:val="32"/>
        </w:rPr>
        <w:t>）资本性支出</w:t>
      </w:r>
      <w:r>
        <w:rPr>
          <w:rFonts w:ascii="仿宋_GB2312" w:hAnsi="宋体" w:eastAsia="仿宋_GB2312" w:cs="宋体"/>
          <w:color w:val="333333"/>
          <w:sz w:val="32"/>
          <w:szCs w:val="32"/>
        </w:rPr>
        <w:t>4.79</w:t>
      </w:r>
      <w:r>
        <w:rPr>
          <w:rFonts w:hint="eastAsia" w:ascii="仿宋_GB2312" w:hAnsi="宋体" w:eastAsia="仿宋_GB2312" w:cs="宋体"/>
          <w:color w:val="333333"/>
          <w:sz w:val="32"/>
          <w:szCs w:val="32"/>
        </w:rPr>
        <w:t>万元。占比</w:t>
      </w:r>
      <w:r>
        <w:rPr>
          <w:rFonts w:ascii="仿宋_GB2312" w:hAnsi="宋体" w:eastAsia="仿宋_GB2312" w:cs="宋体"/>
          <w:color w:val="333333"/>
          <w:sz w:val="32"/>
          <w:szCs w:val="32"/>
        </w:rPr>
        <w:t>2.21%</w:t>
      </w:r>
    </w:p>
    <w:p>
      <w:pPr>
        <w:pStyle w:val="7"/>
        <w:widowControl/>
        <w:spacing w:before="76" w:beforeAutospacing="0" w:after="76" w:afterAutospacing="0" w:line="450" w:lineRule="atLeast"/>
        <w:ind w:firstLine="420"/>
        <w:rPr>
          <w:rFonts w:ascii="宋体" w:cs="宋体"/>
          <w:b/>
          <w:bCs/>
          <w:sz w:val="28"/>
          <w:szCs w:val="28"/>
          <w:shd w:val="clear" w:color="auto" w:fill="FFFFFF"/>
        </w:rPr>
      </w:pPr>
      <w:r>
        <w:rPr>
          <w:rFonts w:hint="eastAsia" w:ascii="宋体" w:hAnsi="宋体" w:cs="宋体"/>
          <w:b/>
          <w:bCs/>
          <w:sz w:val="28"/>
          <w:szCs w:val="28"/>
          <w:shd w:val="clear" w:color="auto" w:fill="FFFFFF"/>
        </w:rPr>
        <w:t>（二）关于“三公”经费支出说明</w:t>
      </w:r>
    </w:p>
    <w:p>
      <w:pPr>
        <w:ind w:firstLine="709"/>
        <w:rPr>
          <w:rFonts w:ascii="宋体" w:cs="宋体"/>
          <w:color w:val="333333"/>
          <w:kern w:val="0"/>
          <w:sz w:val="28"/>
          <w:szCs w:val="28"/>
        </w:rPr>
      </w:pPr>
      <w:r>
        <w:rPr>
          <w:rFonts w:hint="eastAsia" w:ascii="仿宋_GB2312" w:hAnsi="宋体" w:eastAsia="仿宋_GB2312" w:cs="宋体"/>
          <w:color w:val="333333"/>
          <w:sz w:val="32"/>
          <w:szCs w:val="32"/>
        </w:rPr>
        <w:t>国内公务接待</w:t>
      </w:r>
      <w:r>
        <w:rPr>
          <w:rFonts w:ascii="仿宋_GB2312" w:hAnsi="宋体" w:eastAsia="仿宋_GB2312" w:cs="宋体"/>
          <w:color w:val="333333"/>
          <w:sz w:val="32"/>
          <w:szCs w:val="32"/>
        </w:rPr>
        <w:t>1</w:t>
      </w:r>
      <w:r>
        <w:rPr>
          <w:rFonts w:hint="eastAsia" w:ascii="仿宋_GB2312" w:hAnsi="宋体" w:eastAsia="仿宋_GB2312" w:cs="宋体"/>
          <w:color w:val="333333"/>
          <w:sz w:val="32"/>
          <w:szCs w:val="32"/>
        </w:rPr>
        <w:t>批</w:t>
      </w:r>
      <w:r>
        <w:rPr>
          <w:rFonts w:ascii="仿宋_GB2312" w:hAnsi="宋体" w:eastAsia="仿宋_GB2312" w:cs="宋体"/>
          <w:color w:val="333333"/>
          <w:sz w:val="32"/>
          <w:szCs w:val="32"/>
        </w:rPr>
        <w:t>6</w:t>
      </w:r>
      <w:r>
        <w:rPr>
          <w:rFonts w:hint="eastAsia" w:ascii="仿宋_GB2312" w:hAnsi="宋体" w:eastAsia="仿宋_GB2312" w:cs="宋体"/>
          <w:color w:val="333333"/>
          <w:sz w:val="32"/>
          <w:szCs w:val="32"/>
        </w:rPr>
        <w:t>人支出</w:t>
      </w:r>
      <w:r>
        <w:rPr>
          <w:rFonts w:ascii="仿宋_GB2312" w:hAnsi="宋体" w:eastAsia="仿宋_GB2312" w:cs="宋体"/>
          <w:color w:val="333333"/>
          <w:sz w:val="32"/>
          <w:szCs w:val="32"/>
        </w:rPr>
        <w:t>535.00</w:t>
      </w:r>
      <w:r>
        <w:rPr>
          <w:rFonts w:hint="eastAsia" w:ascii="仿宋_GB2312" w:hAnsi="宋体" w:eastAsia="仿宋_GB2312" w:cs="宋体"/>
          <w:color w:val="333333"/>
          <w:sz w:val="32"/>
          <w:szCs w:val="32"/>
        </w:rPr>
        <w:t>元。</w:t>
      </w:r>
    </w:p>
    <w:p>
      <w:pPr>
        <w:pStyle w:val="7"/>
        <w:widowControl/>
        <w:spacing w:before="76" w:beforeAutospacing="0" w:after="76" w:afterAutospacing="0" w:line="450" w:lineRule="atLeast"/>
        <w:ind w:firstLine="420"/>
        <w:rPr>
          <w:rFonts w:ascii="宋体" w:cs="宋体"/>
          <w:b/>
          <w:bCs/>
          <w:sz w:val="28"/>
          <w:szCs w:val="28"/>
          <w:shd w:val="clear" w:color="auto" w:fill="FFFFFF"/>
        </w:rPr>
      </w:pPr>
      <w:r>
        <w:rPr>
          <w:rFonts w:hint="eastAsia" w:ascii="宋体" w:hAnsi="宋体" w:cs="宋体"/>
          <w:b/>
          <w:bCs/>
          <w:sz w:val="28"/>
          <w:szCs w:val="28"/>
          <w:shd w:val="clear" w:color="auto" w:fill="FFFFFF"/>
        </w:rPr>
        <w:t>（三）关于机关运行经费支出说明</w:t>
      </w:r>
    </w:p>
    <w:p>
      <w:pPr>
        <w:shd w:val="clear" w:color="auto" w:fill="FFFFFF"/>
        <w:spacing w:line="360" w:lineRule="auto"/>
        <w:ind w:firstLine="800" w:firstLineChars="25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本单位机关运行经费本年支出</w:t>
      </w:r>
      <w:r>
        <w:rPr>
          <w:rFonts w:ascii="仿宋_GB2312" w:hAnsi="仿宋" w:eastAsia="仿宋_GB2312" w:cs="仿宋"/>
          <w:bCs/>
          <w:color w:val="000000"/>
          <w:sz w:val="32"/>
          <w:szCs w:val="32"/>
        </w:rPr>
        <w:t>59.48</w:t>
      </w:r>
      <w:r>
        <w:rPr>
          <w:rFonts w:hint="eastAsia" w:ascii="仿宋_GB2312" w:hAnsi="仿宋" w:eastAsia="仿宋_GB2312" w:cs="仿宋"/>
          <w:bCs/>
          <w:color w:val="000000"/>
          <w:sz w:val="32"/>
          <w:szCs w:val="32"/>
        </w:rPr>
        <w:t>万元，去年支出为</w:t>
      </w:r>
      <w:r>
        <w:rPr>
          <w:rFonts w:ascii="仿宋_GB2312" w:hAnsi="仿宋" w:eastAsia="仿宋_GB2312" w:cs="仿宋"/>
          <w:bCs/>
          <w:color w:val="000000"/>
          <w:sz w:val="32"/>
          <w:szCs w:val="32"/>
        </w:rPr>
        <w:t>67.82</w:t>
      </w:r>
      <w:r>
        <w:rPr>
          <w:rFonts w:hint="eastAsia" w:ascii="仿宋_GB2312" w:hAnsi="仿宋" w:eastAsia="仿宋_GB2312" w:cs="仿宋"/>
          <w:bCs/>
          <w:color w:val="000000"/>
          <w:sz w:val="32"/>
          <w:szCs w:val="32"/>
        </w:rPr>
        <w:t>万元，对比减少</w:t>
      </w:r>
      <w:r>
        <w:rPr>
          <w:rFonts w:ascii="仿宋_GB2312" w:hAnsi="仿宋" w:eastAsia="仿宋_GB2312" w:cs="仿宋"/>
          <w:bCs/>
          <w:color w:val="000000"/>
          <w:sz w:val="32"/>
          <w:szCs w:val="32"/>
        </w:rPr>
        <w:t>8.34</w:t>
      </w:r>
      <w:r>
        <w:rPr>
          <w:rFonts w:hint="eastAsia" w:ascii="仿宋_GB2312" w:hAnsi="仿宋" w:eastAsia="仿宋_GB2312" w:cs="仿宋"/>
          <w:bCs/>
          <w:color w:val="000000"/>
          <w:sz w:val="32"/>
          <w:szCs w:val="32"/>
        </w:rPr>
        <w:t>万元，主要原因为</w:t>
      </w:r>
      <w:r>
        <w:rPr>
          <w:rFonts w:hint="eastAsia" w:ascii="仿宋_GB2312" w:hAnsi="仿宋_GB2312" w:eastAsia="仿宋_GB2312" w:cs="仿宋_GB2312"/>
          <w:color w:val="000000"/>
          <w:sz w:val="32"/>
          <w:szCs w:val="32"/>
        </w:rPr>
        <w:t>去年有开展全区年轻干部培训支出</w:t>
      </w:r>
      <w:r>
        <w:rPr>
          <w:rFonts w:hint="eastAsia" w:ascii="仿宋_GB2312" w:hAnsi="仿宋" w:eastAsia="仿宋_GB2312" w:cs="仿宋"/>
          <w:bCs/>
          <w:color w:val="000000"/>
          <w:sz w:val="32"/>
          <w:szCs w:val="32"/>
        </w:rPr>
        <w:t>所致。</w:t>
      </w:r>
    </w:p>
    <w:p>
      <w:pPr>
        <w:pStyle w:val="7"/>
        <w:widowControl/>
        <w:spacing w:before="76" w:beforeAutospacing="0" w:after="76" w:afterAutospacing="0" w:line="450" w:lineRule="atLeast"/>
        <w:ind w:firstLine="281" w:firstLineChars="100"/>
        <w:rPr>
          <w:rFonts w:ascii="宋体" w:cs="宋体"/>
          <w:b/>
          <w:bCs/>
          <w:sz w:val="28"/>
          <w:szCs w:val="28"/>
          <w:shd w:val="clear" w:color="auto" w:fill="FFFFFF"/>
        </w:rPr>
      </w:pPr>
      <w:r>
        <w:rPr>
          <w:rFonts w:hint="eastAsia" w:ascii="宋体" w:hAnsi="宋体" w:cs="宋体"/>
          <w:b/>
          <w:bCs/>
          <w:sz w:val="28"/>
          <w:szCs w:val="28"/>
          <w:shd w:val="clear" w:color="auto" w:fill="FFFFFF"/>
        </w:rPr>
        <w:t>（四）关于政府采购支出说明</w:t>
      </w:r>
    </w:p>
    <w:p>
      <w:pPr>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本部门本年度政府采购总支出</w:t>
      </w:r>
      <w:r>
        <w:rPr>
          <w:rFonts w:ascii="仿宋_GB2312" w:hAnsi="仿宋" w:eastAsia="仿宋_GB2312" w:cs="仿宋"/>
          <w:bCs/>
          <w:sz w:val="32"/>
          <w:szCs w:val="32"/>
        </w:rPr>
        <w:t>10.90</w:t>
      </w:r>
      <w:r>
        <w:rPr>
          <w:rFonts w:hint="eastAsia" w:ascii="仿宋_GB2312" w:hAnsi="仿宋" w:eastAsia="仿宋_GB2312" w:cs="仿宋"/>
          <w:bCs/>
          <w:sz w:val="32"/>
          <w:szCs w:val="32"/>
        </w:rPr>
        <w:t>万元，其中采购货物支出</w:t>
      </w:r>
      <w:r>
        <w:rPr>
          <w:rFonts w:ascii="仿宋_GB2312" w:hAnsi="仿宋" w:eastAsia="仿宋_GB2312" w:cs="仿宋"/>
          <w:bCs/>
          <w:sz w:val="32"/>
          <w:szCs w:val="32"/>
        </w:rPr>
        <w:t>3.76</w:t>
      </w:r>
      <w:r>
        <w:rPr>
          <w:rFonts w:hint="eastAsia" w:ascii="仿宋_GB2312" w:hAnsi="仿宋" w:eastAsia="仿宋_GB2312" w:cs="仿宋"/>
          <w:bCs/>
          <w:sz w:val="32"/>
          <w:szCs w:val="32"/>
        </w:rPr>
        <w:t>万元、采购服务支出</w:t>
      </w:r>
      <w:r>
        <w:rPr>
          <w:rFonts w:ascii="仿宋_GB2312" w:hAnsi="仿宋" w:eastAsia="仿宋_GB2312" w:cs="仿宋"/>
          <w:bCs/>
          <w:sz w:val="32"/>
          <w:szCs w:val="32"/>
        </w:rPr>
        <w:t>7.14</w:t>
      </w:r>
      <w:r>
        <w:rPr>
          <w:rFonts w:hint="eastAsia" w:ascii="仿宋_GB2312" w:hAnsi="仿宋" w:eastAsia="仿宋_GB2312" w:cs="仿宋"/>
          <w:bCs/>
          <w:sz w:val="32"/>
          <w:szCs w:val="32"/>
        </w:rPr>
        <w:t>万元。</w:t>
      </w:r>
    </w:p>
    <w:p>
      <w:pPr>
        <w:pStyle w:val="7"/>
        <w:widowControl/>
        <w:spacing w:before="76" w:beforeAutospacing="0" w:after="76" w:afterAutospacing="0" w:line="450" w:lineRule="atLeast"/>
        <w:ind w:firstLine="281" w:firstLineChars="100"/>
        <w:rPr>
          <w:rFonts w:ascii="宋体" w:cs="宋体"/>
          <w:b/>
          <w:bCs/>
          <w:sz w:val="28"/>
          <w:szCs w:val="28"/>
          <w:shd w:val="clear" w:color="auto" w:fill="FFFFFF"/>
        </w:rPr>
      </w:pPr>
      <w:r>
        <w:rPr>
          <w:rFonts w:hint="eastAsia" w:ascii="宋体" w:hAnsi="宋体" w:cs="宋体"/>
          <w:b/>
          <w:bCs/>
          <w:sz w:val="28"/>
          <w:szCs w:val="28"/>
          <w:shd w:val="clear" w:color="auto" w:fill="FFFFFF"/>
        </w:rPr>
        <w:t>（五）关于国有资产占用情况说明</w:t>
      </w:r>
    </w:p>
    <w:p>
      <w:pPr>
        <w:widowControl/>
        <w:shd w:val="clear" w:color="auto" w:fill="FFFFFF"/>
        <w:snapToGrid w:val="0"/>
        <w:spacing w:line="560" w:lineRule="atLeast"/>
        <w:ind w:firstLine="562"/>
        <w:jc w:val="left"/>
        <w:rPr>
          <w:rFonts w:hint="eastAsia" w:ascii="宋体" w:hAnsi="宋体" w:cs="宋体"/>
          <w:color w:val="333333"/>
          <w:kern w:val="0"/>
          <w:sz w:val="28"/>
          <w:szCs w:val="28"/>
        </w:rPr>
      </w:pPr>
      <w:r>
        <w:rPr>
          <w:rFonts w:hint="eastAsia" w:ascii="宋体" w:hAnsi="宋体" w:cs="宋体"/>
          <w:color w:val="333333"/>
          <w:kern w:val="0"/>
          <w:sz w:val="28"/>
          <w:szCs w:val="28"/>
        </w:rPr>
        <w:t>截至本年末，本部门无公务用车。</w:t>
      </w:r>
    </w:p>
    <w:p>
      <w:pPr>
        <w:pStyle w:val="7"/>
        <w:widowControl/>
        <w:spacing w:before="76" w:beforeAutospacing="0" w:after="76" w:afterAutospacing="0" w:line="450" w:lineRule="atLeast"/>
        <w:ind w:firstLine="281" w:firstLineChars="100"/>
        <w:rPr>
          <w:rFonts w:hint="eastAsia"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（六）重点绩效评价结果等预算绩效情况说明</w:t>
      </w:r>
    </w:p>
    <w:p>
      <w:pPr>
        <w:ind w:firstLine="640" w:firstLineChars="200"/>
        <w:rPr>
          <w:rFonts w:hint="eastAsia" w:ascii="仿宋_GB2312" w:hAnsi="仿宋" w:eastAsia="仿宋_GB2312" w:cs="仿宋"/>
          <w:bCs/>
          <w:sz w:val="32"/>
          <w:szCs w:val="32"/>
          <w:lang w:eastAsia="zh-CN"/>
        </w:rPr>
      </w:pPr>
      <w:r>
        <w:rPr>
          <w:rFonts w:hint="eastAsia" w:ascii="仿宋_GB2312" w:hAnsi="仿宋" w:eastAsia="仿宋_GB2312" w:cs="仿宋"/>
          <w:bCs/>
          <w:sz w:val="32"/>
          <w:szCs w:val="32"/>
          <w:lang w:val="en-US" w:eastAsia="zh-CN"/>
        </w:rPr>
        <w:t>2019年， 根据预算绩效管理要求，我单位组织2019年度一般公共预算项目支出全面开展绩效自评，共涉及项目7个，资金119.53万元。 2019年项目资金投入119.53万元，已使用119.53万元，使用率达100%。使用从评价结果看，项目立项程序完整、规范，预</w:t>
      </w:r>
      <w:bookmarkStart w:id="0" w:name="_GoBack"/>
      <w:bookmarkEnd w:id="0"/>
      <w:r>
        <w:rPr>
          <w:rFonts w:hint="eastAsia" w:ascii="仿宋_GB2312" w:hAnsi="仿宋" w:eastAsia="仿宋_GB2312" w:cs="仿宋"/>
          <w:bCs/>
          <w:sz w:val="32"/>
          <w:szCs w:val="32"/>
          <w:lang w:val="en-US" w:eastAsia="zh-CN"/>
        </w:rPr>
        <w:t>算执行及时、有效，绩效目标得到较好实现，绩效管理水平不断提高，绩效指标体系建设逐渐丰富和完善。</w:t>
      </w:r>
    </w:p>
    <w:p>
      <w:pPr>
        <w:widowControl/>
        <w:shd w:val="clear" w:color="auto" w:fill="FFFFFF"/>
        <w:snapToGrid w:val="0"/>
        <w:spacing w:line="560" w:lineRule="atLeast"/>
        <w:ind w:firstLine="562"/>
        <w:jc w:val="left"/>
        <w:rPr>
          <w:rFonts w:hint="eastAsia" w:ascii="宋体" w:hAnsi="宋体" w:cs="宋体"/>
          <w:color w:val="333333"/>
          <w:kern w:val="0"/>
          <w:sz w:val="28"/>
          <w:szCs w:val="28"/>
        </w:rPr>
      </w:pPr>
    </w:p>
    <w:p>
      <w:pPr>
        <w:widowControl/>
        <w:shd w:val="clear" w:color="auto" w:fill="FFFFFF"/>
        <w:snapToGrid w:val="0"/>
        <w:spacing w:line="560" w:lineRule="atLeast"/>
        <w:ind w:firstLine="562"/>
        <w:jc w:val="left"/>
        <w:rPr>
          <w:rFonts w:ascii="宋体" w:cs="宋体"/>
          <w:color w:val="333333"/>
          <w:kern w:val="0"/>
          <w:sz w:val="28"/>
          <w:szCs w:val="28"/>
        </w:rPr>
      </w:pPr>
    </w:p>
    <w:p>
      <w:pPr>
        <w:widowControl/>
        <w:shd w:val="clear" w:color="auto" w:fill="FFFFFF"/>
        <w:snapToGrid w:val="0"/>
        <w:spacing w:line="560" w:lineRule="atLeast"/>
        <w:ind w:firstLine="562"/>
        <w:jc w:val="left"/>
        <w:rPr>
          <w:rFonts w:ascii="宋体" w:cs="宋体"/>
          <w:color w:val="333333"/>
          <w:kern w:val="0"/>
          <w:sz w:val="28"/>
          <w:szCs w:val="28"/>
        </w:rPr>
      </w:pPr>
    </w:p>
    <w:p>
      <w:pPr>
        <w:widowControl/>
        <w:shd w:val="clear" w:color="auto" w:fill="FFFFFF"/>
        <w:snapToGrid w:val="0"/>
        <w:spacing w:line="560" w:lineRule="atLeast"/>
        <w:ind w:firstLine="562"/>
        <w:jc w:val="left"/>
        <w:rPr>
          <w:rFonts w:ascii="宋体" w:cs="宋体"/>
          <w:color w:val="333333"/>
          <w:kern w:val="0"/>
          <w:sz w:val="28"/>
          <w:szCs w:val="28"/>
        </w:rPr>
      </w:pPr>
    </w:p>
    <w:p>
      <w:pPr>
        <w:widowControl/>
        <w:shd w:val="clear" w:color="auto" w:fill="FFFFFF"/>
        <w:snapToGrid w:val="0"/>
        <w:spacing w:line="560" w:lineRule="atLeast"/>
        <w:ind w:firstLine="562"/>
        <w:jc w:val="left"/>
        <w:rPr>
          <w:rFonts w:ascii="宋体" w:cs="宋体"/>
          <w:color w:val="333333"/>
          <w:kern w:val="0"/>
          <w:sz w:val="28"/>
          <w:szCs w:val="28"/>
        </w:rPr>
      </w:pPr>
    </w:p>
    <w:p>
      <w:pPr>
        <w:widowControl/>
        <w:shd w:val="clear" w:color="auto" w:fill="FFFFFF"/>
        <w:snapToGrid w:val="0"/>
        <w:spacing w:line="560" w:lineRule="atLeast"/>
        <w:ind w:firstLine="562"/>
        <w:jc w:val="left"/>
        <w:rPr>
          <w:rFonts w:ascii="宋体" w:cs="宋体"/>
          <w:color w:val="333333"/>
          <w:kern w:val="0"/>
          <w:sz w:val="28"/>
          <w:szCs w:val="28"/>
        </w:rPr>
      </w:pPr>
    </w:p>
    <w:p>
      <w:pPr>
        <w:widowControl/>
        <w:shd w:val="clear" w:color="auto" w:fill="FFFFFF"/>
        <w:snapToGrid w:val="0"/>
        <w:spacing w:line="560" w:lineRule="atLeast"/>
        <w:ind w:firstLine="562"/>
        <w:jc w:val="left"/>
        <w:rPr>
          <w:rFonts w:ascii="微软雅黑" w:hAnsi="微软雅黑" w:eastAsia="微软雅黑" w:cs="微软雅黑"/>
          <w:b/>
          <w:bCs/>
          <w:color w:val="333333"/>
          <w:kern w:val="0"/>
          <w:sz w:val="24"/>
        </w:rPr>
      </w:pPr>
      <w:r>
        <w:rPr>
          <w:rFonts w:ascii="微软雅黑" w:hAnsi="微软雅黑" w:eastAsia="微软雅黑" w:cs="微软雅黑"/>
          <w:b/>
          <w:bCs/>
          <w:color w:val="333333"/>
          <w:kern w:val="0"/>
          <w:sz w:val="24"/>
        </w:rPr>
        <w:t xml:space="preserve"> </w:t>
      </w:r>
      <w:r>
        <w:rPr>
          <w:rFonts w:hint="eastAsia" w:ascii="微软雅黑" w:hAnsi="微软雅黑" w:eastAsia="微软雅黑" w:cs="微软雅黑"/>
          <w:b/>
          <w:bCs/>
          <w:color w:val="333333"/>
          <w:kern w:val="0"/>
          <w:sz w:val="24"/>
        </w:rPr>
        <w:t>第四部分</w:t>
      </w:r>
      <w:r>
        <w:rPr>
          <w:rFonts w:ascii="微软雅黑" w:hAnsi="微软雅黑" w:eastAsia="微软雅黑" w:cs="微软雅黑"/>
          <w:b/>
          <w:bCs/>
          <w:color w:val="333333"/>
          <w:kern w:val="0"/>
          <w:sz w:val="24"/>
        </w:rPr>
        <w:t xml:space="preserve"> </w:t>
      </w:r>
      <w:r>
        <w:rPr>
          <w:rFonts w:hint="eastAsia" w:ascii="微软雅黑" w:hAnsi="微软雅黑" w:eastAsia="微软雅黑" w:cs="微软雅黑"/>
          <w:b/>
          <w:bCs/>
          <w:color w:val="333333"/>
          <w:kern w:val="0"/>
          <w:sz w:val="24"/>
        </w:rPr>
        <w:t>名词解释</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一、财政补助收入：指县级财政当年拨付的资金。</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二、其他收入：指除“财政拨款收入”、“上级补助收入”、“事业收入”、“经营收入”等以外的收入。主要是存款利息收入等。</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三、年初结转和结余：指以前年度尚未完成、结转到本年按有关规定继续使用的资金。</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四、一般公共服务（类）行政运行（项）：指县行政单位及参照公务员管理事业单位用于保障机构正常运行、开展日常工作的基本支出。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六、一般公共服务（类）机关服务（项）：指黄石港区组织部服务中心为机关提供办公楼日常维修、维护等后勤保障服务的支出。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七、一般公共服务（类）其他一般公共服务支出（款）其他一般公共服务支出（项）：指黄石港区组织部用于其他一般公共服务方面的支出。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八、教育（类）普通教育（款）高等教育（项）：指黄石港区组织部支持地方高校的重点发展和特色办学，组织专家对省属院校申报的建设规划和项目预算进行评审等相关工作的支出。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九、社会保障和就业</w:t>
      </w:r>
      <w:r>
        <w:rPr>
          <w:rFonts w:ascii="宋体" w:hAnsi="宋体" w:cs="宋体"/>
          <w:color w:val="333333"/>
          <w:kern w:val="0"/>
          <w:sz w:val="28"/>
          <w:szCs w:val="28"/>
        </w:rPr>
        <w:t>(</w:t>
      </w:r>
      <w:r>
        <w:rPr>
          <w:rFonts w:hint="eastAsia" w:ascii="宋体" w:hAnsi="宋体" w:cs="宋体"/>
          <w:color w:val="333333"/>
          <w:kern w:val="0"/>
          <w:sz w:val="28"/>
          <w:szCs w:val="28"/>
        </w:rPr>
        <w:t>类</w:t>
      </w:r>
      <w:r>
        <w:rPr>
          <w:rFonts w:ascii="宋体" w:hAnsi="宋体" w:cs="宋体"/>
          <w:color w:val="333333"/>
          <w:kern w:val="0"/>
          <w:sz w:val="28"/>
          <w:szCs w:val="28"/>
        </w:rPr>
        <w:t>)</w:t>
      </w:r>
      <w:r>
        <w:rPr>
          <w:rFonts w:hint="eastAsia" w:ascii="宋体" w:hAnsi="宋体" w:cs="宋体"/>
          <w:color w:val="333333"/>
          <w:kern w:val="0"/>
          <w:sz w:val="28"/>
          <w:szCs w:val="28"/>
        </w:rPr>
        <w:t>行政事业单位离退休（款）归口管理的行政单位离退休（项）：指黄石港区组织部用于离退休人员的支出、退休人员支出，以及提供管理服务工作的离退休干部处的支出。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十、社会保障和就业</w:t>
      </w:r>
      <w:r>
        <w:rPr>
          <w:rFonts w:ascii="宋体" w:hAnsi="宋体" w:cs="宋体"/>
          <w:color w:val="333333"/>
          <w:kern w:val="0"/>
          <w:sz w:val="28"/>
          <w:szCs w:val="28"/>
        </w:rPr>
        <w:t>(</w:t>
      </w:r>
      <w:r>
        <w:rPr>
          <w:rFonts w:hint="eastAsia" w:ascii="宋体" w:hAnsi="宋体" w:cs="宋体"/>
          <w:color w:val="333333"/>
          <w:kern w:val="0"/>
          <w:sz w:val="28"/>
          <w:szCs w:val="28"/>
        </w:rPr>
        <w:t>类</w:t>
      </w:r>
      <w:r>
        <w:rPr>
          <w:rFonts w:ascii="宋体" w:hAnsi="宋体" w:cs="宋体"/>
          <w:color w:val="333333"/>
          <w:kern w:val="0"/>
          <w:sz w:val="28"/>
          <w:szCs w:val="28"/>
        </w:rPr>
        <w:t>)</w:t>
      </w:r>
      <w:r>
        <w:rPr>
          <w:rFonts w:hint="eastAsia" w:ascii="宋体" w:hAnsi="宋体" w:cs="宋体"/>
          <w:color w:val="333333"/>
          <w:kern w:val="0"/>
          <w:sz w:val="28"/>
          <w:szCs w:val="28"/>
        </w:rPr>
        <w:t>行政事业单位离退休（款）其他行政事业单位离退休支出（项）：指黄石港区组织部用于离退休方面的其他支出。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十一、医疗卫生与计划生育（类）医疗保障（款）行政单位医疗（项）：指黄石港区组织部用于机关干部职工及离退休人员医疗方面的支出。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十二、住房保障（类）住房改革支出（款）购房补贴（项）：指按照相关住房分配货币化改革的政策规定和标准，对无房和住房未达标职工发放的住房分配货币化补贴资金。</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十三、年末结转和结余：指本年度或以前年度预算安排、因客观条件发生变化无法按原计划实施，需要延迟到以后年度按有关规定继续使用的资金。</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十四、基本支出：指为保障机构正常运转、完成日常工作任务而发生的人员支出（包括基本工资、津贴补贴等）和公用支出（包括办公费、水电费、邮电费、交通费、差旅费等）。</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十五、项目支出：指在基本支出之外为完成特定行政任务和事业发展目标所发生的支出。</w:t>
      </w:r>
    </w:p>
    <w:p>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十六、“三公”经费：是指用财政拨款安排的因公出国（境）费、公务用车购置及运行维护费、公务接待费。</w:t>
      </w:r>
    </w:p>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F3F"/>
    <w:rsid w:val="0003344C"/>
    <w:rsid w:val="000E0DB5"/>
    <w:rsid w:val="000F2C41"/>
    <w:rsid w:val="00150B40"/>
    <w:rsid w:val="00182081"/>
    <w:rsid w:val="00255770"/>
    <w:rsid w:val="002C3F29"/>
    <w:rsid w:val="002C5FA2"/>
    <w:rsid w:val="002E7AF3"/>
    <w:rsid w:val="00345CF9"/>
    <w:rsid w:val="00356CEA"/>
    <w:rsid w:val="003F2124"/>
    <w:rsid w:val="00407DDB"/>
    <w:rsid w:val="004920C5"/>
    <w:rsid w:val="004D59FE"/>
    <w:rsid w:val="005D441F"/>
    <w:rsid w:val="00745C71"/>
    <w:rsid w:val="007E5017"/>
    <w:rsid w:val="00834DA8"/>
    <w:rsid w:val="00851F58"/>
    <w:rsid w:val="0085273F"/>
    <w:rsid w:val="008560E5"/>
    <w:rsid w:val="008C4F8C"/>
    <w:rsid w:val="008C729F"/>
    <w:rsid w:val="008E6025"/>
    <w:rsid w:val="00934805"/>
    <w:rsid w:val="009F4BD6"/>
    <w:rsid w:val="00C044A1"/>
    <w:rsid w:val="00C57F3F"/>
    <w:rsid w:val="00C64E00"/>
    <w:rsid w:val="00DE62BA"/>
    <w:rsid w:val="00E138CD"/>
    <w:rsid w:val="00E655DA"/>
    <w:rsid w:val="00E726C2"/>
    <w:rsid w:val="00F508E6"/>
    <w:rsid w:val="01956809"/>
    <w:rsid w:val="0664587B"/>
    <w:rsid w:val="09FF39B4"/>
    <w:rsid w:val="0B821CB6"/>
    <w:rsid w:val="10157CA5"/>
    <w:rsid w:val="11411182"/>
    <w:rsid w:val="137F02ED"/>
    <w:rsid w:val="13FA6E94"/>
    <w:rsid w:val="19D73AB9"/>
    <w:rsid w:val="1D3216D7"/>
    <w:rsid w:val="219E41B4"/>
    <w:rsid w:val="255E033E"/>
    <w:rsid w:val="27272230"/>
    <w:rsid w:val="27390172"/>
    <w:rsid w:val="275E3AD0"/>
    <w:rsid w:val="2CCE2491"/>
    <w:rsid w:val="2F081AB6"/>
    <w:rsid w:val="30FB2902"/>
    <w:rsid w:val="401A2F36"/>
    <w:rsid w:val="408F5EDF"/>
    <w:rsid w:val="44064590"/>
    <w:rsid w:val="457D21A1"/>
    <w:rsid w:val="49D83A19"/>
    <w:rsid w:val="4A187DA8"/>
    <w:rsid w:val="4FCC39E6"/>
    <w:rsid w:val="507C1CF5"/>
    <w:rsid w:val="57193076"/>
    <w:rsid w:val="5EF27DB1"/>
    <w:rsid w:val="61773BFF"/>
    <w:rsid w:val="621B3808"/>
    <w:rsid w:val="62B86F75"/>
    <w:rsid w:val="67E4782B"/>
    <w:rsid w:val="6A5F0092"/>
    <w:rsid w:val="746766E2"/>
    <w:rsid w:val="74EA7B66"/>
    <w:rsid w:val="78186405"/>
    <w:rsid w:val="784C1E5B"/>
    <w:rsid w:val="7D417A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qFormat/>
    <w:uiPriority w:val="99"/>
    <w:pPr>
      <w:spacing w:beforeAutospacing="1" w:afterAutospacing="1"/>
      <w:jc w:val="left"/>
      <w:outlineLvl w:val="4"/>
    </w:pPr>
    <w:rPr>
      <w:rFonts w:ascii="宋体" w:hAnsi="宋体"/>
      <w:b/>
      <w:kern w:val="0"/>
      <w:sz w:val="20"/>
      <w:szCs w:val="20"/>
    </w:rPr>
  </w:style>
  <w:style w:type="character" w:default="1" w:styleId="8">
    <w:name w:val="Default Paragraph Font"/>
    <w:semiHidden/>
    <w:qFormat/>
    <w:uiPriority w:val="99"/>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12"/>
    <w:qFormat/>
    <w:uiPriority w:val="99"/>
    <w:pPr>
      <w:spacing w:line="500" w:lineRule="exact"/>
      <w:ind w:firstLine="640" w:firstLineChars="200"/>
    </w:pPr>
    <w:rPr>
      <w:rFonts w:ascii="宋体"/>
      <w:sz w:val="32"/>
    </w:rPr>
  </w:style>
  <w:style w:type="paragraph" w:styleId="4">
    <w:name w:val="Plain Text"/>
    <w:basedOn w:val="1"/>
    <w:link w:val="13"/>
    <w:qFormat/>
    <w:uiPriority w:val="99"/>
    <w:rPr>
      <w:rFonts w:ascii="宋体" w:hAnsi="Courier New" w:cs="Courier New"/>
      <w:szCs w:val="21"/>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9">
    <w:name w:val="Strong"/>
    <w:basedOn w:val="8"/>
    <w:qFormat/>
    <w:uiPriority w:val="99"/>
    <w:rPr>
      <w:rFonts w:cs="Times New Roman"/>
      <w:b/>
    </w:rPr>
  </w:style>
  <w:style w:type="character" w:customStyle="1" w:styleId="11">
    <w:name w:val="Heading 5 Char"/>
    <w:basedOn w:val="8"/>
    <w:link w:val="2"/>
    <w:semiHidden/>
    <w:qFormat/>
    <w:locked/>
    <w:uiPriority w:val="99"/>
    <w:rPr>
      <w:rFonts w:ascii="Calibri" w:hAnsi="Calibri" w:cs="Times New Roman"/>
      <w:b/>
      <w:bCs/>
      <w:sz w:val="28"/>
      <w:szCs w:val="28"/>
    </w:rPr>
  </w:style>
  <w:style w:type="character" w:customStyle="1" w:styleId="12">
    <w:name w:val="Body Text Indent Char"/>
    <w:basedOn w:val="8"/>
    <w:link w:val="3"/>
    <w:semiHidden/>
    <w:qFormat/>
    <w:locked/>
    <w:uiPriority w:val="99"/>
    <w:rPr>
      <w:rFonts w:ascii="Calibri" w:hAnsi="Calibri" w:cs="Times New Roman"/>
      <w:sz w:val="24"/>
      <w:szCs w:val="24"/>
    </w:rPr>
  </w:style>
  <w:style w:type="character" w:customStyle="1" w:styleId="13">
    <w:name w:val="Plain Text Char"/>
    <w:basedOn w:val="8"/>
    <w:link w:val="4"/>
    <w:semiHidden/>
    <w:qFormat/>
    <w:locked/>
    <w:uiPriority w:val="99"/>
    <w:rPr>
      <w:rFonts w:ascii="宋体" w:hAnsi="Courier New" w:cs="Courier New"/>
      <w:sz w:val="21"/>
      <w:szCs w:val="21"/>
    </w:rPr>
  </w:style>
  <w:style w:type="character" w:customStyle="1" w:styleId="14">
    <w:name w:val="Footer Char"/>
    <w:basedOn w:val="8"/>
    <w:link w:val="5"/>
    <w:semiHidden/>
    <w:qFormat/>
    <w:locked/>
    <w:uiPriority w:val="99"/>
    <w:rPr>
      <w:rFonts w:ascii="Calibri" w:hAnsi="Calibri" w:cs="Times New Roman"/>
      <w:sz w:val="18"/>
      <w:szCs w:val="18"/>
    </w:rPr>
  </w:style>
  <w:style w:type="character" w:customStyle="1" w:styleId="15">
    <w:name w:val="Header Char"/>
    <w:basedOn w:val="8"/>
    <w:link w:val="6"/>
    <w:semiHidden/>
    <w:qFormat/>
    <w:locked/>
    <w:uiPriority w:val="99"/>
    <w:rPr>
      <w:rFonts w:ascii="Calibri" w:hAnsi="Calibri" w:cs="Times New Roman"/>
      <w:sz w:val="18"/>
      <w:szCs w:val="18"/>
    </w:rPr>
  </w:style>
  <w:style w:type="paragraph" w:customStyle="1" w:styleId="16">
    <w:name w:val="正文缩进 + 首行缩进:  2 字符"/>
    <w:basedOn w:val="1"/>
    <w:qFormat/>
    <w:uiPriority w:val="99"/>
    <w:pPr>
      <w:spacing w:line="560" w:lineRule="exact"/>
      <w:ind w:firstLine="640"/>
    </w:pPr>
    <w:rPr>
      <w:rFonts w:ascii="仿宋" w:hAnsi="仿宋" w:cs="宋体"/>
      <w:sz w:val="32"/>
      <w:szCs w:val="32"/>
    </w:rPr>
  </w:style>
  <w:style w:type="character" w:customStyle="1" w:styleId="17">
    <w:name w:val="ca-2"/>
    <w:basedOn w:val="8"/>
    <w:qFormat/>
    <w:uiPriority w:val="99"/>
    <w:rPr>
      <w:rFonts w:cs="Times New Roman"/>
    </w:rPr>
  </w:style>
  <w:style w:type="paragraph" w:customStyle="1" w:styleId="18">
    <w:name w:val="Normal (Web)1"/>
    <w:basedOn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ca-3"/>
    <w:basedOn w:val="8"/>
    <w:qFormat/>
    <w:uiPriority w:val="99"/>
    <w:rPr>
      <w:rFonts w:cs="Times New Roman"/>
    </w:rPr>
  </w:style>
  <w:style w:type="character" w:customStyle="1" w:styleId="20">
    <w:name w:val="apple-converted-space"/>
    <w:basedOn w:val="8"/>
    <w:qFormat/>
    <w:uiPriority w:val="99"/>
    <w:rPr>
      <w:rFonts w:cs="Times New Roman"/>
    </w:rPr>
  </w:style>
  <w:style w:type="paragraph" w:customStyle="1" w:styleId="21">
    <w:name w:val="pa-1"/>
    <w:basedOn w:val="1"/>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18</Pages>
  <Words>1253</Words>
  <Characters>7146</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Administrator</cp:lastModifiedBy>
  <dcterms:modified xsi:type="dcterms:W3CDTF">2021-05-26T08:36:09Z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