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7" w:line="216" w:lineRule="auto"/>
        <w:jc w:val="center"/>
        <w:rPr>
          <w:rFonts w:hint="eastAsia" w:ascii="宋体" w:hAnsi="宋体" w:eastAsia="宋体" w:cs="宋体"/>
          <w:sz w:val="44"/>
          <w:szCs w:val="44"/>
          <w:lang w:val="en-US" w:eastAsia="zh-CN"/>
        </w:rPr>
      </w:pPr>
      <w:r>
        <w:rPr>
          <w:rFonts w:hint="eastAsia" w:ascii="宋体" w:hAnsi="宋体" w:eastAsia="宋体" w:cs="宋体"/>
          <w:b/>
          <w:bCs/>
          <w:spacing w:val="-4"/>
          <w:sz w:val="44"/>
          <w:szCs w:val="44"/>
          <w:lang w:eastAsia="zh-CN"/>
        </w:rPr>
        <w:t>黄石港区长江入河</w:t>
      </w:r>
      <w:bookmarkStart w:id="0" w:name="_GoBack"/>
      <w:bookmarkEnd w:id="0"/>
      <w:r>
        <w:rPr>
          <w:rFonts w:ascii="宋体" w:hAnsi="宋体" w:eastAsia="宋体" w:cs="宋体"/>
          <w:b/>
          <w:bCs/>
          <w:spacing w:val="-4"/>
          <w:sz w:val="44"/>
          <w:szCs w:val="44"/>
        </w:rPr>
        <w:t>排污口整治验收销号具体清单</w:t>
      </w:r>
      <w:r>
        <w:rPr>
          <w:rFonts w:hint="eastAsia" w:ascii="宋体" w:hAnsi="宋体" w:eastAsia="宋体" w:cs="宋体"/>
          <w:b/>
          <w:bCs/>
          <w:spacing w:val="-4"/>
          <w:sz w:val="44"/>
          <w:szCs w:val="44"/>
          <w:lang w:eastAsia="zh-CN"/>
        </w:rPr>
        <w:t>（第五</w:t>
      </w:r>
      <w:r>
        <w:rPr>
          <w:rFonts w:hint="eastAsia" w:ascii="宋体" w:hAnsi="宋体" w:eastAsia="宋体" w:cs="宋体"/>
          <w:b/>
          <w:bCs/>
          <w:spacing w:val="-4"/>
          <w:sz w:val="44"/>
          <w:szCs w:val="44"/>
          <w:lang w:val="en-US" w:eastAsia="zh-CN"/>
        </w:rPr>
        <w:t>批4个</w:t>
      </w:r>
      <w:r>
        <w:rPr>
          <w:rFonts w:hint="eastAsia" w:ascii="宋体" w:hAnsi="宋体" w:eastAsia="宋体" w:cs="宋体"/>
          <w:b/>
          <w:bCs/>
          <w:spacing w:val="-4"/>
          <w:sz w:val="44"/>
          <w:szCs w:val="44"/>
          <w:lang w:eastAsia="zh-CN"/>
        </w:rPr>
        <w:t>）</w:t>
      </w:r>
    </w:p>
    <w:tbl>
      <w:tblPr>
        <w:tblStyle w:val="6"/>
        <w:tblW w:w="13425" w:type="dxa"/>
        <w:tblInd w:w="8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7"/>
        <w:gridCol w:w="627"/>
        <w:gridCol w:w="502"/>
        <w:gridCol w:w="650"/>
        <w:gridCol w:w="629"/>
        <w:gridCol w:w="598"/>
        <w:gridCol w:w="673"/>
        <w:gridCol w:w="491"/>
        <w:gridCol w:w="1891"/>
        <w:gridCol w:w="518"/>
        <w:gridCol w:w="1455"/>
        <w:gridCol w:w="1327"/>
        <w:gridCol w:w="373"/>
        <w:gridCol w:w="4"/>
        <w:gridCol w:w="377"/>
        <w:gridCol w:w="528"/>
        <w:gridCol w:w="519"/>
        <w:gridCol w:w="809"/>
        <w:gridCol w:w="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507" w:type="dxa"/>
            <w:vMerge w:val="restart"/>
            <w:tcBorders>
              <w:bottom w:val="nil"/>
            </w:tcBorders>
            <w:textDirection w:val="tbRlV"/>
            <w:vAlign w:val="top"/>
          </w:tcPr>
          <w:p>
            <w:pPr>
              <w:spacing w:before="130" w:line="217" w:lineRule="auto"/>
              <w:ind w:left="1094"/>
              <w:jc w:val="center"/>
              <w:rPr>
                <w:rFonts w:ascii="宋体" w:hAnsi="宋体" w:eastAsia="宋体" w:cs="宋体"/>
                <w:sz w:val="20"/>
                <w:szCs w:val="20"/>
              </w:rPr>
            </w:pPr>
            <w:r>
              <w:rPr>
                <w:rFonts w:ascii="宋体" w:hAnsi="宋体" w:eastAsia="宋体" w:cs="宋体"/>
                <w:sz w:val="20"/>
                <w:szCs w:val="20"/>
              </w:rPr>
              <w:t>序号</w:t>
            </w:r>
          </w:p>
        </w:tc>
        <w:tc>
          <w:tcPr>
            <w:tcW w:w="2408" w:type="dxa"/>
            <w:gridSpan w:val="4"/>
            <w:vAlign w:val="top"/>
          </w:tcPr>
          <w:p>
            <w:pPr>
              <w:spacing w:before="221" w:line="219" w:lineRule="auto"/>
              <w:ind w:left="439"/>
              <w:jc w:val="center"/>
              <w:rPr>
                <w:rFonts w:ascii="宋体" w:hAnsi="宋体" w:eastAsia="宋体" w:cs="宋体"/>
                <w:sz w:val="20"/>
                <w:szCs w:val="20"/>
              </w:rPr>
            </w:pPr>
            <w:r>
              <w:rPr>
                <w:rFonts w:ascii="宋体" w:hAnsi="宋体" w:eastAsia="宋体" w:cs="宋体"/>
                <w:spacing w:val="2"/>
                <w:sz w:val="20"/>
                <w:szCs w:val="20"/>
              </w:rPr>
              <w:t>排口基本信息</w:t>
            </w:r>
          </w:p>
        </w:tc>
        <w:tc>
          <w:tcPr>
            <w:tcW w:w="1271" w:type="dxa"/>
            <w:gridSpan w:val="2"/>
            <w:vAlign w:val="top"/>
          </w:tcPr>
          <w:p>
            <w:pPr>
              <w:spacing w:before="223" w:line="219" w:lineRule="auto"/>
              <w:ind w:left="279"/>
              <w:jc w:val="center"/>
              <w:rPr>
                <w:rFonts w:ascii="宋体" w:hAnsi="宋体" w:eastAsia="宋体" w:cs="宋体"/>
                <w:sz w:val="20"/>
                <w:szCs w:val="20"/>
              </w:rPr>
            </w:pPr>
            <w:r>
              <w:rPr>
                <w:rFonts w:ascii="宋体" w:hAnsi="宋体" w:eastAsia="宋体" w:cs="宋体"/>
                <w:spacing w:val="3"/>
                <w:sz w:val="20"/>
                <w:szCs w:val="20"/>
              </w:rPr>
              <w:t>排口类型</w:t>
            </w:r>
          </w:p>
        </w:tc>
        <w:tc>
          <w:tcPr>
            <w:tcW w:w="491" w:type="dxa"/>
            <w:vMerge w:val="restart"/>
            <w:tcBorders>
              <w:bottom w:val="nil"/>
            </w:tcBorders>
            <w:textDirection w:val="tbRlV"/>
            <w:vAlign w:val="top"/>
          </w:tcPr>
          <w:p>
            <w:pPr>
              <w:spacing w:before="117" w:line="217" w:lineRule="auto"/>
              <w:ind w:left="893"/>
              <w:jc w:val="center"/>
              <w:rPr>
                <w:rFonts w:ascii="宋体" w:hAnsi="宋体" w:eastAsia="宋体" w:cs="宋体"/>
                <w:sz w:val="20"/>
                <w:szCs w:val="20"/>
              </w:rPr>
            </w:pPr>
            <w:r>
              <w:rPr>
                <w:rFonts w:ascii="宋体" w:hAnsi="宋体" w:eastAsia="宋体" w:cs="宋体"/>
                <w:spacing w:val="-2"/>
                <w:sz w:val="20"/>
                <w:szCs w:val="20"/>
              </w:rPr>
              <w:t>所属流域</w:t>
            </w:r>
          </w:p>
        </w:tc>
        <w:tc>
          <w:tcPr>
            <w:tcW w:w="1891" w:type="dxa"/>
            <w:vMerge w:val="restart"/>
            <w:tcBorders>
              <w:bottom w:val="nil"/>
            </w:tcBorders>
            <w:vAlign w:val="center"/>
          </w:tcPr>
          <w:p>
            <w:pPr>
              <w:spacing w:before="65" w:line="207" w:lineRule="auto"/>
              <w:ind w:right="86"/>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溯源发现主要问题</w:t>
            </w:r>
          </w:p>
        </w:tc>
        <w:tc>
          <w:tcPr>
            <w:tcW w:w="6857" w:type="dxa"/>
            <w:gridSpan w:val="10"/>
            <w:vAlign w:val="center"/>
          </w:tcPr>
          <w:p>
            <w:pPr>
              <w:spacing w:before="223" w:line="220" w:lineRule="auto"/>
              <w:jc w:val="center"/>
              <w:rPr>
                <w:rFonts w:ascii="宋体" w:hAnsi="宋体" w:eastAsia="宋体" w:cs="宋体"/>
                <w:sz w:val="20"/>
                <w:szCs w:val="20"/>
              </w:rPr>
            </w:pPr>
            <w:r>
              <w:rPr>
                <w:rFonts w:ascii="宋体" w:hAnsi="宋体" w:eastAsia="宋体" w:cs="宋体"/>
                <w:spacing w:val="-2"/>
                <w:sz w:val="20"/>
                <w:szCs w:val="20"/>
              </w:rPr>
              <w:t>整治方案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507" w:type="dxa"/>
            <w:vMerge w:val="continue"/>
            <w:tcBorders>
              <w:top w:val="nil"/>
              <w:bottom w:val="nil"/>
            </w:tcBorders>
            <w:textDirection w:val="tbRlV"/>
            <w:vAlign w:val="top"/>
          </w:tcPr>
          <w:p>
            <w:pPr>
              <w:jc w:val="center"/>
              <w:rPr>
                <w:rFonts w:ascii="Arial"/>
                <w:sz w:val="21"/>
              </w:rPr>
            </w:pPr>
          </w:p>
        </w:tc>
        <w:tc>
          <w:tcPr>
            <w:tcW w:w="627" w:type="dxa"/>
            <w:vMerge w:val="restart"/>
            <w:tcBorders>
              <w:bottom w:val="nil"/>
            </w:tcBorders>
            <w:textDirection w:val="tbRlV"/>
            <w:vAlign w:val="top"/>
          </w:tcPr>
          <w:p>
            <w:pPr>
              <w:spacing w:before="179" w:line="217" w:lineRule="auto"/>
              <w:ind w:left="564"/>
              <w:jc w:val="center"/>
              <w:rPr>
                <w:rFonts w:ascii="宋体" w:hAnsi="宋体" w:eastAsia="宋体" w:cs="宋体"/>
                <w:sz w:val="20"/>
                <w:szCs w:val="20"/>
              </w:rPr>
            </w:pPr>
            <w:r>
              <w:rPr>
                <w:rFonts w:ascii="宋体" w:hAnsi="宋体" w:eastAsia="宋体" w:cs="宋体"/>
                <w:spacing w:val="1"/>
                <w:sz w:val="20"/>
                <w:szCs w:val="20"/>
              </w:rPr>
              <w:t>正式命名</w:t>
            </w:r>
          </w:p>
        </w:tc>
        <w:tc>
          <w:tcPr>
            <w:tcW w:w="502" w:type="dxa"/>
            <w:vMerge w:val="restart"/>
            <w:tcBorders>
              <w:bottom w:val="nil"/>
            </w:tcBorders>
            <w:textDirection w:val="tbRlV"/>
            <w:vAlign w:val="top"/>
          </w:tcPr>
          <w:p>
            <w:pPr>
              <w:spacing w:before="120" w:line="216" w:lineRule="auto"/>
              <w:ind w:left="564"/>
              <w:jc w:val="center"/>
              <w:rPr>
                <w:rFonts w:ascii="宋体" w:hAnsi="宋体" w:eastAsia="宋体" w:cs="宋体"/>
                <w:sz w:val="20"/>
                <w:szCs w:val="20"/>
              </w:rPr>
            </w:pPr>
            <w:r>
              <w:rPr>
                <w:rFonts w:ascii="宋体" w:hAnsi="宋体" w:eastAsia="宋体" w:cs="宋体"/>
                <w:spacing w:val="1"/>
                <w:sz w:val="20"/>
                <w:szCs w:val="20"/>
              </w:rPr>
              <w:t>正式编码</w:t>
            </w:r>
          </w:p>
        </w:tc>
        <w:tc>
          <w:tcPr>
            <w:tcW w:w="650" w:type="dxa"/>
            <w:vMerge w:val="restart"/>
            <w:tcBorders>
              <w:bottom w:val="nil"/>
            </w:tcBorders>
            <w:textDirection w:val="tbRlV"/>
            <w:vAlign w:val="top"/>
          </w:tcPr>
          <w:p>
            <w:pPr>
              <w:spacing w:before="189" w:line="217" w:lineRule="auto"/>
              <w:ind w:left="777"/>
              <w:jc w:val="center"/>
              <w:rPr>
                <w:rFonts w:ascii="宋体" w:hAnsi="宋体" w:eastAsia="宋体" w:cs="宋体"/>
                <w:sz w:val="20"/>
                <w:szCs w:val="20"/>
              </w:rPr>
            </w:pPr>
            <w:r>
              <w:rPr>
                <w:rFonts w:ascii="宋体" w:hAnsi="宋体" w:eastAsia="宋体" w:cs="宋体"/>
                <w:sz w:val="20"/>
                <w:szCs w:val="20"/>
              </w:rPr>
              <w:t>经度</w:t>
            </w:r>
          </w:p>
        </w:tc>
        <w:tc>
          <w:tcPr>
            <w:tcW w:w="629" w:type="dxa"/>
            <w:vMerge w:val="restart"/>
            <w:tcBorders>
              <w:bottom w:val="nil"/>
            </w:tcBorders>
            <w:textDirection w:val="tbRlV"/>
            <w:vAlign w:val="top"/>
          </w:tcPr>
          <w:p>
            <w:pPr>
              <w:spacing w:before="179" w:line="217" w:lineRule="auto"/>
              <w:ind w:left="770"/>
              <w:jc w:val="center"/>
              <w:rPr>
                <w:rFonts w:ascii="宋体" w:hAnsi="宋体" w:eastAsia="宋体" w:cs="宋体"/>
                <w:sz w:val="20"/>
                <w:szCs w:val="20"/>
              </w:rPr>
            </w:pPr>
            <w:r>
              <w:rPr>
                <w:rFonts w:ascii="宋体" w:hAnsi="宋体" w:eastAsia="宋体" w:cs="宋体"/>
                <w:sz w:val="20"/>
                <w:szCs w:val="20"/>
              </w:rPr>
              <w:t>纬度</w:t>
            </w:r>
          </w:p>
        </w:tc>
        <w:tc>
          <w:tcPr>
            <w:tcW w:w="598" w:type="dxa"/>
            <w:vMerge w:val="restart"/>
            <w:tcBorders>
              <w:bottom w:val="nil"/>
            </w:tcBorders>
            <w:vAlign w:val="top"/>
          </w:tcPr>
          <w:p>
            <w:pPr>
              <w:spacing w:line="273" w:lineRule="auto"/>
              <w:jc w:val="center"/>
              <w:rPr>
                <w:rFonts w:ascii="Arial"/>
                <w:sz w:val="21"/>
              </w:rPr>
            </w:pPr>
          </w:p>
          <w:p>
            <w:pPr>
              <w:spacing w:line="273" w:lineRule="auto"/>
              <w:jc w:val="center"/>
              <w:rPr>
                <w:rFonts w:ascii="Arial"/>
                <w:sz w:val="21"/>
              </w:rPr>
            </w:pPr>
          </w:p>
          <w:p>
            <w:pPr>
              <w:spacing w:line="273" w:lineRule="auto"/>
              <w:jc w:val="center"/>
              <w:rPr>
                <w:rFonts w:ascii="Arial"/>
                <w:sz w:val="21"/>
              </w:rPr>
            </w:pPr>
          </w:p>
          <w:p>
            <w:pPr>
              <w:spacing w:before="65" w:line="219" w:lineRule="auto"/>
              <w:ind w:left="119"/>
              <w:jc w:val="center"/>
              <w:rPr>
                <w:rFonts w:ascii="宋体" w:hAnsi="宋体" w:eastAsia="宋体" w:cs="宋体"/>
                <w:sz w:val="20"/>
                <w:szCs w:val="20"/>
              </w:rPr>
            </w:pPr>
            <w:r>
              <w:rPr>
                <w:rFonts w:ascii="宋体" w:hAnsi="宋体" w:eastAsia="宋体" w:cs="宋体"/>
                <w:spacing w:val="-3"/>
                <w:sz w:val="20"/>
                <w:szCs w:val="20"/>
              </w:rPr>
              <w:t>大类</w:t>
            </w:r>
          </w:p>
        </w:tc>
        <w:tc>
          <w:tcPr>
            <w:tcW w:w="673" w:type="dxa"/>
            <w:vMerge w:val="restart"/>
            <w:tcBorders>
              <w:bottom w:val="nil"/>
            </w:tcBorders>
            <w:vAlign w:val="top"/>
          </w:tcPr>
          <w:p>
            <w:pPr>
              <w:spacing w:line="273" w:lineRule="auto"/>
              <w:jc w:val="center"/>
              <w:rPr>
                <w:rFonts w:ascii="Arial"/>
                <w:sz w:val="21"/>
              </w:rPr>
            </w:pPr>
          </w:p>
          <w:p>
            <w:pPr>
              <w:spacing w:line="273" w:lineRule="auto"/>
              <w:jc w:val="center"/>
              <w:rPr>
                <w:rFonts w:ascii="Arial"/>
                <w:sz w:val="21"/>
              </w:rPr>
            </w:pPr>
          </w:p>
          <w:p>
            <w:pPr>
              <w:spacing w:line="273" w:lineRule="auto"/>
              <w:jc w:val="center"/>
              <w:rPr>
                <w:rFonts w:ascii="Arial"/>
                <w:sz w:val="21"/>
              </w:rPr>
            </w:pPr>
          </w:p>
          <w:p>
            <w:pPr>
              <w:spacing w:before="65" w:line="219" w:lineRule="auto"/>
              <w:ind w:left="150"/>
              <w:jc w:val="center"/>
              <w:rPr>
                <w:rFonts w:ascii="宋体" w:hAnsi="宋体" w:eastAsia="宋体" w:cs="宋体"/>
                <w:sz w:val="20"/>
                <w:szCs w:val="20"/>
              </w:rPr>
            </w:pPr>
            <w:r>
              <w:rPr>
                <w:rFonts w:ascii="宋体" w:hAnsi="宋体" w:eastAsia="宋体" w:cs="宋体"/>
                <w:spacing w:val="4"/>
                <w:sz w:val="20"/>
                <w:szCs w:val="20"/>
              </w:rPr>
              <w:t>小类</w:t>
            </w:r>
          </w:p>
        </w:tc>
        <w:tc>
          <w:tcPr>
            <w:tcW w:w="491" w:type="dxa"/>
            <w:vMerge w:val="continue"/>
            <w:tcBorders>
              <w:top w:val="nil"/>
              <w:bottom w:val="nil"/>
            </w:tcBorders>
            <w:textDirection w:val="tbRlV"/>
            <w:vAlign w:val="top"/>
          </w:tcPr>
          <w:p>
            <w:pPr>
              <w:jc w:val="center"/>
              <w:rPr>
                <w:rFonts w:ascii="Arial"/>
                <w:sz w:val="21"/>
              </w:rPr>
            </w:pPr>
          </w:p>
        </w:tc>
        <w:tc>
          <w:tcPr>
            <w:tcW w:w="1891" w:type="dxa"/>
            <w:vMerge w:val="continue"/>
            <w:tcBorders>
              <w:top w:val="nil"/>
              <w:bottom w:val="nil"/>
            </w:tcBorders>
            <w:vAlign w:val="center"/>
          </w:tcPr>
          <w:p>
            <w:pPr>
              <w:jc w:val="center"/>
              <w:rPr>
                <w:rFonts w:ascii="Arial"/>
                <w:sz w:val="21"/>
              </w:rPr>
            </w:pPr>
          </w:p>
        </w:tc>
        <w:tc>
          <w:tcPr>
            <w:tcW w:w="518" w:type="dxa"/>
            <w:vMerge w:val="restart"/>
            <w:tcBorders>
              <w:bottom w:val="nil"/>
            </w:tcBorders>
            <w:textDirection w:val="tbRlV"/>
            <w:vAlign w:val="center"/>
          </w:tcPr>
          <w:p>
            <w:pPr>
              <w:spacing w:before="65" w:line="209" w:lineRule="auto"/>
              <w:ind w:left="113" w:right="129" w:right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整治类型</w:t>
            </w:r>
          </w:p>
        </w:tc>
        <w:tc>
          <w:tcPr>
            <w:tcW w:w="1455" w:type="dxa"/>
            <w:vMerge w:val="restart"/>
            <w:tcBorders>
              <w:bottom w:val="nil"/>
            </w:tcBorders>
            <w:vAlign w:val="center"/>
          </w:tcPr>
          <w:p>
            <w:pPr>
              <w:spacing w:before="65" w:line="219" w:lineRule="auto"/>
              <w:ind w:right="108"/>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整治目标</w:t>
            </w:r>
          </w:p>
        </w:tc>
        <w:tc>
          <w:tcPr>
            <w:tcW w:w="1327" w:type="dxa"/>
            <w:vMerge w:val="restart"/>
            <w:tcBorders>
              <w:bottom w:val="nil"/>
            </w:tcBorders>
            <w:vAlign w:val="center"/>
          </w:tcPr>
          <w:p>
            <w:pPr>
              <w:spacing w:before="65" w:line="208" w:lineRule="auto"/>
              <w:jc w:val="center"/>
              <w:rPr>
                <w:rFonts w:ascii="宋体" w:hAnsi="宋体" w:eastAsia="宋体" w:cs="宋体"/>
                <w:sz w:val="20"/>
                <w:szCs w:val="20"/>
              </w:rPr>
            </w:pPr>
            <w:r>
              <w:rPr>
                <w:rFonts w:ascii="宋体" w:hAnsi="宋体" w:eastAsia="宋体" w:cs="宋体"/>
                <w:spacing w:val="8"/>
                <w:sz w:val="20"/>
                <w:szCs w:val="20"/>
              </w:rPr>
              <w:t>整治</w:t>
            </w:r>
            <w:r>
              <w:rPr>
                <w:rFonts w:ascii="宋体" w:hAnsi="宋体" w:eastAsia="宋体" w:cs="宋体"/>
                <w:spacing w:val="-2"/>
                <w:sz w:val="20"/>
                <w:szCs w:val="20"/>
              </w:rPr>
              <w:t>措施</w:t>
            </w:r>
          </w:p>
        </w:tc>
        <w:tc>
          <w:tcPr>
            <w:tcW w:w="754" w:type="dxa"/>
            <w:gridSpan w:val="3"/>
            <w:vAlign w:val="top"/>
          </w:tcPr>
          <w:p>
            <w:pPr>
              <w:spacing w:before="229" w:line="219" w:lineRule="auto"/>
              <w:jc w:val="center"/>
              <w:rPr>
                <w:rFonts w:ascii="宋体" w:hAnsi="宋体" w:eastAsia="宋体" w:cs="宋体"/>
                <w:sz w:val="20"/>
                <w:szCs w:val="20"/>
              </w:rPr>
            </w:pPr>
            <w:r>
              <w:rPr>
                <w:rFonts w:ascii="宋体" w:hAnsi="宋体" w:eastAsia="宋体" w:cs="宋体"/>
                <w:spacing w:val="-2"/>
                <w:sz w:val="20"/>
                <w:szCs w:val="20"/>
              </w:rPr>
              <w:t>标识牌树立</w:t>
            </w:r>
          </w:p>
        </w:tc>
        <w:tc>
          <w:tcPr>
            <w:tcW w:w="528" w:type="dxa"/>
            <w:vMerge w:val="restart"/>
            <w:tcBorders>
              <w:bottom w:val="nil"/>
            </w:tcBorders>
            <w:vAlign w:val="top"/>
          </w:tcPr>
          <w:p>
            <w:pPr>
              <w:spacing w:line="349" w:lineRule="auto"/>
              <w:jc w:val="center"/>
              <w:rPr>
                <w:rFonts w:ascii="Arial"/>
                <w:sz w:val="21"/>
              </w:rPr>
            </w:pPr>
          </w:p>
          <w:p>
            <w:pPr>
              <w:spacing w:line="350" w:lineRule="auto"/>
              <w:jc w:val="center"/>
              <w:rPr>
                <w:rFonts w:ascii="Arial"/>
                <w:sz w:val="21"/>
              </w:rPr>
            </w:pPr>
          </w:p>
          <w:p>
            <w:pPr>
              <w:spacing w:before="65" w:line="213" w:lineRule="auto"/>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完成时限</w:t>
            </w:r>
          </w:p>
        </w:tc>
        <w:tc>
          <w:tcPr>
            <w:tcW w:w="519" w:type="dxa"/>
            <w:vMerge w:val="restart"/>
            <w:tcBorders>
              <w:bottom w:val="nil"/>
            </w:tcBorders>
            <w:vAlign w:val="top"/>
          </w:tcPr>
          <w:p>
            <w:pPr>
              <w:spacing w:line="295" w:lineRule="auto"/>
              <w:jc w:val="center"/>
              <w:rPr>
                <w:rFonts w:ascii="Arial"/>
                <w:sz w:val="21"/>
              </w:rPr>
            </w:pPr>
          </w:p>
          <w:p>
            <w:pPr>
              <w:spacing w:before="65" w:line="221" w:lineRule="auto"/>
              <w:jc w:val="center"/>
              <w:rPr>
                <w:rFonts w:ascii="宋体" w:hAnsi="宋体" w:eastAsia="宋体" w:cs="宋体"/>
                <w:sz w:val="20"/>
                <w:szCs w:val="20"/>
              </w:rPr>
            </w:pPr>
            <w:r>
              <w:rPr>
                <w:rFonts w:ascii="宋体" w:hAnsi="宋体" w:eastAsia="宋体" w:cs="宋体"/>
                <w:spacing w:val="7"/>
                <w:sz w:val="20"/>
                <w:szCs w:val="20"/>
              </w:rPr>
              <w:t>是</w:t>
            </w:r>
            <w:r>
              <w:rPr>
                <w:rFonts w:hint="eastAsia" w:ascii="宋体" w:hAnsi="宋体" w:eastAsia="宋体" w:cs="宋体"/>
                <w:spacing w:val="7"/>
                <w:sz w:val="20"/>
                <w:szCs w:val="20"/>
                <w:lang w:eastAsia="zh-CN"/>
              </w:rPr>
              <w:t>否</w:t>
            </w:r>
            <w:r>
              <w:rPr>
                <w:rFonts w:ascii="宋体" w:hAnsi="宋体" w:eastAsia="宋体" w:cs="宋体"/>
                <w:spacing w:val="-3"/>
                <w:sz w:val="20"/>
                <w:szCs w:val="20"/>
              </w:rPr>
              <w:t>完成</w:t>
            </w:r>
            <w:r>
              <w:rPr>
                <w:rFonts w:ascii="宋体" w:hAnsi="宋体" w:eastAsia="宋体" w:cs="宋体"/>
                <w:spacing w:val="8"/>
                <w:sz w:val="20"/>
                <w:szCs w:val="20"/>
              </w:rPr>
              <w:t>整治</w:t>
            </w:r>
          </w:p>
        </w:tc>
        <w:tc>
          <w:tcPr>
            <w:tcW w:w="809" w:type="dxa"/>
            <w:vMerge w:val="restart"/>
            <w:tcBorders>
              <w:bottom w:val="nil"/>
            </w:tcBorders>
            <w:vAlign w:val="top"/>
          </w:tcPr>
          <w:p>
            <w:pPr>
              <w:spacing w:line="349" w:lineRule="auto"/>
              <w:jc w:val="center"/>
              <w:rPr>
                <w:rFonts w:ascii="Arial"/>
                <w:sz w:val="21"/>
              </w:rPr>
            </w:pPr>
          </w:p>
          <w:p>
            <w:pPr>
              <w:spacing w:line="350" w:lineRule="auto"/>
              <w:jc w:val="center"/>
              <w:rPr>
                <w:rFonts w:ascii="Arial"/>
                <w:sz w:val="21"/>
              </w:rPr>
            </w:pPr>
          </w:p>
          <w:p>
            <w:pPr>
              <w:spacing w:before="65" w:line="214" w:lineRule="auto"/>
              <w:ind w:left="148"/>
              <w:jc w:val="center"/>
              <w:rPr>
                <w:rFonts w:ascii="宋体" w:hAnsi="宋体" w:eastAsia="宋体" w:cs="宋体"/>
                <w:sz w:val="20"/>
                <w:szCs w:val="20"/>
              </w:rPr>
            </w:pPr>
            <w:r>
              <w:rPr>
                <w:rFonts w:ascii="宋体" w:hAnsi="宋体" w:eastAsia="宋体" w:cs="宋体"/>
                <w:spacing w:val="4"/>
                <w:sz w:val="20"/>
                <w:szCs w:val="20"/>
              </w:rPr>
              <w:t>责任</w:t>
            </w:r>
          </w:p>
          <w:p>
            <w:pPr>
              <w:spacing w:line="220" w:lineRule="auto"/>
              <w:ind w:left="148"/>
              <w:jc w:val="center"/>
              <w:rPr>
                <w:rFonts w:ascii="宋体" w:hAnsi="宋体" w:eastAsia="宋体" w:cs="宋体"/>
                <w:sz w:val="20"/>
                <w:szCs w:val="20"/>
              </w:rPr>
            </w:pPr>
            <w:r>
              <w:rPr>
                <w:rFonts w:ascii="宋体" w:hAnsi="宋体" w:eastAsia="宋体" w:cs="宋体"/>
                <w:spacing w:val="-3"/>
                <w:sz w:val="20"/>
                <w:szCs w:val="20"/>
              </w:rPr>
              <w:t>主体</w:t>
            </w:r>
          </w:p>
        </w:tc>
        <w:tc>
          <w:tcPr>
            <w:tcW w:w="947" w:type="dxa"/>
            <w:vMerge w:val="restart"/>
            <w:tcBorders>
              <w:bottom w:val="nil"/>
            </w:tcBorders>
            <w:vAlign w:val="top"/>
          </w:tcPr>
          <w:p>
            <w:pPr>
              <w:spacing w:line="355" w:lineRule="auto"/>
              <w:jc w:val="center"/>
              <w:rPr>
                <w:rFonts w:ascii="Arial"/>
                <w:sz w:val="21"/>
              </w:rPr>
            </w:pPr>
          </w:p>
          <w:p>
            <w:pPr>
              <w:spacing w:line="355" w:lineRule="auto"/>
              <w:jc w:val="center"/>
              <w:rPr>
                <w:rFonts w:ascii="Arial"/>
                <w:sz w:val="21"/>
              </w:rPr>
            </w:pPr>
          </w:p>
          <w:p>
            <w:pPr>
              <w:spacing w:before="65" w:line="219" w:lineRule="auto"/>
              <w:ind w:left="308" w:right="99" w:hanging="200"/>
              <w:jc w:val="center"/>
              <w:rPr>
                <w:rFonts w:ascii="宋体" w:hAnsi="宋体" w:eastAsia="宋体" w:cs="宋体"/>
                <w:sz w:val="20"/>
                <w:szCs w:val="20"/>
              </w:rPr>
            </w:pPr>
            <w:r>
              <w:rPr>
                <w:rFonts w:ascii="宋体" w:hAnsi="宋体" w:eastAsia="宋体" w:cs="宋体"/>
                <w:spacing w:val="3"/>
                <w:sz w:val="20"/>
                <w:szCs w:val="20"/>
              </w:rPr>
              <w:t>主管部</w:t>
            </w:r>
            <w:r>
              <w:rPr>
                <w:rFonts w:ascii="宋体" w:hAnsi="宋体" w:eastAsia="宋体" w:cs="宋体"/>
                <w:spacing w:val="1"/>
                <w:sz w:val="20"/>
                <w:szCs w:val="20"/>
              </w:rPr>
              <w:t xml:space="preserve"> </w:t>
            </w:r>
            <w:r>
              <w:rPr>
                <w:rFonts w:ascii="宋体" w:hAnsi="宋体" w:eastAsia="宋体" w:cs="宋体"/>
                <w:sz w:val="20"/>
                <w:szCs w:val="20"/>
              </w:rPr>
              <w:t>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2" w:hRule="atLeast"/>
        </w:trPr>
        <w:tc>
          <w:tcPr>
            <w:tcW w:w="507" w:type="dxa"/>
            <w:vMerge w:val="continue"/>
            <w:tcBorders>
              <w:top w:val="nil"/>
            </w:tcBorders>
            <w:textDirection w:val="tbRlV"/>
            <w:vAlign w:val="top"/>
          </w:tcPr>
          <w:p>
            <w:pPr>
              <w:jc w:val="center"/>
              <w:rPr>
                <w:rFonts w:ascii="Arial"/>
                <w:sz w:val="21"/>
              </w:rPr>
            </w:pPr>
          </w:p>
        </w:tc>
        <w:tc>
          <w:tcPr>
            <w:tcW w:w="627" w:type="dxa"/>
            <w:vMerge w:val="continue"/>
            <w:tcBorders>
              <w:top w:val="nil"/>
            </w:tcBorders>
            <w:textDirection w:val="tbRlV"/>
            <w:vAlign w:val="top"/>
          </w:tcPr>
          <w:p>
            <w:pPr>
              <w:jc w:val="center"/>
              <w:rPr>
                <w:rFonts w:ascii="Arial"/>
                <w:sz w:val="21"/>
              </w:rPr>
            </w:pPr>
          </w:p>
        </w:tc>
        <w:tc>
          <w:tcPr>
            <w:tcW w:w="502" w:type="dxa"/>
            <w:vMerge w:val="continue"/>
            <w:tcBorders>
              <w:top w:val="nil"/>
            </w:tcBorders>
            <w:textDirection w:val="tbRlV"/>
            <w:vAlign w:val="top"/>
          </w:tcPr>
          <w:p>
            <w:pPr>
              <w:jc w:val="center"/>
              <w:rPr>
                <w:rFonts w:ascii="Arial"/>
                <w:sz w:val="21"/>
              </w:rPr>
            </w:pPr>
          </w:p>
        </w:tc>
        <w:tc>
          <w:tcPr>
            <w:tcW w:w="650" w:type="dxa"/>
            <w:vMerge w:val="continue"/>
            <w:tcBorders>
              <w:top w:val="nil"/>
            </w:tcBorders>
            <w:textDirection w:val="tbRlV"/>
            <w:vAlign w:val="top"/>
          </w:tcPr>
          <w:p>
            <w:pPr>
              <w:jc w:val="center"/>
              <w:rPr>
                <w:rFonts w:ascii="Arial"/>
                <w:sz w:val="21"/>
              </w:rPr>
            </w:pPr>
          </w:p>
        </w:tc>
        <w:tc>
          <w:tcPr>
            <w:tcW w:w="629" w:type="dxa"/>
            <w:vMerge w:val="continue"/>
            <w:tcBorders>
              <w:top w:val="nil"/>
            </w:tcBorders>
            <w:textDirection w:val="tbRlV"/>
            <w:vAlign w:val="top"/>
          </w:tcPr>
          <w:p>
            <w:pPr>
              <w:jc w:val="center"/>
              <w:rPr>
                <w:rFonts w:ascii="Arial"/>
                <w:sz w:val="21"/>
              </w:rPr>
            </w:pPr>
          </w:p>
        </w:tc>
        <w:tc>
          <w:tcPr>
            <w:tcW w:w="598" w:type="dxa"/>
            <w:vMerge w:val="continue"/>
            <w:tcBorders>
              <w:top w:val="nil"/>
            </w:tcBorders>
            <w:vAlign w:val="top"/>
          </w:tcPr>
          <w:p>
            <w:pPr>
              <w:jc w:val="center"/>
              <w:rPr>
                <w:rFonts w:ascii="Arial"/>
                <w:sz w:val="21"/>
              </w:rPr>
            </w:pPr>
          </w:p>
        </w:tc>
        <w:tc>
          <w:tcPr>
            <w:tcW w:w="673" w:type="dxa"/>
            <w:vMerge w:val="continue"/>
            <w:tcBorders>
              <w:top w:val="nil"/>
            </w:tcBorders>
            <w:vAlign w:val="top"/>
          </w:tcPr>
          <w:p>
            <w:pPr>
              <w:jc w:val="center"/>
              <w:rPr>
                <w:rFonts w:ascii="Arial"/>
                <w:sz w:val="21"/>
              </w:rPr>
            </w:pPr>
          </w:p>
        </w:tc>
        <w:tc>
          <w:tcPr>
            <w:tcW w:w="491" w:type="dxa"/>
            <w:vMerge w:val="continue"/>
            <w:tcBorders>
              <w:top w:val="nil"/>
            </w:tcBorders>
            <w:textDirection w:val="tbRlV"/>
            <w:vAlign w:val="top"/>
          </w:tcPr>
          <w:p>
            <w:pPr>
              <w:jc w:val="center"/>
              <w:rPr>
                <w:rFonts w:ascii="Arial"/>
                <w:sz w:val="21"/>
              </w:rPr>
            </w:pPr>
          </w:p>
        </w:tc>
        <w:tc>
          <w:tcPr>
            <w:tcW w:w="1891" w:type="dxa"/>
            <w:vMerge w:val="continue"/>
            <w:tcBorders>
              <w:top w:val="nil"/>
            </w:tcBorders>
            <w:vAlign w:val="top"/>
          </w:tcPr>
          <w:p>
            <w:pPr>
              <w:jc w:val="center"/>
              <w:rPr>
                <w:rFonts w:ascii="Arial"/>
                <w:sz w:val="21"/>
              </w:rPr>
            </w:pPr>
          </w:p>
        </w:tc>
        <w:tc>
          <w:tcPr>
            <w:tcW w:w="518" w:type="dxa"/>
            <w:vMerge w:val="continue"/>
            <w:tcBorders>
              <w:top w:val="nil"/>
            </w:tcBorders>
            <w:vAlign w:val="top"/>
          </w:tcPr>
          <w:p>
            <w:pPr>
              <w:jc w:val="center"/>
              <w:rPr>
                <w:rFonts w:ascii="Arial"/>
                <w:sz w:val="21"/>
              </w:rPr>
            </w:pPr>
          </w:p>
        </w:tc>
        <w:tc>
          <w:tcPr>
            <w:tcW w:w="1455" w:type="dxa"/>
            <w:vMerge w:val="continue"/>
            <w:tcBorders>
              <w:top w:val="nil"/>
            </w:tcBorders>
            <w:vAlign w:val="top"/>
          </w:tcPr>
          <w:p>
            <w:pPr>
              <w:jc w:val="center"/>
              <w:rPr>
                <w:rFonts w:ascii="Arial"/>
                <w:sz w:val="21"/>
              </w:rPr>
            </w:pPr>
          </w:p>
        </w:tc>
        <w:tc>
          <w:tcPr>
            <w:tcW w:w="1327" w:type="dxa"/>
            <w:vMerge w:val="continue"/>
            <w:tcBorders>
              <w:top w:val="nil"/>
            </w:tcBorders>
            <w:vAlign w:val="top"/>
          </w:tcPr>
          <w:p>
            <w:pPr>
              <w:jc w:val="center"/>
              <w:rPr>
                <w:rFonts w:ascii="Arial"/>
                <w:sz w:val="21"/>
              </w:rPr>
            </w:pPr>
          </w:p>
        </w:tc>
        <w:tc>
          <w:tcPr>
            <w:tcW w:w="377" w:type="dxa"/>
            <w:gridSpan w:val="2"/>
            <w:textDirection w:val="tbRlV"/>
            <w:vAlign w:val="top"/>
          </w:tcPr>
          <w:p>
            <w:pPr>
              <w:spacing w:before="65" w:line="240" w:lineRule="auto"/>
              <w:ind w:left="0" w:leftChars="0" w:right="110" w:righ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是否需要</w:t>
            </w:r>
          </w:p>
        </w:tc>
        <w:tc>
          <w:tcPr>
            <w:tcW w:w="377" w:type="dxa"/>
            <w:textDirection w:val="tbRlV"/>
            <w:vAlign w:val="top"/>
          </w:tcPr>
          <w:p>
            <w:pPr>
              <w:spacing w:before="65" w:line="240" w:lineRule="auto"/>
              <w:ind w:left="0" w:leftChars="0" w:right="110" w:rightChars="0" w:firstLine="0" w:firstLineChars="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是否树立</w:t>
            </w:r>
          </w:p>
        </w:tc>
        <w:tc>
          <w:tcPr>
            <w:tcW w:w="528" w:type="dxa"/>
            <w:vMerge w:val="continue"/>
            <w:tcBorders>
              <w:top w:val="nil"/>
            </w:tcBorders>
            <w:vAlign w:val="top"/>
          </w:tcPr>
          <w:p>
            <w:pPr>
              <w:jc w:val="center"/>
              <w:rPr>
                <w:rFonts w:ascii="Arial"/>
                <w:sz w:val="21"/>
              </w:rPr>
            </w:pPr>
          </w:p>
        </w:tc>
        <w:tc>
          <w:tcPr>
            <w:tcW w:w="519" w:type="dxa"/>
            <w:vMerge w:val="continue"/>
            <w:tcBorders>
              <w:top w:val="nil"/>
            </w:tcBorders>
            <w:vAlign w:val="top"/>
          </w:tcPr>
          <w:p>
            <w:pPr>
              <w:jc w:val="center"/>
              <w:rPr>
                <w:rFonts w:ascii="Arial"/>
                <w:sz w:val="21"/>
              </w:rPr>
            </w:pPr>
          </w:p>
        </w:tc>
        <w:tc>
          <w:tcPr>
            <w:tcW w:w="809" w:type="dxa"/>
            <w:vMerge w:val="continue"/>
            <w:tcBorders>
              <w:top w:val="nil"/>
            </w:tcBorders>
            <w:vAlign w:val="top"/>
          </w:tcPr>
          <w:p>
            <w:pPr>
              <w:jc w:val="center"/>
              <w:rPr>
                <w:rFonts w:ascii="Arial"/>
                <w:sz w:val="21"/>
              </w:rPr>
            </w:pPr>
          </w:p>
        </w:tc>
        <w:tc>
          <w:tcPr>
            <w:tcW w:w="947" w:type="dxa"/>
            <w:vMerge w:val="continue"/>
            <w:tcBorders>
              <w:top w:val="nil"/>
            </w:tcBorders>
            <w:vAlign w:val="top"/>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8" w:hRule="atLeast"/>
        </w:trPr>
        <w:tc>
          <w:tcPr>
            <w:tcW w:w="507" w:type="dxa"/>
            <w:vAlign w:val="center"/>
          </w:tcPr>
          <w:p>
            <w:pPr>
              <w:spacing w:before="65" w:line="183" w:lineRule="auto"/>
              <w:ind w:left="104"/>
              <w:jc w:val="center"/>
              <w:rPr>
                <w:rFonts w:hint="eastAsia"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1</w:t>
            </w:r>
          </w:p>
        </w:tc>
        <w:tc>
          <w:tcPr>
            <w:tcW w:w="62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黄石市黄石港区大码头社区生产队沟渠排污口</w:t>
            </w:r>
          </w:p>
        </w:tc>
        <w:tc>
          <w:tcPr>
            <w:tcW w:w="502"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FA-420202-0033-GQ-00</w:t>
            </w:r>
          </w:p>
        </w:tc>
        <w:tc>
          <w:tcPr>
            <w:tcW w:w="650"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115.0527005</w:t>
            </w:r>
          </w:p>
        </w:tc>
        <w:tc>
          <w:tcPr>
            <w:tcW w:w="62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30.25751145</w:t>
            </w:r>
          </w:p>
        </w:tc>
        <w:tc>
          <w:tcPr>
            <w:tcW w:w="59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沟渠、河港（涌）、排干等</w:t>
            </w:r>
          </w:p>
        </w:tc>
        <w:tc>
          <w:tcPr>
            <w:tcW w:w="673"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沟渠、河港（涌）、排干等</w:t>
            </w:r>
          </w:p>
        </w:tc>
        <w:tc>
          <w:tcPr>
            <w:tcW w:w="491" w:type="dxa"/>
            <w:vAlign w:val="center"/>
          </w:tcPr>
          <w:p>
            <w:pPr>
              <w:keepNext w:val="0"/>
              <w:keepLines w:val="0"/>
              <w:widowControl/>
              <w:suppressLineNumbers w:val="0"/>
              <w:jc w:val="center"/>
              <w:textAlignment w:val="center"/>
              <w:rPr>
                <w:rFonts w:hint="eastAsia" w:ascii="仿宋" w:hAnsi="仿宋" w:eastAsia="仿宋" w:cstheme="minorEastAsia"/>
                <w:b w:val="0"/>
                <w:bCs/>
                <w:sz w:val="15"/>
                <w:szCs w:val="15"/>
                <w:u w:val="none"/>
                <w:lang w:val="en-US" w:eastAsia="zh-CN"/>
              </w:rPr>
            </w:pPr>
            <w:r>
              <w:rPr>
                <w:rFonts w:hint="eastAsia" w:ascii="仿宋" w:hAnsi="仿宋" w:eastAsia="仿宋" w:cstheme="minorEastAsia"/>
                <w:b w:val="0"/>
                <w:bCs/>
                <w:sz w:val="15"/>
                <w:szCs w:val="15"/>
                <w:u w:val="none"/>
                <w:lang w:val="en-US" w:eastAsia="zh-CN"/>
              </w:rPr>
              <w:t>长江</w:t>
            </w:r>
          </w:p>
        </w:tc>
        <w:tc>
          <w:tcPr>
            <w:tcW w:w="189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该排口位于黄石港区花湖街道大码头社区新闸港南侧，此排口为早年生产队使用，用于周边池塘灌溉排水，周围有居民居住，现已废弃几十年。</w:t>
            </w:r>
          </w:p>
        </w:tc>
        <w:tc>
          <w:tcPr>
            <w:tcW w:w="51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已拆除</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取缔已废弃的灌溉排洪沟</w:t>
            </w:r>
          </w:p>
        </w:tc>
        <w:tc>
          <w:tcPr>
            <w:tcW w:w="132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此排口为早年生产队使用，现已废弃几十年，建议拆除，目前已拆除</w:t>
            </w:r>
          </w:p>
        </w:tc>
        <w:tc>
          <w:tcPr>
            <w:tcW w:w="373"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否</w:t>
            </w:r>
          </w:p>
        </w:tc>
        <w:tc>
          <w:tcPr>
            <w:tcW w:w="381"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否</w:t>
            </w:r>
          </w:p>
        </w:tc>
        <w:tc>
          <w:tcPr>
            <w:tcW w:w="52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2023</w:t>
            </w:r>
            <w:r>
              <w:rPr>
                <w:rFonts w:hint="eastAsia" w:ascii="仿宋_GB2312" w:hAnsi="仿宋_GB2312" w:eastAsia="仿宋_GB2312" w:cs="仿宋_GB2312"/>
                <w:i w:val="0"/>
                <w:iCs w:val="0"/>
                <w:snapToGrid w:val="0"/>
                <w:color w:val="000000"/>
                <w:kern w:val="0"/>
                <w:sz w:val="15"/>
                <w:szCs w:val="15"/>
                <w:u w:val="none"/>
                <w:lang w:val="en-US" w:eastAsia="zh-CN" w:bidi="ar"/>
              </w:rPr>
              <w:t>年</w:t>
            </w:r>
          </w:p>
        </w:tc>
        <w:tc>
          <w:tcPr>
            <w:tcW w:w="51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是</w:t>
            </w:r>
          </w:p>
        </w:tc>
        <w:tc>
          <w:tcPr>
            <w:tcW w:w="80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黄石港区花湖街道办事处</w:t>
            </w:r>
          </w:p>
        </w:tc>
        <w:tc>
          <w:tcPr>
            <w:tcW w:w="94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黄石港区城市管理执法局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8" w:hRule="atLeast"/>
        </w:trPr>
        <w:tc>
          <w:tcPr>
            <w:tcW w:w="507" w:type="dxa"/>
            <w:vAlign w:val="center"/>
          </w:tcPr>
          <w:p>
            <w:pPr>
              <w:spacing w:before="65" w:line="183" w:lineRule="auto"/>
              <w:ind w:left="104"/>
              <w:jc w:val="center"/>
              <w:rPr>
                <w:rFonts w:hint="default" w:ascii="仿宋_GB2312" w:hAnsi="仿宋_GB2312" w:eastAsia="仿宋_GB2312" w:cs="仿宋_GB2312"/>
                <w:sz w:val="15"/>
                <w:szCs w:val="15"/>
                <w:lang w:val="en-US" w:eastAsia="zh-CN"/>
              </w:rPr>
            </w:pPr>
            <w:r>
              <w:rPr>
                <w:rFonts w:hint="eastAsia" w:ascii="仿宋_GB2312" w:hAnsi="仿宋_GB2312" w:eastAsia="仿宋_GB2312" w:cs="仿宋_GB2312"/>
                <w:sz w:val="15"/>
                <w:szCs w:val="15"/>
                <w:lang w:val="en-US" w:eastAsia="zh-CN"/>
              </w:rPr>
              <w:t>2</w:t>
            </w:r>
          </w:p>
        </w:tc>
        <w:tc>
          <w:tcPr>
            <w:tcW w:w="62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黄石市黄石港区大码头社区2号生活污水排污口</w:t>
            </w:r>
          </w:p>
        </w:tc>
        <w:tc>
          <w:tcPr>
            <w:tcW w:w="502"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FA-420202-0059-SH-00</w:t>
            </w:r>
          </w:p>
        </w:tc>
        <w:tc>
          <w:tcPr>
            <w:tcW w:w="650"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115.0580433</w:t>
            </w:r>
          </w:p>
        </w:tc>
        <w:tc>
          <w:tcPr>
            <w:tcW w:w="629"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30.25499131</w:t>
            </w:r>
          </w:p>
        </w:tc>
        <w:tc>
          <w:tcPr>
            <w:tcW w:w="598"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城镇生活污水排污口</w:t>
            </w:r>
          </w:p>
        </w:tc>
        <w:tc>
          <w:tcPr>
            <w:tcW w:w="673"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生活污水排污口</w:t>
            </w:r>
          </w:p>
        </w:tc>
        <w:tc>
          <w:tcPr>
            <w:tcW w:w="49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长江</w:t>
            </w:r>
          </w:p>
        </w:tc>
        <w:tc>
          <w:tcPr>
            <w:tcW w:w="1891"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该排口位于黄石港区花湖街道大码头社区新闸港南侧，目前新闸港南侧有长缓的滩坡，纳管难度大，目前仅59号周边7-10户纳入花湖污水处理厂，现场溯源可观察到化粪池及管网通入黄石大道花湖污水处理厂主管网中</w:t>
            </w:r>
          </w:p>
        </w:tc>
        <w:tc>
          <w:tcPr>
            <w:tcW w:w="51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清理合并</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禁止直接将生活污水直排入港，应统一接入污水管网处理生活污水。</w:t>
            </w:r>
          </w:p>
        </w:tc>
        <w:tc>
          <w:tcPr>
            <w:tcW w:w="132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该排口之前为大码头社区居民区生活污水排口，已新建污水管道接入市政管网</w:t>
            </w:r>
          </w:p>
        </w:tc>
        <w:tc>
          <w:tcPr>
            <w:tcW w:w="373"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否</w:t>
            </w:r>
          </w:p>
        </w:tc>
        <w:tc>
          <w:tcPr>
            <w:tcW w:w="381"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否</w:t>
            </w:r>
          </w:p>
        </w:tc>
        <w:tc>
          <w:tcPr>
            <w:tcW w:w="528"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2023</w:t>
            </w:r>
            <w:r>
              <w:rPr>
                <w:rFonts w:hint="eastAsia" w:ascii="仿宋_GB2312" w:hAnsi="仿宋_GB2312" w:eastAsia="仿宋_GB2312" w:cs="仿宋_GB2312"/>
                <w:i w:val="0"/>
                <w:iCs w:val="0"/>
                <w:snapToGrid w:val="0"/>
                <w:color w:val="000000"/>
                <w:kern w:val="0"/>
                <w:sz w:val="15"/>
                <w:szCs w:val="15"/>
                <w:u w:val="none"/>
                <w:lang w:val="en-US" w:eastAsia="zh-CN" w:bidi="ar"/>
              </w:rPr>
              <w:t>年</w:t>
            </w:r>
          </w:p>
        </w:tc>
        <w:tc>
          <w:tcPr>
            <w:tcW w:w="51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是</w:t>
            </w:r>
          </w:p>
        </w:tc>
        <w:tc>
          <w:tcPr>
            <w:tcW w:w="80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黄石港区花湖街道办事处</w:t>
            </w:r>
          </w:p>
        </w:tc>
        <w:tc>
          <w:tcPr>
            <w:tcW w:w="94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黄石港区城市管理执法局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3</w:t>
            </w:r>
          </w:p>
        </w:tc>
        <w:tc>
          <w:tcPr>
            <w:tcW w:w="62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黄石市黄石港区大码头社区4号生活污水排口</w:t>
            </w:r>
          </w:p>
        </w:tc>
        <w:tc>
          <w:tcPr>
            <w:tcW w:w="502"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FA-420202-0090-SH-00</w:t>
            </w:r>
          </w:p>
        </w:tc>
        <w:tc>
          <w:tcPr>
            <w:tcW w:w="650"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 xml:space="preserve">115.055017 </w:t>
            </w:r>
          </w:p>
        </w:tc>
        <w:tc>
          <w:tcPr>
            <w:tcW w:w="629"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30.255899</w:t>
            </w:r>
          </w:p>
        </w:tc>
        <w:tc>
          <w:tcPr>
            <w:tcW w:w="59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城镇生活污水排污口</w:t>
            </w:r>
          </w:p>
        </w:tc>
        <w:tc>
          <w:tcPr>
            <w:tcW w:w="673"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生活污水排污口</w:t>
            </w:r>
          </w:p>
        </w:tc>
        <w:tc>
          <w:tcPr>
            <w:tcW w:w="49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长江</w:t>
            </w:r>
          </w:p>
        </w:tc>
        <w:tc>
          <w:tcPr>
            <w:tcW w:w="189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该排口位于黄石港区花湖街道大码头社区新闸港南侧，该排口位于居民区，属于居民自主建造，因附近居民排污管道已经统一整改纳入100号排口排入新闸港最终汇入花湖污水处理厂。</w:t>
            </w:r>
          </w:p>
        </w:tc>
        <w:tc>
          <w:tcPr>
            <w:tcW w:w="51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清理合并</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确保无大码头村居民生活污水不直排进入饮马池，统一纳入城镇管网系统。</w:t>
            </w:r>
          </w:p>
        </w:tc>
        <w:tc>
          <w:tcPr>
            <w:tcW w:w="132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此排口已废弃，当前居民已重新建立新排口，新排口连接到居民区外围新建的排水管道</w:t>
            </w:r>
          </w:p>
        </w:tc>
        <w:tc>
          <w:tcPr>
            <w:tcW w:w="373"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否</w:t>
            </w:r>
          </w:p>
        </w:tc>
        <w:tc>
          <w:tcPr>
            <w:tcW w:w="381"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否</w:t>
            </w:r>
          </w:p>
        </w:tc>
        <w:tc>
          <w:tcPr>
            <w:tcW w:w="528"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2023</w:t>
            </w:r>
            <w:r>
              <w:rPr>
                <w:rFonts w:hint="eastAsia" w:ascii="仿宋_GB2312" w:hAnsi="仿宋_GB2312" w:eastAsia="仿宋_GB2312" w:cs="仿宋_GB2312"/>
                <w:i w:val="0"/>
                <w:iCs w:val="0"/>
                <w:snapToGrid w:val="0"/>
                <w:color w:val="000000"/>
                <w:kern w:val="0"/>
                <w:sz w:val="15"/>
                <w:szCs w:val="15"/>
                <w:u w:val="none"/>
                <w:lang w:val="en-US" w:eastAsia="zh-CN" w:bidi="ar"/>
              </w:rPr>
              <w:t>年</w:t>
            </w:r>
          </w:p>
        </w:tc>
        <w:tc>
          <w:tcPr>
            <w:tcW w:w="51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是</w:t>
            </w:r>
          </w:p>
        </w:tc>
        <w:tc>
          <w:tcPr>
            <w:tcW w:w="80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黄石港区花湖街道办事处</w:t>
            </w:r>
          </w:p>
        </w:tc>
        <w:tc>
          <w:tcPr>
            <w:tcW w:w="94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黄石港区城市管理执法局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8" w:hRule="atLeast"/>
        </w:trPr>
        <w:tc>
          <w:tcPr>
            <w:tcW w:w="507"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4</w:t>
            </w:r>
          </w:p>
        </w:tc>
        <w:tc>
          <w:tcPr>
            <w:tcW w:w="62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黄石市黄石港区九厢地河道18号东北方向生活污水排污口</w:t>
            </w:r>
          </w:p>
        </w:tc>
        <w:tc>
          <w:tcPr>
            <w:tcW w:w="502"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FA-420202-0100-SH-00</w:t>
            </w:r>
          </w:p>
        </w:tc>
        <w:tc>
          <w:tcPr>
            <w:tcW w:w="650"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115.055927</w:t>
            </w:r>
          </w:p>
        </w:tc>
        <w:tc>
          <w:tcPr>
            <w:tcW w:w="629"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30.256514</w:t>
            </w:r>
          </w:p>
        </w:tc>
        <w:tc>
          <w:tcPr>
            <w:tcW w:w="59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城镇生活污水排污口</w:t>
            </w:r>
          </w:p>
        </w:tc>
        <w:tc>
          <w:tcPr>
            <w:tcW w:w="673"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生活污水排污口</w:t>
            </w:r>
          </w:p>
        </w:tc>
        <w:tc>
          <w:tcPr>
            <w:tcW w:w="49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长江</w:t>
            </w:r>
          </w:p>
        </w:tc>
        <w:tc>
          <w:tcPr>
            <w:tcW w:w="1891"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该排口位于黄石港区花湖街道大码头社区新闸港南侧，目前大码头社区黄石大道左侧新闸港南岸均已完成污水管建设，但未接入花湖污水处理厂。</w:t>
            </w:r>
          </w:p>
        </w:tc>
        <w:tc>
          <w:tcPr>
            <w:tcW w:w="518"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清理合并</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应合理安排实施截污纳管进度，应采取有效措施收集处理污水，建设雨污分流管网，纳入花湖污水处理厂集中处理排放</w:t>
            </w:r>
          </w:p>
        </w:tc>
        <w:tc>
          <w:tcPr>
            <w:tcW w:w="132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目前大码头社区黄石大道左侧新闸港南岸均已完成污水管建设，但未接入花湖污水处理厂，位于80号排口北侧，通过黄石大道机械泵抽入花湖污水处理厂，纳入花湖污水处理厂统一处理后达标排放实施配套污水管网建设及改造，实现散排污水口有效截污纳管</w:t>
            </w:r>
          </w:p>
        </w:tc>
        <w:tc>
          <w:tcPr>
            <w:tcW w:w="373"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否</w:t>
            </w:r>
          </w:p>
        </w:tc>
        <w:tc>
          <w:tcPr>
            <w:tcW w:w="381"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否</w:t>
            </w:r>
          </w:p>
        </w:tc>
        <w:tc>
          <w:tcPr>
            <w:tcW w:w="528" w:type="dxa"/>
            <w:vAlign w:val="center"/>
          </w:tcPr>
          <w:p>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15"/>
                <w:szCs w:val="15"/>
                <w:u w:val="none"/>
                <w:lang w:val="en-US" w:eastAsia="zh-CN" w:bidi="ar"/>
              </w:rPr>
            </w:pPr>
            <w:r>
              <w:rPr>
                <w:rFonts w:hint="default" w:ascii="仿宋_GB2312" w:hAnsi="仿宋_GB2312" w:eastAsia="仿宋_GB2312" w:cs="仿宋_GB2312"/>
                <w:i w:val="0"/>
                <w:iCs w:val="0"/>
                <w:snapToGrid w:val="0"/>
                <w:color w:val="000000"/>
                <w:kern w:val="0"/>
                <w:sz w:val="15"/>
                <w:szCs w:val="15"/>
                <w:u w:val="none"/>
                <w:lang w:val="en-US" w:eastAsia="zh-CN" w:bidi="ar"/>
              </w:rPr>
              <w:t>2023</w:t>
            </w:r>
            <w:r>
              <w:rPr>
                <w:rFonts w:hint="eastAsia" w:ascii="仿宋_GB2312" w:hAnsi="仿宋_GB2312" w:eastAsia="仿宋_GB2312" w:cs="仿宋_GB2312"/>
                <w:i w:val="0"/>
                <w:iCs w:val="0"/>
                <w:snapToGrid w:val="0"/>
                <w:color w:val="000000"/>
                <w:kern w:val="0"/>
                <w:sz w:val="15"/>
                <w:szCs w:val="15"/>
                <w:u w:val="none"/>
                <w:lang w:val="en-US" w:eastAsia="zh-CN" w:bidi="ar"/>
              </w:rPr>
              <w:t>年</w:t>
            </w:r>
          </w:p>
        </w:tc>
        <w:tc>
          <w:tcPr>
            <w:tcW w:w="51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是</w:t>
            </w:r>
          </w:p>
        </w:tc>
        <w:tc>
          <w:tcPr>
            <w:tcW w:w="809"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黄石港区花湖街道办事处</w:t>
            </w:r>
          </w:p>
        </w:tc>
        <w:tc>
          <w:tcPr>
            <w:tcW w:w="947" w:type="dxa"/>
            <w:vAlign w:val="center"/>
          </w:tcPr>
          <w:p>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15"/>
                <w:szCs w:val="15"/>
                <w:u w:val="none"/>
                <w:lang w:val="en-US" w:eastAsia="zh-CN" w:bidi="ar"/>
              </w:rPr>
            </w:pPr>
            <w:r>
              <w:rPr>
                <w:rFonts w:hint="eastAsia" w:ascii="仿宋_GB2312" w:hAnsi="仿宋_GB2312" w:eastAsia="仿宋_GB2312" w:cs="仿宋_GB2312"/>
                <w:i w:val="0"/>
                <w:iCs w:val="0"/>
                <w:snapToGrid w:val="0"/>
                <w:color w:val="000000"/>
                <w:kern w:val="0"/>
                <w:sz w:val="15"/>
                <w:szCs w:val="15"/>
                <w:u w:val="none"/>
                <w:lang w:val="en-US" w:eastAsia="zh-CN" w:bidi="ar"/>
              </w:rPr>
              <w:t>黄石港区城市管理执法局</w:t>
            </w:r>
          </w:p>
        </w:tc>
      </w:tr>
    </w:tbl>
    <w:p/>
    <w:sectPr>
      <w:headerReference r:id="rId5" w:type="default"/>
      <w:footerReference r:id="rId6" w:type="default"/>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0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ODg1MzFkOWE5NTdiNDdhYzIxNjBlOTkyYjI3MDYifQ=="/>
  </w:docVars>
  <w:rsids>
    <w:rsidRoot w:val="00000000"/>
    <w:rsid w:val="00F555B1"/>
    <w:rsid w:val="012E5654"/>
    <w:rsid w:val="01C815A0"/>
    <w:rsid w:val="0288275A"/>
    <w:rsid w:val="08F530B2"/>
    <w:rsid w:val="0A3A3502"/>
    <w:rsid w:val="0C406F50"/>
    <w:rsid w:val="0D8D1235"/>
    <w:rsid w:val="173E3838"/>
    <w:rsid w:val="184C13BC"/>
    <w:rsid w:val="1E5A2908"/>
    <w:rsid w:val="280B55C5"/>
    <w:rsid w:val="2B1105A3"/>
    <w:rsid w:val="2DBF2092"/>
    <w:rsid w:val="2DE76212"/>
    <w:rsid w:val="315143A6"/>
    <w:rsid w:val="36762780"/>
    <w:rsid w:val="36AB3625"/>
    <w:rsid w:val="3A303D77"/>
    <w:rsid w:val="3A8E6371"/>
    <w:rsid w:val="3AB71A2E"/>
    <w:rsid w:val="40F75813"/>
    <w:rsid w:val="422837CD"/>
    <w:rsid w:val="445B0C46"/>
    <w:rsid w:val="4A743D37"/>
    <w:rsid w:val="502C08F0"/>
    <w:rsid w:val="52D73433"/>
    <w:rsid w:val="533E7687"/>
    <w:rsid w:val="53A61EEA"/>
    <w:rsid w:val="5BA31BBC"/>
    <w:rsid w:val="5CBF03BF"/>
    <w:rsid w:val="5DAB6747"/>
    <w:rsid w:val="5F0A186F"/>
    <w:rsid w:val="67EB1E7D"/>
    <w:rsid w:val="6A821A3F"/>
    <w:rsid w:val="6B80233E"/>
    <w:rsid w:val="6FFEB12E"/>
    <w:rsid w:val="724A6301"/>
    <w:rsid w:val="765D3FED"/>
    <w:rsid w:val="77D3DFC5"/>
    <w:rsid w:val="7BCF58BD"/>
    <w:rsid w:val="B67B7F38"/>
    <w:rsid w:val="CFDF6FA9"/>
    <w:rsid w:val="FEF70710"/>
    <w:rsid w:val="FFFBD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31"/>
    <w:basedOn w:val="5"/>
    <w:qFormat/>
    <w:uiPriority w:val="0"/>
    <w:rPr>
      <w:rFonts w:hint="eastAsia" w:ascii="宋体" w:hAnsi="宋体" w:eastAsia="宋体" w:cs="宋体"/>
      <w:color w:val="000000"/>
      <w:sz w:val="24"/>
      <w:szCs w:val="24"/>
      <w:u w:val="none"/>
    </w:rPr>
  </w:style>
  <w:style w:type="character" w:customStyle="1" w:styleId="8">
    <w:name w:val="font41"/>
    <w:basedOn w:val="5"/>
    <w:qFormat/>
    <w:uiPriority w:val="0"/>
    <w:rPr>
      <w:rFonts w:hint="default" w:ascii="Times New Roman" w:hAnsi="Times New Roman" w:cs="Times New Roman"/>
      <w:color w:val="000000"/>
      <w:sz w:val="24"/>
      <w:szCs w:val="24"/>
      <w:u w:val="none"/>
    </w:rPr>
  </w:style>
  <w:style w:type="character" w:customStyle="1" w:styleId="9">
    <w:name w:val="font51"/>
    <w:basedOn w:val="5"/>
    <w:qFormat/>
    <w:uiPriority w:val="0"/>
    <w:rPr>
      <w:rFonts w:hint="default" w:ascii="Times New Roman" w:hAnsi="Times New Roman" w:cs="Times New Roman"/>
      <w:color w:val="000000"/>
      <w:sz w:val="24"/>
      <w:szCs w:val="24"/>
      <w:u w:val="none"/>
    </w:rPr>
  </w:style>
  <w:style w:type="character" w:customStyle="1" w:styleId="10">
    <w:name w:val="font11"/>
    <w:basedOn w:val="5"/>
    <w:qFormat/>
    <w:uiPriority w:val="0"/>
    <w:rPr>
      <w:rFonts w:hint="eastAsia" w:ascii="宋体" w:hAnsi="宋体" w:eastAsia="宋体" w:cs="宋体"/>
      <w:color w:val="000000"/>
      <w:sz w:val="24"/>
      <w:szCs w:val="24"/>
      <w:u w:val="none"/>
    </w:rPr>
  </w:style>
  <w:style w:type="character" w:customStyle="1" w:styleId="11">
    <w:name w:val="font21"/>
    <w:basedOn w:val="5"/>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2023-08-12T19:28:00Z</dcterms:created>
  <dc:creator>Administrator</dc:creator>
  <cp:lastModifiedBy>cgpc</cp:lastModifiedBy>
  <cp:lastPrinted>2024-07-18T08:28:57Z</cp:lastPrinted>
  <dcterms:modified xsi:type="dcterms:W3CDTF">2024-07-18T08:28:58Z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9C6C2D80277C4EFFBCB1C943F88EA8E6_12</vt:lpwstr>
  </property>
</Properties>
</file>