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cs="方正大标宋简体" w:asciiTheme="majorEastAsia" w:hAnsiTheme="majorEastAsia" w:eastAsiaTheme="majorEastAsia"/>
          <w:b/>
          <w:sz w:val="44"/>
          <w:szCs w:val="44"/>
          <w:lang w:val="zh-CN"/>
        </w:rPr>
      </w:pPr>
      <w:r>
        <w:rPr>
          <w:rFonts w:hint="eastAsia" w:ascii="方正大标宋简体" w:hAnsi="方正大标宋简体" w:eastAsia="方正大标宋简体" w:cs="方正大标宋简体"/>
          <w:b w:val="0"/>
          <w:bCs/>
          <w:sz w:val="44"/>
          <w:szCs w:val="44"/>
          <w:lang w:val="zh-CN" w:bidi="ar"/>
        </w:rPr>
        <w:t>区安委会办公室公布全区安全生产领域不担当不作为突出问题监督举报方式</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方正大标宋简体" w:eastAsia="仿宋_GB2312" w:cs="方正大标宋简体"/>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cs="仿宋_GB2312"/>
          <w:color w:val="auto"/>
          <w:sz w:val="32"/>
          <w:szCs w:val="32"/>
          <w:lang w:val="en-US" w:eastAsia="zh-CN" w:bidi="ar"/>
        </w:rPr>
        <w:t>为深入贯彻习近平新时代中国特色社会主义思想，推进安全生产领域突出问题“查、改、治”，全面推进安全生产领域作风建设，发扬斗争精神，进一步促进安全生产领域党员干部担当作为、干事创业，现向社会公布全区安全生产领域不担当不作为突出问题监督举报方式，请广大群众参与监督，发现下列问题及时举报。</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黑体" w:hAnsi="黑体" w:eastAsia="黑体" w:cs="黑体"/>
          <w:color w:val="auto"/>
          <w:sz w:val="32"/>
          <w:szCs w:val="32"/>
          <w:lang w:val="en-US" w:eastAsia="zh-CN" w:bidi="ar"/>
        </w:rPr>
        <w:t>一、举报范围</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（一）贯彻落实习近平总书记关于安全生产重要论述和重要指示批示精神、党中央、国务院关于安全生产决策部署和省委省政府、市委市政府、区委区政府工作要求中不担当不作为问题。</w:t>
      </w:r>
      <w:r>
        <w:rPr>
          <w:rFonts w:hint="eastAsia" w:cs="仿宋_GB2312"/>
          <w:color w:val="auto"/>
          <w:sz w:val="32"/>
          <w:szCs w:val="32"/>
          <w:lang w:val="en-US" w:eastAsia="zh-CN" w:bidi="ar"/>
        </w:rPr>
        <w:t>主要表现为：在推动安全发展和安全生产领域改革、研究解决安全生产重大问题，推动落实安全生产责任、国务院安委会“15条”硬措施、省安委会“20条”铁办法和市委市政府、区委区政府关于安全生产部署，组织开展重大事故隐患专项排查整治等重点工作中空泛表态、应景造势，不安排不部署或有部署无落实，以会议贯彻会议，以文件落实文件，只发文不行动，只开会不解决实</w:t>
      </w:r>
      <w:bookmarkStart w:id="0" w:name="_GoBack"/>
      <w:bookmarkEnd w:id="0"/>
      <w:r>
        <w:rPr>
          <w:rFonts w:hint="eastAsia" w:cs="仿宋_GB2312"/>
          <w:color w:val="auto"/>
          <w:sz w:val="32"/>
          <w:szCs w:val="32"/>
          <w:lang w:val="en-US" w:eastAsia="zh-CN" w:bidi="ar"/>
        </w:rPr>
        <w:t>际问题，以及搞“一刀切”、上下一般粗等，专委会职责清单不明确、没有科室负责开展安全生产工作等。</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（二）安全生产日常监管和专项整治工作中不担当不作为问题。</w:t>
      </w:r>
      <w:r>
        <w:rPr>
          <w:rFonts w:hint="eastAsia" w:cs="仿宋_GB2312"/>
          <w:color w:val="auto"/>
          <w:sz w:val="32"/>
          <w:szCs w:val="32"/>
          <w:lang w:val="en-US" w:eastAsia="zh-CN" w:bidi="ar"/>
        </w:rPr>
        <w:t>主要表现为：安全生产投入不足，人、财、物保障不到位；安全生产责任落实不到位，压力传导不到位，“两个清单”宣传贯彻不到位；组织安全生产监督检查、明查暗访、风险排查工作浮于表面，未见真章实效，隐患排查搞形式、走过场、浮于表面，该发现的重大事故隐患未发现或发现的重大事故隐患质量不高、致因要素查找不准，隐患整改督办不力、未形成闭环管理，敷衍了事；重大活动、敏感时段安全生产工作安排部署不及时、缺乏针对性，安全防范不力，导致发生较大以上生产安全事故；重大事故隐患专项排查整治2023行动动员部署不及时、方案制定上下一般粗，未制定重大事故隐患判定标准或重点检查事项，本属地本行业领域企业重大事故隐患自查整改落实不力等，未开展专题宣讲和专家帮扶指导，未开展违规动火作业、外包外租、有限空间违规作业专项整治或整治走过场、走形式；危险化学品、建筑施工、城镇燃气、特种设备、涉氨制冷、消防等重点行业领域安全风险管控和隐患排查治理双重预防机制不健全、推进不力；未开展安全生产宣传“五进”活动或推进不力；应急救援预案修订不及时、针对性不强、应急演练开展不及时或演练质量不高等。</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（三）安全生产监督执法工作中的不担当不作为问题。</w:t>
      </w:r>
      <w:r>
        <w:rPr>
          <w:rFonts w:hint="eastAsia" w:cs="仿宋_GB2312"/>
          <w:color w:val="auto"/>
          <w:sz w:val="32"/>
          <w:szCs w:val="32"/>
          <w:lang w:val="en-US" w:eastAsia="zh-CN" w:bidi="ar"/>
        </w:rPr>
        <w:t>主要表现为：长期不按要求到企业开展执法检查；安全生产监管执法以罚代管、一罚了之，或只检查不依法处罚；日常监管职责不明确、监管手段不灵活、惩处和曝光力度不够，“宽松软虚”现象长期存在；生产安全事故责任追究讲情面、搞平衡、当老好人等。</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（四）安全生产领域相关工作中不担当不作为问题。</w:t>
      </w:r>
      <w:r>
        <w:rPr>
          <w:rFonts w:hint="eastAsia" w:cs="仿宋_GB2312"/>
          <w:color w:val="auto"/>
          <w:sz w:val="32"/>
          <w:szCs w:val="32"/>
          <w:lang w:val="en-US" w:eastAsia="zh-CN" w:bidi="ar"/>
        </w:rPr>
        <w:t>主要表现为：安全生产领域重大项目谋划不深不实，项目储备不足、质量不高，项目建设协调推进不力，服务保障不优，导致项目推进缓慢；受理安全生产举报投诉问题一转了之、久拖不决，化解信访事项不及时、不主动，冷硬横推、推诿扯皮；办理政务服务未尽首问负责制、一次性告知职责，审批事项应进未进、虚进假进，审批超时限，跨部门事项行政审批互为前置、相互推诿等。</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黑体" w:hAnsi="黑体" w:eastAsia="黑体" w:cs="黑体"/>
          <w:color w:val="auto"/>
          <w:sz w:val="32"/>
          <w:szCs w:val="32"/>
          <w:lang w:val="en-US" w:eastAsia="zh-CN" w:bidi="ar"/>
        </w:rPr>
        <w:t>二、举报方式</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（一）来信举报：</w:t>
      </w:r>
      <w:r>
        <w:rPr>
          <w:rFonts w:hint="eastAsia" w:cs="仿宋_GB2312"/>
          <w:color w:val="auto"/>
          <w:sz w:val="32"/>
          <w:szCs w:val="32"/>
          <w:lang w:val="en-US" w:eastAsia="zh-CN" w:bidi="ar"/>
        </w:rPr>
        <w:t>地址：黄石市磁湖路180号黄石港区应急管理局（收），邮编：435000</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（二）电话举报：</w:t>
      </w:r>
      <w:r>
        <w:rPr>
          <w:rFonts w:hint="eastAsia" w:cs="仿宋_GB2312"/>
          <w:color w:val="auto"/>
          <w:sz w:val="32"/>
          <w:szCs w:val="32"/>
          <w:lang w:val="en-US" w:eastAsia="zh-CN" w:bidi="ar"/>
        </w:rPr>
        <w:t>12350或0714—6515408（工作时间：上午8：30—11：30，下午14：00—17：30）</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（三）邮箱：</w:t>
      </w:r>
      <w:r>
        <w:rPr>
          <w:rFonts w:hint="eastAsia" w:cs="仿宋_GB2312"/>
          <w:color w:val="auto"/>
          <w:sz w:val="32"/>
          <w:szCs w:val="32"/>
          <w:lang w:val="en-US" w:eastAsia="zh-CN" w:bidi="ar"/>
        </w:rPr>
        <w:fldChar w:fldCharType="begin"/>
      </w:r>
      <w:r>
        <w:rPr>
          <w:rFonts w:hint="eastAsia" w:cs="仿宋_GB2312"/>
          <w:color w:val="auto"/>
          <w:sz w:val="32"/>
          <w:szCs w:val="32"/>
          <w:lang w:val="en-US" w:eastAsia="zh-CN" w:bidi="ar"/>
        </w:rPr>
        <w:instrText xml:space="preserve"> HYPERLINK "mailto:hsgyjglj@163.com；" </w:instrText>
      </w:r>
      <w:r>
        <w:rPr>
          <w:rFonts w:hint="eastAsia" w:cs="仿宋_GB2312"/>
          <w:color w:val="auto"/>
          <w:sz w:val="32"/>
          <w:szCs w:val="32"/>
          <w:lang w:val="en-US" w:eastAsia="zh-CN" w:bidi="ar"/>
        </w:rPr>
        <w:fldChar w:fldCharType="separate"/>
      </w:r>
      <w:r>
        <w:rPr>
          <w:rFonts w:hint="eastAsia" w:cs="仿宋_GB2312"/>
          <w:color w:val="auto"/>
          <w:sz w:val="32"/>
          <w:szCs w:val="32"/>
          <w:lang w:val="en-US" w:eastAsia="zh-CN" w:bidi="ar"/>
        </w:rPr>
        <w:t>hsgyjglj@163.com</w:t>
      </w:r>
      <w:r>
        <w:rPr>
          <w:rFonts w:hint="eastAsia" w:cs="仿宋_GB2312"/>
          <w:color w:val="auto"/>
          <w:sz w:val="32"/>
          <w:szCs w:val="32"/>
          <w:lang w:val="en-US" w:eastAsia="zh-CN" w:bidi="ar"/>
        </w:rPr>
        <w:fldChar w:fldCharType="end"/>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default" w:cs="仿宋_GB2312"/>
          <w:color w:val="auto"/>
          <w:sz w:val="32"/>
          <w:szCs w:val="32"/>
          <w:lang w:val="en-US" w:eastAsia="zh-CN" w:bidi="ar"/>
        </w:rPr>
      </w:pPr>
      <w:r>
        <w:rPr>
          <w:rFonts w:hint="eastAsia" w:ascii="楷体_GB2312" w:hAnsi="楷体_GB2312" w:eastAsia="楷体_GB2312" w:cs="楷体_GB2312"/>
          <w:color w:val="auto"/>
          <w:sz w:val="32"/>
          <w:szCs w:val="32"/>
          <w:lang w:val="en-US" w:eastAsia="zh-CN" w:bidi="ar"/>
        </w:rPr>
        <w:t>（四）传真：</w:t>
      </w:r>
      <w:r>
        <w:rPr>
          <w:rFonts w:hint="eastAsia" w:cs="仿宋_GB2312"/>
          <w:color w:val="auto"/>
          <w:sz w:val="32"/>
          <w:szCs w:val="32"/>
          <w:lang w:val="en-US" w:eastAsia="zh-CN" w:bidi="ar"/>
        </w:rPr>
        <w:t>0714—6515677</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ascii="黑体" w:hAnsi="黑体" w:eastAsia="黑体" w:cs="黑体"/>
          <w:color w:val="auto"/>
          <w:sz w:val="32"/>
          <w:szCs w:val="32"/>
          <w:lang w:val="en-US" w:eastAsia="zh-CN" w:bidi="ar"/>
        </w:rPr>
        <w:t>三、举报注意事项</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cs="仿宋_GB2312"/>
          <w:color w:val="auto"/>
          <w:sz w:val="32"/>
          <w:szCs w:val="32"/>
          <w:lang w:val="en-US" w:eastAsia="zh-CN" w:bidi="ar"/>
        </w:rPr>
        <w:t>一是举报人应当遵守国家法律法规，反映问题要客观真实，对所提供材料内容的真实性负责，不得捏造、歪曲事实，不得诬告、陷害他人。</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cs="仿宋_GB2312"/>
          <w:color w:val="auto"/>
          <w:sz w:val="32"/>
          <w:szCs w:val="32"/>
          <w:lang w:val="en-US" w:eastAsia="zh-CN" w:bidi="ar"/>
        </w:rPr>
        <w:t>二是本次活动截止时间2023年12月底。</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hint="eastAsia" w:cs="仿宋_GB2312"/>
          <w:color w:val="auto"/>
          <w:sz w:val="32"/>
          <w:szCs w:val="32"/>
          <w:lang w:val="en-US" w:eastAsia="zh-CN" w:bidi="ar"/>
        </w:rPr>
      </w:pPr>
      <w:r>
        <w:rPr>
          <w:rFonts w:hint="eastAsia" w:cs="仿宋_GB2312"/>
          <w:color w:val="auto"/>
          <w:sz w:val="32"/>
          <w:szCs w:val="32"/>
          <w:lang w:val="en-US" w:eastAsia="zh-CN" w:bidi="ar"/>
        </w:rPr>
        <w:t>三是其他举报事项，按相关规定执行。</w:t>
      </w:r>
    </w:p>
    <w:p>
      <w:pPr>
        <w:keepNext w:val="0"/>
        <w:keepLines w:val="0"/>
        <w:pageBreakBefore w:val="0"/>
        <w:numPr>
          <w:ilvl w:val="0"/>
          <w:numId w:val="0"/>
        </w:numPr>
        <w:kinsoku/>
        <w:wordWrap/>
        <w:overflowPunct/>
        <w:topLinePunct w:val="0"/>
        <w:autoSpaceDE/>
        <w:autoSpaceDN/>
        <w:bidi w:val="0"/>
        <w:adjustRightInd/>
        <w:snapToGrid/>
        <w:spacing w:line="520" w:lineRule="exact"/>
        <w:ind w:left="1600" w:leftChars="0"/>
        <w:jc w:val="center"/>
        <w:textAlignment w:val="auto"/>
        <w:rPr>
          <w:rFonts w:hint="eastAsia" w:ascii="CESI仿宋-GB18030" w:hAnsi="CESI仿宋-GB18030" w:eastAsia="CESI仿宋-GB18030" w:cs="CESI仿宋-GB18030"/>
          <w:sz w:val="32"/>
          <w:szCs w:val="32"/>
          <w:lang w:val="en-US" w:eastAsia="zh-CN"/>
        </w:rPr>
      </w:pPr>
      <w:r>
        <w:rPr>
          <w:rFonts w:hint="eastAsia" w:ascii="CESI仿宋-GB18030" w:hAnsi="CESI仿宋-GB18030" w:eastAsia="CESI仿宋-GB18030" w:cs="CESI仿宋-GB18030"/>
          <w:sz w:val="32"/>
          <w:szCs w:val="32"/>
          <w:lang w:val="en-US" w:eastAsia="zh-CN"/>
        </w:rPr>
        <w:t xml:space="preserve">             </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1600" w:leftChars="0"/>
        <w:jc w:val="center"/>
        <w:textAlignment w:val="auto"/>
        <w:rPr>
          <w:rFonts w:hint="eastAsia" w:ascii="CESI仿宋-GB18030" w:hAnsi="CESI仿宋-GB18030" w:eastAsia="CESI仿宋-GB18030" w:cs="CESI仿宋-GB18030"/>
          <w:sz w:val="32"/>
          <w:szCs w:val="32"/>
          <w:lang w:val="en-US" w:eastAsia="zh-CN"/>
        </w:rPr>
      </w:pPr>
      <w:r>
        <w:rPr>
          <w:rFonts w:hint="eastAsia" w:ascii="CESI仿宋-GB18030" w:hAnsi="CESI仿宋-GB18030" w:eastAsia="CESI仿宋-GB18030" w:cs="CESI仿宋-GB18030"/>
          <w:sz w:val="32"/>
          <w:szCs w:val="32"/>
          <w:lang w:val="en-US" w:eastAsia="zh-CN"/>
        </w:rPr>
        <w:t xml:space="preserve">        黄石港区安全生产委员会办公室</w:t>
      </w:r>
    </w:p>
    <w:p>
      <w:pPr>
        <w:keepNext w:val="0"/>
        <w:keepLines w:val="0"/>
        <w:pageBreakBefore w:val="0"/>
        <w:numPr>
          <w:ilvl w:val="0"/>
          <w:numId w:val="0"/>
        </w:numPr>
        <w:kinsoku/>
        <w:wordWrap/>
        <w:overflowPunct/>
        <w:topLinePunct w:val="0"/>
        <w:autoSpaceDE/>
        <w:autoSpaceDN/>
        <w:bidi w:val="0"/>
        <w:adjustRightInd/>
        <w:snapToGrid/>
        <w:spacing w:line="520" w:lineRule="exact"/>
        <w:ind w:left="1600" w:leftChars="0"/>
        <w:jc w:val="center"/>
        <w:textAlignment w:val="auto"/>
        <w:rPr>
          <w:rFonts w:hint="default" w:ascii="CESI仿宋-GB18030" w:hAnsi="CESI仿宋-GB18030" w:eastAsia="CESI仿宋-GB18030" w:cs="CESI仿宋-GB18030"/>
          <w:sz w:val="32"/>
          <w:szCs w:val="32"/>
          <w:lang w:val="en-US" w:eastAsia="zh-CN"/>
        </w:rPr>
      </w:pPr>
      <w:r>
        <w:rPr>
          <w:rFonts w:hint="eastAsia" w:ascii="CESI仿宋-GB18030" w:hAnsi="CESI仿宋-GB18030" w:eastAsia="CESI仿宋-GB18030" w:cs="CESI仿宋-GB18030"/>
          <w:sz w:val="32"/>
          <w:szCs w:val="32"/>
          <w:lang w:val="en-US" w:eastAsia="zh-CN"/>
        </w:rPr>
        <w:t xml:space="preserve">     2023年7月28日</w:t>
      </w:r>
    </w:p>
    <w:p>
      <w:pPr>
        <w:keepNext w:val="0"/>
        <w:keepLines w:val="0"/>
        <w:pageBreakBefore w:val="0"/>
        <w:widowControl/>
        <w:kinsoku/>
        <w:wordWrap/>
        <w:overflowPunct/>
        <w:topLinePunct w:val="0"/>
        <w:autoSpaceDE/>
        <w:autoSpaceDN/>
        <w:bidi w:val="0"/>
        <w:adjustRightInd/>
        <w:snapToGrid/>
        <w:spacing w:line="240" w:lineRule="auto"/>
        <w:ind w:firstLine="632" w:firstLineChars="200"/>
        <w:jc w:val="both"/>
        <w:textAlignment w:val="auto"/>
        <w:rPr>
          <w:rFonts w:hint="default" w:cs="仿宋_GB2312"/>
          <w:color w:val="auto"/>
          <w:sz w:val="32"/>
          <w:szCs w:val="32"/>
          <w:lang w:val="en-US" w:eastAsia="zh-CN" w:bidi="ar"/>
        </w:rPr>
      </w:pPr>
    </w:p>
    <w:sectPr>
      <w:pgSz w:w="11906" w:h="16838"/>
      <w:pgMar w:top="2098" w:right="1531" w:bottom="1984" w:left="1531" w:header="851" w:footer="992"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ljOTJiMjEzNDY3ZjE3ODgxMjkxNWM5YTRmZjcifQ=="/>
  </w:docVars>
  <w:rsids>
    <w:rsidRoot w:val="1BA34907"/>
    <w:rsid w:val="000411CC"/>
    <w:rsid w:val="00076466"/>
    <w:rsid w:val="000F40F3"/>
    <w:rsid w:val="0013435D"/>
    <w:rsid w:val="00262033"/>
    <w:rsid w:val="00380ED7"/>
    <w:rsid w:val="003F01B7"/>
    <w:rsid w:val="004D643E"/>
    <w:rsid w:val="00517BDF"/>
    <w:rsid w:val="005C16A7"/>
    <w:rsid w:val="005D6862"/>
    <w:rsid w:val="005E03AC"/>
    <w:rsid w:val="005E5C36"/>
    <w:rsid w:val="006033E9"/>
    <w:rsid w:val="00730059"/>
    <w:rsid w:val="00786537"/>
    <w:rsid w:val="007A7D93"/>
    <w:rsid w:val="007B3B26"/>
    <w:rsid w:val="007D37CE"/>
    <w:rsid w:val="00826BD4"/>
    <w:rsid w:val="009D6800"/>
    <w:rsid w:val="00A84433"/>
    <w:rsid w:val="00A97EC8"/>
    <w:rsid w:val="00AD7CBE"/>
    <w:rsid w:val="00B02DAD"/>
    <w:rsid w:val="00BF49DA"/>
    <w:rsid w:val="00C54929"/>
    <w:rsid w:val="00C82CEE"/>
    <w:rsid w:val="00D731D8"/>
    <w:rsid w:val="00E92CDF"/>
    <w:rsid w:val="01602CF5"/>
    <w:rsid w:val="04200FA9"/>
    <w:rsid w:val="08DC3AEE"/>
    <w:rsid w:val="09035D2F"/>
    <w:rsid w:val="0C925E38"/>
    <w:rsid w:val="0F59583A"/>
    <w:rsid w:val="12AB4CF7"/>
    <w:rsid w:val="1A3B1263"/>
    <w:rsid w:val="1BA34907"/>
    <w:rsid w:val="20CA5A3D"/>
    <w:rsid w:val="20CD3FDB"/>
    <w:rsid w:val="222E60B3"/>
    <w:rsid w:val="253430DE"/>
    <w:rsid w:val="288644BE"/>
    <w:rsid w:val="373C3808"/>
    <w:rsid w:val="374557B1"/>
    <w:rsid w:val="374F2560"/>
    <w:rsid w:val="38052CFC"/>
    <w:rsid w:val="3827041B"/>
    <w:rsid w:val="383F5F0F"/>
    <w:rsid w:val="38911993"/>
    <w:rsid w:val="3C34412D"/>
    <w:rsid w:val="3ECB468A"/>
    <w:rsid w:val="41AA0C24"/>
    <w:rsid w:val="42BD1DBE"/>
    <w:rsid w:val="43F74A16"/>
    <w:rsid w:val="458A0DC2"/>
    <w:rsid w:val="47165F40"/>
    <w:rsid w:val="48C562DE"/>
    <w:rsid w:val="49495C38"/>
    <w:rsid w:val="49EC781D"/>
    <w:rsid w:val="4D317886"/>
    <w:rsid w:val="4EE14780"/>
    <w:rsid w:val="51C51FD5"/>
    <w:rsid w:val="55DB636D"/>
    <w:rsid w:val="560D3277"/>
    <w:rsid w:val="57DF377E"/>
    <w:rsid w:val="588E43AA"/>
    <w:rsid w:val="5A56288A"/>
    <w:rsid w:val="5AF013CF"/>
    <w:rsid w:val="60C45693"/>
    <w:rsid w:val="627867E9"/>
    <w:rsid w:val="630E086F"/>
    <w:rsid w:val="63A23524"/>
    <w:rsid w:val="65FF1142"/>
    <w:rsid w:val="67F91270"/>
    <w:rsid w:val="68B852C3"/>
    <w:rsid w:val="6CCE7272"/>
    <w:rsid w:val="6D7E290C"/>
    <w:rsid w:val="73886292"/>
    <w:rsid w:val="73BA6CFD"/>
    <w:rsid w:val="73F81BDC"/>
    <w:rsid w:val="74F62788"/>
    <w:rsid w:val="77D5581E"/>
    <w:rsid w:val="7C52568F"/>
    <w:rsid w:val="7D59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customStyle="1" w:styleId="6">
    <w:name w:val="样式"/>
    <w:basedOn w:val="1"/>
    <w:qFormat/>
    <w:uiPriority w:val="0"/>
    <w:pPr>
      <w:autoSpaceDE w:val="0"/>
      <w:autoSpaceDN w:val="0"/>
      <w:adjustRightInd w:val="0"/>
      <w:jc w:val="left"/>
    </w:pPr>
    <w:rPr>
      <w:rFonts w:ascii="Arial" w:hAnsi="Arial" w:eastAsia="宋体" w:cs="Times New Roman"/>
      <w:kern w:val="0"/>
      <w:sz w:val="24"/>
    </w:rPr>
  </w:style>
  <w:style w:type="character" w:customStyle="1" w:styleId="7">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质监局</Company>
  <Pages>3</Pages>
  <Words>1531</Words>
  <Characters>1595</Characters>
  <Lines>20</Lines>
  <Paragraphs>5</Paragraphs>
  <TotalTime>12</TotalTime>
  <ScaleCrop>false</ScaleCrop>
  <LinksUpToDate>false</LinksUpToDate>
  <CharactersWithSpaces>1621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2022-02-25T14:19:00Z</dcterms:created>
  <dc:creator>zjj-2</dc:creator>
  <cp:lastModifiedBy>Administrator</cp:lastModifiedBy>
  <cp:lastPrinted>2023-07-28T01:37:00Z</cp:lastPrinted>
  <dcterms:modified xsi:type="dcterms:W3CDTF">2023-07-31T03:02:37Z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A607B7F5FEAC4D029F92C4BA0DB9F53D_13</vt:lpwstr>
  </property>
</Properties>
</file>