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B51C3">
      <w:pPr>
        <w:pStyle w:val="14"/>
        <w:kinsoku w:val="0"/>
        <w:overflowPunct w:val="0"/>
        <w:spacing w:line="560" w:lineRule="exact"/>
        <w:ind w:left="804" w:right="890"/>
        <w:jc w:val="center"/>
        <w:rPr>
          <w:rFonts w:ascii="方正大标宋简体" w:hAnsi="方正大标宋简体" w:eastAsia="方正大标宋简体" w:cs="方正大标宋简体"/>
          <w:color w:val="000000"/>
          <w:sz w:val="36"/>
          <w:szCs w:val="36"/>
        </w:rPr>
      </w:pPr>
      <w:bookmarkStart w:id="0" w:name="_Toc527184502"/>
      <w:bookmarkStart w:id="1" w:name="_Toc527281668"/>
      <w:bookmarkStart w:id="2" w:name="_Toc527184509"/>
    </w:p>
    <w:p w14:paraId="2493062B">
      <w:pPr>
        <w:pStyle w:val="14"/>
        <w:kinsoku w:val="0"/>
        <w:overflowPunct w:val="0"/>
        <w:spacing w:line="560" w:lineRule="exact"/>
        <w:ind w:left="804" w:right="890"/>
        <w:jc w:val="center"/>
        <w:rPr>
          <w:rFonts w:ascii="方正大标宋简体" w:hAnsi="方正大标宋简体" w:eastAsia="方正大标宋简体" w:cs="方正大标宋简体"/>
          <w:color w:val="000000"/>
          <w:sz w:val="36"/>
          <w:szCs w:val="36"/>
        </w:rPr>
      </w:pPr>
    </w:p>
    <w:p w14:paraId="4623ECC1">
      <w:pPr>
        <w:pStyle w:val="14"/>
        <w:kinsoku w:val="0"/>
        <w:overflowPunct w:val="0"/>
        <w:spacing w:line="560" w:lineRule="exact"/>
        <w:ind w:left="804" w:right="890"/>
        <w:jc w:val="center"/>
        <w:rPr>
          <w:rFonts w:ascii="方正大标宋简体" w:hAnsi="方正大标宋简体" w:eastAsia="方正大标宋简体" w:cs="方正大标宋简体"/>
          <w:color w:val="000000"/>
          <w:sz w:val="36"/>
          <w:szCs w:val="36"/>
        </w:rPr>
      </w:pPr>
    </w:p>
    <w:p w14:paraId="2F180CF8">
      <w:pPr>
        <w:pStyle w:val="14"/>
        <w:kinsoku w:val="0"/>
        <w:overflowPunct w:val="0"/>
        <w:spacing w:line="560" w:lineRule="exact"/>
        <w:jc w:val="center"/>
        <w:rPr>
          <w:rFonts w:ascii="方正小标宋_GBK" w:hAnsi="方正大标宋简体" w:eastAsia="方正小标宋_GBK" w:cs="方正大标宋简体"/>
          <w:color w:val="000000"/>
          <w:sz w:val="44"/>
          <w:szCs w:val="44"/>
        </w:rPr>
      </w:pPr>
      <w:bookmarkStart w:id="216" w:name="_GoBack"/>
      <w:r>
        <w:rPr>
          <w:rFonts w:hint="eastAsia" w:ascii="方正小标宋_GBK" w:hAnsi="方正大标宋简体" w:eastAsia="方正小标宋_GBK" w:cs="方正大标宋简体"/>
          <w:color w:val="000000"/>
          <w:sz w:val="44"/>
          <w:szCs w:val="44"/>
        </w:rPr>
        <w:t>黄石港区国民经济和社会发展</w:t>
      </w:r>
    </w:p>
    <w:bookmarkEnd w:id="216"/>
    <w:p w14:paraId="18443D15">
      <w:pPr>
        <w:pStyle w:val="14"/>
        <w:kinsoku w:val="0"/>
        <w:overflowPunct w:val="0"/>
        <w:spacing w:line="560" w:lineRule="exact"/>
        <w:ind w:left="0"/>
        <w:jc w:val="center"/>
        <w:rPr>
          <w:rFonts w:ascii="方正小标宋_GBK" w:hAnsi="方正大标宋简体" w:eastAsia="方正小标宋_GBK" w:cs="方正大标宋简体"/>
          <w:color w:val="000000"/>
          <w:sz w:val="44"/>
          <w:szCs w:val="44"/>
        </w:rPr>
      </w:pPr>
      <w:r>
        <w:rPr>
          <w:rFonts w:hint="eastAsia" w:ascii="方正小标宋_GBK" w:hAnsi="方正大标宋简体" w:eastAsia="方正小标宋_GBK" w:cs="方正大标宋简体"/>
          <w:color w:val="000000"/>
          <w:sz w:val="44"/>
          <w:szCs w:val="44"/>
        </w:rPr>
        <w:t>第十四个五年规划和二</w:t>
      </w:r>
      <w:r>
        <w:rPr>
          <w:rFonts w:hint="eastAsia" w:ascii="方正小标宋_GBK" w:hAnsi="宋体" w:eastAsia="方正小标宋_GBK" w:cs="宋体"/>
          <w:color w:val="000000"/>
          <w:sz w:val="44"/>
          <w:szCs w:val="44"/>
        </w:rPr>
        <w:t>〇</w:t>
      </w:r>
      <w:r>
        <w:rPr>
          <w:rFonts w:hint="eastAsia" w:ascii="方正小标宋_GBK" w:hAnsi="方正大标宋简体" w:eastAsia="方正小标宋_GBK" w:cs="方正大标宋简体"/>
          <w:color w:val="000000"/>
          <w:sz w:val="44"/>
          <w:szCs w:val="44"/>
        </w:rPr>
        <w:t>三五年远景目标纲要</w:t>
      </w:r>
    </w:p>
    <w:p w14:paraId="36BF026B">
      <w:pPr>
        <w:widowControl w:val="0"/>
        <w:spacing w:line="300" w:lineRule="exact"/>
        <w:ind w:firstLine="0" w:firstLineChars="0"/>
        <w:jc w:val="center"/>
        <w:rPr>
          <w:rFonts w:ascii="楷体" w:hAnsi="楷体" w:cs="楷体"/>
          <w:color w:val="000000"/>
          <w:kern w:val="2"/>
          <w:sz w:val="44"/>
          <w:szCs w:val="44"/>
        </w:rPr>
      </w:pPr>
    </w:p>
    <w:p w14:paraId="6A3F4E3B">
      <w:pPr>
        <w:pStyle w:val="85"/>
        <w:spacing w:line="560" w:lineRule="exact"/>
        <w:ind w:left="0" w:leftChars="0" w:firstLine="0" w:firstLineChars="0"/>
        <w:jc w:val="center"/>
        <w:rPr>
          <w:rFonts w:ascii="方正楷体简体" w:hAnsi="宋体" w:eastAsia="方正楷体简体" w:cs="宋体"/>
          <w:kern w:val="0"/>
          <w:sz w:val="32"/>
          <w:szCs w:val="32"/>
        </w:rPr>
      </w:pPr>
    </w:p>
    <w:p w14:paraId="1A279133">
      <w:pPr>
        <w:pStyle w:val="85"/>
        <w:spacing w:line="560" w:lineRule="exact"/>
        <w:ind w:left="0" w:leftChars="0" w:firstLine="0" w:firstLineChars="0"/>
        <w:jc w:val="center"/>
        <w:rPr>
          <w:rFonts w:ascii="方正楷体简体" w:hAnsi="宋体" w:eastAsia="方正楷体简体" w:cs="宋体"/>
          <w:kern w:val="0"/>
          <w:sz w:val="32"/>
          <w:szCs w:val="32"/>
        </w:rPr>
      </w:pPr>
    </w:p>
    <w:p w14:paraId="6E5B3EB5">
      <w:pPr>
        <w:pStyle w:val="85"/>
        <w:spacing w:line="560" w:lineRule="exact"/>
        <w:ind w:left="0" w:leftChars="0" w:firstLine="0" w:firstLineChars="0"/>
        <w:jc w:val="center"/>
        <w:rPr>
          <w:rFonts w:ascii="方正楷体简体" w:hAnsi="宋体" w:eastAsia="方正楷体简体" w:cs="宋体"/>
          <w:kern w:val="0"/>
          <w:sz w:val="32"/>
          <w:szCs w:val="32"/>
        </w:rPr>
      </w:pPr>
    </w:p>
    <w:p w14:paraId="5D5AC044">
      <w:pPr>
        <w:pStyle w:val="85"/>
        <w:spacing w:line="560" w:lineRule="exact"/>
        <w:ind w:left="0" w:leftChars="0" w:firstLine="0" w:firstLineChars="0"/>
        <w:jc w:val="center"/>
        <w:rPr>
          <w:rFonts w:ascii="方正楷体简体" w:hAnsi="宋体" w:eastAsia="方正楷体简体" w:cs="宋体"/>
          <w:kern w:val="0"/>
          <w:sz w:val="32"/>
          <w:szCs w:val="32"/>
        </w:rPr>
      </w:pPr>
    </w:p>
    <w:p w14:paraId="0E8144D8">
      <w:pPr>
        <w:pStyle w:val="85"/>
        <w:spacing w:line="560" w:lineRule="exact"/>
        <w:ind w:left="0" w:leftChars="0" w:firstLine="0" w:firstLineChars="0"/>
        <w:jc w:val="center"/>
        <w:rPr>
          <w:rFonts w:ascii="方正楷体简体" w:hAnsi="宋体" w:eastAsia="方正楷体简体" w:cs="宋体"/>
          <w:kern w:val="0"/>
          <w:sz w:val="32"/>
          <w:szCs w:val="32"/>
        </w:rPr>
      </w:pPr>
    </w:p>
    <w:p w14:paraId="0DA76844">
      <w:pPr>
        <w:pStyle w:val="85"/>
        <w:spacing w:line="560" w:lineRule="exact"/>
        <w:ind w:left="0" w:leftChars="0" w:firstLine="0" w:firstLineChars="0"/>
        <w:jc w:val="center"/>
        <w:rPr>
          <w:rFonts w:ascii="方正楷体简体" w:hAnsi="宋体" w:eastAsia="方正楷体简体" w:cs="宋体"/>
          <w:kern w:val="0"/>
          <w:sz w:val="32"/>
          <w:szCs w:val="32"/>
        </w:rPr>
      </w:pPr>
    </w:p>
    <w:p w14:paraId="49C07552">
      <w:pPr>
        <w:pStyle w:val="85"/>
        <w:spacing w:line="560" w:lineRule="exact"/>
        <w:ind w:left="0" w:leftChars="0" w:firstLine="0" w:firstLineChars="0"/>
        <w:jc w:val="center"/>
        <w:rPr>
          <w:rFonts w:ascii="方正楷体简体" w:hAnsi="宋体" w:eastAsia="方正楷体简体" w:cs="宋体"/>
          <w:kern w:val="0"/>
          <w:sz w:val="32"/>
          <w:szCs w:val="32"/>
        </w:rPr>
      </w:pPr>
    </w:p>
    <w:p w14:paraId="056A3009">
      <w:pPr>
        <w:pStyle w:val="85"/>
        <w:spacing w:line="560" w:lineRule="exact"/>
        <w:ind w:left="0" w:leftChars="0" w:firstLine="0" w:firstLineChars="0"/>
        <w:jc w:val="center"/>
        <w:rPr>
          <w:rFonts w:ascii="方正楷体简体" w:hAnsi="宋体" w:eastAsia="方正楷体简体" w:cs="宋体"/>
          <w:kern w:val="0"/>
          <w:sz w:val="32"/>
          <w:szCs w:val="32"/>
        </w:rPr>
      </w:pPr>
    </w:p>
    <w:p w14:paraId="11839740">
      <w:pPr>
        <w:pStyle w:val="85"/>
        <w:spacing w:line="560" w:lineRule="exact"/>
        <w:ind w:left="0" w:leftChars="0" w:firstLine="0" w:firstLineChars="0"/>
        <w:jc w:val="center"/>
        <w:rPr>
          <w:rFonts w:ascii="方正楷体简体" w:hAnsi="宋体" w:eastAsia="方正楷体简体" w:cs="宋体"/>
          <w:kern w:val="0"/>
          <w:sz w:val="32"/>
          <w:szCs w:val="32"/>
        </w:rPr>
      </w:pPr>
    </w:p>
    <w:p w14:paraId="18B55523">
      <w:pPr>
        <w:pStyle w:val="85"/>
        <w:spacing w:line="560" w:lineRule="exact"/>
        <w:ind w:left="0" w:leftChars="0" w:firstLine="0" w:firstLineChars="0"/>
        <w:jc w:val="center"/>
        <w:rPr>
          <w:rFonts w:ascii="方正楷体简体" w:hAnsi="宋体" w:eastAsia="方正楷体简体" w:cs="宋体"/>
          <w:kern w:val="0"/>
          <w:sz w:val="32"/>
          <w:szCs w:val="32"/>
        </w:rPr>
      </w:pPr>
    </w:p>
    <w:p w14:paraId="61484906">
      <w:pPr>
        <w:pStyle w:val="85"/>
        <w:spacing w:line="560" w:lineRule="exact"/>
        <w:ind w:left="0" w:leftChars="0" w:firstLine="0" w:firstLineChars="0"/>
        <w:jc w:val="center"/>
        <w:rPr>
          <w:rFonts w:ascii="方正楷体简体" w:hAnsi="宋体" w:eastAsia="方正楷体简体" w:cs="宋体"/>
          <w:kern w:val="0"/>
          <w:sz w:val="32"/>
          <w:szCs w:val="32"/>
        </w:rPr>
      </w:pPr>
    </w:p>
    <w:p w14:paraId="7479D7EE">
      <w:pPr>
        <w:pStyle w:val="85"/>
        <w:spacing w:line="560" w:lineRule="exact"/>
        <w:ind w:left="0" w:leftChars="0" w:firstLine="0" w:firstLineChars="0"/>
        <w:jc w:val="center"/>
        <w:rPr>
          <w:rFonts w:ascii="方正楷体简体" w:hAnsi="宋体" w:eastAsia="方正楷体简体" w:cs="宋体"/>
          <w:kern w:val="0"/>
          <w:sz w:val="32"/>
          <w:szCs w:val="32"/>
        </w:rPr>
      </w:pPr>
    </w:p>
    <w:p w14:paraId="6D2175A7">
      <w:pPr>
        <w:pStyle w:val="85"/>
        <w:spacing w:line="560" w:lineRule="exact"/>
        <w:ind w:left="0" w:leftChars="0" w:firstLine="0" w:firstLineChars="0"/>
        <w:jc w:val="center"/>
        <w:rPr>
          <w:rFonts w:ascii="方正楷体简体" w:hAnsi="宋体" w:eastAsia="方正楷体简体" w:cs="宋体"/>
          <w:kern w:val="0"/>
          <w:sz w:val="32"/>
          <w:szCs w:val="32"/>
        </w:rPr>
      </w:pPr>
      <w:r>
        <w:rPr>
          <w:rFonts w:hint="eastAsia" w:ascii="方正楷体简体" w:hAnsi="宋体" w:eastAsia="方正楷体简体" w:cs="宋体"/>
          <w:kern w:val="0"/>
          <w:sz w:val="32"/>
          <w:szCs w:val="32"/>
        </w:rPr>
        <w:t>黄石港区人民政府</w:t>
      </w:r>
    </w:p>
    <w:p w14:paraId="77268F8D">
      <w:pPr>
        <w:pStyle w:val="85"/>
        <w:spacing w:line="560" w:lineRule="exact"/>
        <w:ind w:left="0" w:leftChars="0" w:firstLine="0" w:firstLineChars="0"/>
        <w:jc w:val="center"/>
        <w:rPr>
          <w:rFonts w:ascii="方正楷体简体" w:hAnsi="宋体" w:eastAsia="方正楷体简体" w:cs="宋体"/>
          <w:kern w:val="0"/>
          <w:sz w:val="32"/>
          <w:szCs w:val="32"/>
        </w:rPr>
      </w:pPr>
    </w:p>
    <w:p w14:paraId="5BEBA7F6">
      <w:pPr>
        <w:pStyle w:val="85"/>
        <w:spacing w:line="560" w:lineRule="exact"/>
        <w:ind w:left="0" w:leftChars="0" w:firstLine="0" w:firstLineChars="0"/>
        <w:jc w:val="center"/>
        <w:rPr>
          <w:rFonts w:ascii="方正楷体简体" w:hAnsi="宋体" w:eastAsia="方正楷体简体" w:cs="宋体"/>
          <w:kern w:val="0"/>
          <w:sz w:val="32"/>
          <w:szCs w:val="32"/>
        </w:rPr>
      </w:pPr>
    </w:p>
    <w:p w14:paraId="4D1681D5">
      <w:pPr>
        <w:pStyle w:val="85"/>
        <w:spacing w:line="560" w:lineRule="exact"/>
        <w:ind w:left="0" w:leftChars="0" w:firstLine="0" w:firstLineChars="0"/>
        <w:jc w:val="center"/>
        <w:rPr>
          <w:rFonts w:ascii="方正楷体简体" w:hAnsi="宋体" w:eastAsia="方正楷体简体" w:cs="宋体"/>
          <w:kern w:val="0"/>
          <w:sz w:val="32"/>
          <w:szCs w:val="32"/>
        </w:rPr>
      </w:pPr>
    </w:p>
    <w:p w14:paraId="7E83E3B3">
      <w:pPr>
        <w:widowControl w:val="0"/>
        <w:ind w:firstLine="0" w:firstLineChars="0"/>
        <w:jc w:val="center"/>
        <w:rPr>
          <w:rFonts w:ascii="楷体_GB2312" w:hAnsi="楷体_GB2312" w:eastAsia="楷体_GB2312" w:cs="楷体_GB2312"/>
          <w:color w:val="000000"/>
          <w:sz w:val="36"/>
          <w:szCs w:val="36"/>
        </w:rPr>
      </w:pPr>
      <w:r>
        <w:rPr>
          <w:rFonts w:hint="eastAsia" w:ascii="楷体_GB2312" w:hAnsi="楷体_GB2312" w:eastAsia="楷体_GB2312" w:cs="楷体_GB2312"/>
          <w:color w:val="000000"/>
          <w:sz w:val="36"/>
          <w:szCs w:val="36"/>
        </w:rPr>
        <w:br w:type="page"/>
      </w:r>
    </w:p>
    <w:p w14:paraId="4E0FFD0E">
      <w:pPr>
        <w:widowControl w:val="0"/>
        <w:ind w:firstLine="0" w:firstLineChars="0"/>
        <w:jc w:val="center"/>
        <w:rPr>
          <w:rFonts w:ascii="楷体_GB2312" w:hAnsi="楷体_GB2312" w:eastAsia="楷体_GB2312" w:cs="楷体_GB2312"/>
          <w:color w:val="000000"/>
          <w:sz w:val="36"/>
          <w:szCs w:val="36"/>
        </w:rPr>
      </w:pPr>
    </w:p>
    <w:p w14:paraId="4C7718C7">
      <w:pPr>
        <w:widowControl w:val="0"/>
        <w:ind w:firstLine="0" w:firstLineChars="0"/>
        <w:jc w:val="center"/>
        <w:rPr>
          <w:rFonts w:ascii="方正小标宋_GBK" w:hAnsi="黑体" w:eastAsia="方正小标宋_GBK" w:cs="黑体"/>
          <w:color w:val="000000"/>
          <w:sz w:val="44"/>
          <w:szCs w:val="44"/>
        </w:rPr>
      </w:pPr>
      <w:r>
        <w:rPr>
          <w:rFonts w:hint="eastAsia" w:ascii="方正小标宋_GBK" w:hAnsi="黑体" w:eastAsia="方正小标宋_GBK" w:cs="黑体"/>
          <w:color w:val="000000"/>
          <w:sz w:val="44"/>
          <w:szCs w:val="44"/>
        </w:rPr>
        <w:t>目　录</w:t>
      </w:r>
    </w:p>
    <w:p w14:paraId="4784BBB9">
      <w:pPr>
        <w:widowControl w:val="0"/>
        <w:tabs>
          <w:tab w:val="right" w:leader="middleDot" w:pos="6400"/>
          <w:tab w:val="right" w:leader="middleDot" w:pos="12800"/>
        </w:tabs>
        <w:ind w:firstLine="0" w:firstLineChars="0"/>
        <w:rPr>
          <w:rFonts w:ascii="Times New Roman" w:hAnsi="Times New Roman" w:eastAsia="仿宋_GB2312" w:cs="Times New Roman"/>
          <w:color w:val="000000"/>
          <w:szCs w:val="32"/>
        </w:rPr>
      </w:pPr>
    </w:p>
    <w:p w14:paraId="0B094F7F">
      <w:pPr>
        <w:widowControl w:val="0"/>
        <w:tabs>
          <w:tab w:val="right" w:leader="middleDot" w:pos="8800"/>
        </w:tabs>
        <w:ind w:firstLine="0" w:firstLineChars="0"/>
        <w:rPr>
          <w:rFonts w:ascii="Times New Roman" w:hAnsi="Times New Roman" w:eastAsia="方正黑体_GBK" w:cs="Times New Roman"/>
          <w:color w:val="000000"/>
          <w:szCs w:val="32"/>
        </w:rPr>
      </w:pPr>
      <w:r>
        <w:rPr>
          <w:rFonts w:ascii="Times New Roman" w:hAnsi="Times New Roman" w:eastAsia="方正黑体_GBK" w:cs="Times New Roman"/>
          <w:color w:val="000000"/>
          <w:szCs w:val="32"/>
        </w:rPr>
        <w:t>一、全面建成小康社会，开启临空黄石港现代化建设新征程</w:t>
      </w:r>
      <w:r>
        <w:rPr>
          <w:rFonts w:ascii="Times New Roman" w:hAnsi="Times New Roman" w:eastAsia="方正黑体_GBK" w:cs="Times New Roman"/>
          <w:color w:val="000000"/>
          <w:szCs w:val="32"/>
        </w:rPr>
        <w:tab/>
      </w:r>
      <w:r>
        <w:rPr>
          <w:rFonts w:ascii="Times New Roman" w:hAnsi="Times New Roman" w:eastAsia="方正黑体_GBK" w:cs="Times New Roman"/>
          <w:color w:val="000000"/>
          <w:szCs w:val="32"/>
        </w:rPr>
        <w:t>1</w:t>
      </w:r>
    </w:p>
    <w:p w14:paraId="46C5421D">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（一）发展基础</w:t>
      </w:r>
      <w:r>
        <w:rPr>
          <w:rFonts w:ascii="Times New Roman" w:hAnsi="Times New Roman" w:eastAsia="仿宋_GB2312" w:cs="Times New Roman"/>
          <w:color w:val="000000"/>
          <w:szCs w:val="32"/>
        </w:rPr>
        <w:tab/>
      </w:r>
      <w:r>
        <w:rPr>
          <w:rFonts w:ascii="Times New Roman" w:hAnsi="Times New Roman" w:eastAsia="仿宋_GB2312" w:cs="Times New Roman"/>
          <w:color w:val="000000"/>
          <w:szCs w:val="32"/>
        </w:rPr>
        <w:t>1</w:t>
      </w:r>
    </w:p>
    <w:p w14:paraId="0386D8E7">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（二）发展环境</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8</w:t>
      </w:r>
    </w:p>
    <w:p w14:paraId="0153D242">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（三）总体要求和发展目标</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10</w:t>
      </w:r>
    </w:p>
    <w:p w14:paraId="59C7BA07">
      <w:pPr>
        <w:widowControl w:val="0"/>
        <w:tabs>
          <w:tab w:val="right" w:leader="middleDot" w:pos="8800"/>
        </w:tabs>
        <w:ind w:firstLine="0" w:firstLineChars="0"/>
        <w:rPr>
          <w:rFonts w:ascii="Times New Roman" w:hAnsi="Times New Roman" w:eastAsia="方正黑体_GBK" w:cs="Times New Roman"/>
          <w:color w:val="000000"/>
          <w:szCs w:val="32"/>
        </w:rPr>
      </w:pPr>
      <w:r>
        <w:rPr>
          <w:rFonts w:ascii="Times New Roman" w:hAnsi="Times New Roman" w:eastAsia="方正黑体_GBK" w:cs="Times New Roman"/>
          <w:color w:val="000000"/>
          <w:szCs w:val="32"/>
        </w:rPr>
        <w:t>二、优化区域布局，建设全域临空先行区</w:t>
      </w:r>
      <w:r>
        <w:rPr>
          <w:rFonts w:ascii="Times New Roman" w:hAnsi="Times New Roman" w:eastAsia="方正黑体_GBK" w:cs="Times New Roman"/>
          <w:color w:val="000000"/>
          <w:szCs w:val="32"/>
        </w:rPr>
        <w:tab/>
      </w:r>
      <w:r>
        <w:rPr>
          <w:rFonts w:ascii="Times New Roman" w:hAnsi="Times New Roman" w:eastAsia="方正黑体_GBK" w:cs="Times New Roman"/>
          <w:color w:val="000000"/>
          <w:szCs w:val="32"/>
        </w:rPr>
        <w:t>1</w:t>
      </w:r>
      <w:r>
        <w:rPr>
          <w:rFonts w:hint="eastAsia" w:ascii="Times New Roman" w:hAnsi="Times New Roman" w:eastAsia="方正黑体_GBK" w:cs="Times New Roman"/>
          <w:color w:val="000000"/>
          <w:szCs w:val="32"/>
        </w:rPr>
        <w:t>7</w:t>
      </w:r>
    </w:p>
    <w:p w14:paraId="1F7426D0">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（一）融入区域一体化发展格局</w:t>
      </w:r>
      <w:r>
        <w:rPr>
          <w:rFonts w:ascii="Times New Roman" w:hAnsi="Times New Roman" w:eastAsia="仿宋_GB2312" w:cs="Times New Roman"/>
          <w:color w:val="000000"/>
          <w:szCs w:val="32"/>
        </w:rPr>
        <w:tab/>
      </w:r>
      <w:r>
        <w:rPr>
          <w:rFonts w:ascii="Times New Roman" w:hAnsi="Times New Roman" w:eastAsia="仿宋_GB2312" w:cs="Times New Roman"/>
          <w:color w:val="000000"/>
          <w:szCs w:val="32"/>
        </w:rPr>
        <w:t>1</w:t>
      </w:r>
      <w:r>
        <w:rPr>
          <w:rFonts w:hint="eastAsia" w:ascii="Times New Roman" w:hAnsi="Times New Roman" w:eastAsia="仿宋_GB2312" w:cs="Times New Roman"/>
          <w:color w:val="000000"/>
          <w:szCs w:val="32"/>
        </w:rPr>
        <w:t>7</w:t>
      </w:r>
    </w:p>
    <w:p w14:paraId="27CB879A">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（二）构建“两园两带”发展布局</w:t>
      </w:r>
      <w:r>
        <w:rPr>
          <w:rFonts w:ascii="Times New Roman" w:hAnsi="Times New Roman" w:eastAsia="仿宋_GB2312" w:cs="Times New Roman"/>
          <w:color w:val="000000"/>
          <w:szCs w:val="32"/>
        </w:rPr>
        <w:tab/>
      </w:r>
      <w:r>
        <w:rPr>
          <w:rFonts w:ascii="Times New Roman" w:hAnsi="Times New Roman" w:eastAsia="仿宋_GB2312" w:cs="Times New Roman"/>
          <w:color w:val="000000"/>
          <w:szCs w:val="32"/>
        </w:rPr>
        <w:t>1</w:t>
      </w:r>
      <w:r>
        <w:rPr>
          <w:rFonts w:hint="eastAsia" w:ascii="Times New Roman" w:hAnsi="Times New Roman" w:eastAsia="仿宋_GB2312" w:cs="Times New Roman"/>
          <w:color w:val="000000"/>
          <w:szCs w:val="32"/>
        </w:rPr>
        <w:t>7</w:t>
      </w:r>
    </w:p>
    <w:p w14:paraId="533EEBCE">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（三）打造全域临空体系</w:t>
      </w:r>
      <w:r>
        <w:rPr>
          <w:rFonts w:ascii="Times New Roman" w:hAnsi="Times New Roman" w:eastAsia="仿宋_GB2312" w:cs="Times New Roman"/>
          <w:color w:val="000000"/>
          <w:szCs w:val="32"/>
        </w:rPr>
        <w:tab/>
      </w:r>
      <w:r>
        <w:rPr>
          <w:rFonts w:ascii="Times New Roman" w:hAnsi="Times New Roman" w:eastAsia="仿宋_GB2312" w:cs="Times New Roman"/>
          <w:color w:val="000000"/>
          <w:szCs w:val="32"/>
        </w:rPr>
        <w:t>1</w:t>
      </w:r>
      <w:r>
        <w:rPr>
          <w:rFonts w:hint="eastAsia" w:ascii="Times New Roman" w:hAnsi="Times New Roman" w:eastAsia="仿宋_GB2312" w:cs="Times New Roman"/>
          <w:color w:val="000000"/>
          <w:szCs w:val="32"/>
        </w:rPr>
        <w:t>8</w:t>
      </w:r>
    </w:p>
    <w:p w14:paraId="707186F7">
      <w:pPr>
        <w:widowControl w:val="0"/>
        <w:tabs>
          <w:tab w:val="right" w:leader="middleDot" w:pos="8800"/>
        </w:tabs>
        <w:ind w:firstLine="0" w:firstLineChars="0"/>
        <w:rPr>
          <w:rFonts w:ascii="Times New Roman" w:hAnsi="Times New Roman" w:eastAsia="方正黑体_GBK" w:cs="Times New Roman"/>
          <w:color w:val="000000"/>
          <w:szCs w:val="32"/>
        </w:rPr>
      </w:pPr>
      <w:r>
        <w:rPr>
          <w:rFonts w:ascii="Times New Roman" w:hAnsi="Times New Roman" w:eastAsia="方正黑体_GBK" w:cs="Times New Roman"/>
          <w:color w:val="000000"/>
          <w:szCs w:val="32"/>
        </w:rPr>
        <w:t>三、推进科创临空，塑造高质量发展强大动能</w:t>
      </w:r>
      <w:r>
        <w:rPr>
          <w:rFonts w:ascii="Times New Roman" w:hAnsi="Times New Roman" w:eastAsia="方正黑体_GBK" w:cs="Times New Roman"/>
          <w:color w:val="000000"/>
          <w:szCs w:val="32"/>
        </w:rPr>
        <w:tab/>
      </w:r>
      <w:r>
        <w:rPr>
          <w:rFonts w:hint="eastAsia" w:ascii="Times New Roman" w:hAnsi="Times New Roman" w:eastAsia="方正黑体_GBK" w:cs="Times New Roman"/>
          <w:color w:val="000000"/>
          <w:szCs w:val="32"/>
        </w:rPr>
        <w:t>20</w:t>
      </w:r>
    </w:p>
    <w:p w14:paraId="6C76778C">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（一）加强对接光谷科创大走廊</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21</w:t>
      </w:r>
    </w:p>
    <w:p w14:paraId="5C4E4638">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（二）激发人才创新创业活力</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21</w:t>
      </w:r>
    </w:p>
    <w:p w14:paraId="722B54E8">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（三）推进创新创业平台建设</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22</w:t>
      </w:r>
    </w:p>
    <w:p w14:paraId="7EEEF6CA">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（四）强化企业创新主体地位</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22</w:t>
      </w:r>
    </w:p>
    <w:p w14:paraId="47F79BB3">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（五）强化知识产权保护</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22</w:t>
      </w:r>
    </w:p>
    <w:p w14:paraId="7530AAF6">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（六）营造良好创新氛围</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23</w:t>
      </w:r>
    </w:p>
    <w:p w14:paraId="10139D72">
      <w:pPr>
        <w:widowControl w:val="0"/>
        <w:tabs>
          <w:tab w:val="right" w:leader="middleDot" w:pos="8800"/>
        </w:tabs>
        <w:ind w:firstLine="0" w:firstLineChars="0"/>
        <w:rPr>
          <w:rFonts w:ascii="Times New Roman" w:hAnsi="Times New Roman" w:eastAsia="方正黑体_GBK" w:cs="Times New Roman"/>
          <w:color w:val="000000"/>
          <w:szCs w:val="32"/>
        </w:rPr>
      </w:pPr>
      <w:r>
        <w:rPr>
          <w:rFonts w:ascii="Times New Roman" w:hAnsi="Times New Roman" w:eastAsia="方正黑体_GBK" w:cs="Times New Roman"/>
          <w:color w:val="000000"/>
          <w:szCs w:val="32"/>
        </w:rPr>
        <w:t>四、推进产业临空，争创全国现代服务业试验区</w:t>
      </w:r>
      <w:r>
        <w:rPr>
          <w:rFonts w:ascii="Times New Roman" w:hAnsi="Times New Roman" w:eastAsia="方正黑体_GBK" w:cs="Times New Roman"/>
          <w:color w:val="000000"/>
          <w:szCs w:val="32"/>
        </w:rPr>
        <w:tab/>
      </w:r>
      <w:r>
        <w:rPr>
          <w:rFonts w:hint="eastAsia" w:ascii="Times New Roman" w:hAnsi="Times New Roman" w:eastAsia="方正黑体_GBK" w:cs="Times New Roman"/>
          <w:color w:val="000000"/>
          <w:szCs w:val="32"/>
        </w:rPr>
        <w:t>23</w:t>
      </w:r>
    </w:p>
    <w:p w14:paraId="47900EC1">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（一）努力构建临空现代服务业新业态</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23</w:t>
      </w:r>
    </w:p>
    <w:p w14:paraId="25F9E75D">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（二）大力促进传统服务业转型升级</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23</w:t>
      </w:r>
    </w:p>
    <w:p w14:paraId="26724CE2">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（三）</w:t>
      </w:r>
      <w:r>
        <w:rPr>
          <w:rFonts w:ascii="Times New Roman" w:cs="Times New Roman"/>
        </w:rPr>
        <w:t>重点发展十大产业</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24</w:t>
      </w:r>
    </w:p>
    <w:p w14:paraId="22656C60">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（四）着力打造现代服务业发展平台</w:t>
      </w:r>
      <w:r>
        <w:rPr>
          <w:rFonts w:ascii="Times New Roman" w:hAnsi="Times New Roman" w:eastAsia="仿宋_GB2312" w:cs="Times New Roman"/>
          <w:color w:val="000000"/>
          <w:szCs w:val="32"/>
        </w:rPr>
        <w:tab/>
      </w:r>
      <w:r>
        <w:rPr>
          <w:rFonts w:ascii="Times New Roman" w:hAnsi="Times New Roman" w:eastAsia="仿宋_GB2312" w:cs="Times New Roman"/>
          <w:color w:val="000000"/>
          <w:szCs w:val="32"/>
        </w:rPr>
        <w:t>2</w:t>
      </w:r>
      <w:r>
        <w:rPr>
          <w:rFonts w:hint="eastAsia" w:ascii="Times New Roman" w:hAnsi="Times New Roman" w:eastAsia="仿宋_GB2312" w:cs="Times New Roman"/>
          <w:color w:val="000000"/>
          <w:szCs w:val="32"/>
        </w:rPr>
        <w:t>7</w:t>
      </w:r>
    </w:p>
    <w:p w14:paraId="544B9EE4">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（五）积极促进二三产业融合发展</w:t>
      </w:r>
      <w:r>
        <w:rPr>
          <w:rFonts w:ascii="Times New Roman" w:hAnsi="Times New Roman" w:eastAsia="仿宋_GB2312" w:cs="Times New Roman"/>
          <w:color w:val="000000"/>
          <w:szCs w:val="32"/>
        </w:rPr>
        <w:tab/>
      </w:r>
      <w:r>
        <w:rPr>
          <w:rFonts w:ascii="Times New Roman" w:hAnsi="Times New Roman" w:eastAsia="仿宋_GB2312" w:cs="Times New Roman"/>
          <w:color w:val="000000"/>
          <w:szCs w:val="32"/>
        </w:rPr>
        <w:t>2</w:t>
      </w:r>
      <w:r>
        <w:rPr>
          <w:rFonts w:hint="eastAsia" w:ascii="Times New Roman" w:hAnsi="Times New Roman" w:eastAsia="仿宋_GB2312" w:cs="Times New Roman"/>
          <w:color w:val="000000"/>
          <w:szCs w:val="32"/>
        </w:rPr>
        <w:t>7</w:t>
      </w:r>
    </w:p>
    <w:p w14:paraId="17F7E3D2">
      <w:pPr>
        <w:widowControl w:val="0"/>
        <w:tabs>
          <w:tab w:val="right" w:leader="middleDot" w:pos="8800"/>
        </w:tabs>
        <w:ind w:firstLine="0" w:firstLineChars="0"/>
        <w:rPr>
          <w:rFonts w:ascii="Times New Roman" w:hAnsi="Times New Roman" w:eastAsia="方正黑体_GBK" w:cs="Times New Roman"/>
          <w:color w:val="000000"/>
          <w:szCs w:val="32"/>
        </w:rPr>
      </w:pPr>
      <w:r>
        <w:rPr>
          <w:rFonts w:ascii="Times New Roman" w:hAnsi="Times New Roman" w:eastAsia="方正黑体_GBK" w:cs="Times New Roman"/>
          <w:color w:val="000000"/>
          <w:szCs w:val="32"/>
        </w:rPr>
        <w:t>五、推进智慧临空，加快城市更新提质</w:t>
      </w:r>
      <w:r>
        <w:rPr>
          <w:rFonts w:ascii="Times New Roman" w:hAnsi="Times New Roman" w:eastAsia="方正黑体_GBK" w:cs="Times New Roman"/>
          <w:color w:val="000000"/>
          <w:szCs w:val="32"/>
        </w:rPr>
        <w:tab/>
      </w:r>
      <w:r>
        <w:rPr>
          <w:rFonts w:ascii="Times New Roman" w:hAnsi="Times New Roman" w:eastAsia="方正黑体_GBK" w:cs="Times New Roman"/>
          <w:color w:val="000000"/>
          <w:szCs w:val="32"/>
        </w:rPr>
        <w:t>2</w:t>
      </w:r>
      <w:r>
        <w:rPr>
          <w:rFonts w:hint="eastAsia" w:ascii="Times New Roman" w:hAnsi="Times New Roman" w:eastAsia="方正黑体_GBK" w:cs="Times New Roman"/>
          <w:color w:val="000000"/>
          <w:szCs w:val="32"/>
        </w:rPr>
        <w:t>9</w:t>
      </w:r>
    </w:p>
    <w:p w14:paraId="4D6F6219">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（一）实施城市更新行动</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29</w:t>
      </w:r>
    </w:p>
    <w:p w14:paraId="56FF9E7D">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（二）</w:t>
      </w:r>
      <w:r>
        <w:rPr>
          <w:rFonts w:ascii="Times New Roman" w:cs="Times New Roman"/>
        </w:rPr>
        <w:t>强力推进城市</w:t>
      </w:r>
      <w:r>
        <w:rPr>
          <w:rFonts w:ascii="Times New Roman" w:hAnsi="Times New Roman" w:cs="Times New Roman"/>
        </w:rPr>
        <w:t>“</w:t>
      </w:r>
      <w:r>
        <w:rPr>
          <w:rFonts w:ascii="Times New Roman" w:cs="Times New Roman"/>
        </w:rPr>
        <w:t>双修</w:t>
      </w:r>
      <w:r>
        <w:rPr>
          <w:rFonts w:ascii="Times New Roman" w:hAnsi="Times New Roman" w:cs="Times New Roman"/>
        </w:rPr>
        <w:t>”</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29</w:t>
      </w:r>
    </w:p>
    <w:p w14:paraId="73414006">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（三）大力推进智慧城市建设</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30</w:t>
      </w:r>
    </w:p>
    <w:p w14:paraId="042003FD">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（四）加快构建城市交通快速枢纽</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30</w:t>
      </w:r>
    </w:p>
    <w:p w14:paraId="7A7D0B00">
      <w:pPr>
        <w:widowControl w:val="0"/>
        <w:tabs>
          <w:tab w:val="right" w:leader="middleDot" w:pos="8800"/>
        </w:tabs>
        <w:ind w:firstLine="0" w:firstLineChars="0"/>
        <w:rPr>
          <w:rFonts w:ascii="Times New Roman" w:hAnsi="Times New Roman" w:eastAsia="方正黑体_GBK" w:cs="Times New Roman"/>
          <w:color w:val="000000"/>
          <w:szCs w:val="32"/>
        </w:rPr>
      </w:pPr>
      <w:r>
        <w:rPr>
          <w:rFonts w:ascii="Times New Roman" w:hAnsi="Times New Roman" w:eastAsia="方正黑体_GBK" w:cs="Times New Roman"/>
          <w:color w:val="000000"/>
          <w:szCs w:val="32"/>
        </w:rPr>
        <w:t>六、推进生态临空，打造长江经济带绿色发展示范区</w:t>
      </w:r>
      <w:r>
        <w:rPr>
          <w:rFonts w:ascii="Times New Roman" w:hAnsi="Times New Roman" w:eastAsia="方正黑体_GBK" w:cs="Times New Roman"/>
          <w:color w:val="000000"/>
          <w:szCs w:val="32"/>
        </w:rPr>
        <w:tab/>
      </w:r>
      <w:r>
        <w:rPr>
          <w:rFonts w:hint="eastAsia" w:ascii="Times New Roman" w:hAnsi="Times New Roman" w:eastAsia="方正黑体_GBK" w:cs="Times New Roman"/>
          <w:color w:val="000000"/>
          <w:szCs w:val="32"/>
        </w:rPr>
        <w:t>31</w:t>
      </w:r>
    </w:p>
    <w:p w14:paraId="5097E25C">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（一）全力推进长江大保护</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32</w:t>
      </w:r>
    </w:p>
    <w:p w14:paraId="7FBE020C">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（二）加快推进区域生态治理和建设</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32</w:t>
      </w:r>
    </w:p>
    <w:p w14:paraId="50C21DC4">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（三）大力推动绿色低碳发展</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33</w:t>
      </w:r>
    </w:p>
    <w:p w14:paraId="239399B9">
      <w:pPr>
        <w:widowControl w:val="0"/>
        <w:tabs>
          <w:tab w:val="right" w:leader="middleDot" w:pos="8800"/>
        </w:tabs>
        <w:ind w:firstLine="0" w:firstLineChars="0"/>
        <w:rPr>
          <w:rFonts w:ascii="Times New Roman" w:hAnsi="Times New Roman" w:eastAsia="方正黑体_GBK" w:cs="Times New Roman"/>
          <w:color w:val="000000"/>
          <w:szCs w:val="32"/>
        </w:rPr>
      </w:pPr>
      <w:r>
        <w:rPr>
          <w:rFonts w:ascii="Times New Roman" w:hAnsi="Times New Roman" w:eastAsia="方正黑体_GBK" w:cs="Times New Roman"/>
          <w:color w:val="000000"/>
          <w:szCs w:val="32"/>
        </w:rPr>
        <w:t>七、推进人文临空，创造美好生活引领区</w:t>
      </w:r>
      <w:r>
        <w:rPr>
          <w:rFonts w:ascii="Times New Roman" w:hAnsi="Times New Roman" w:eastAsia="方正黑体_GBK" w:cs="Times New Roman"/>
          <w:color w:val="000000"/>
          <w:szCs w:val="32"/>
        </w:rPr>
        <w:tab/>
      </w:r>
      <w:r>
        <w:rPr>
          <w:rFonts w:hint="eastAsia" w:ascii="Times New Roman" w:hAnsi="Times New Roman" w:eastAsia="方正黑体_GBK" w:cs="Times New Roman"/>
          <w:color w:val="000000"/>
          <w:szCs w:val="32"/>
        </w:rPr>
        <w:t>33</w:t>
      </w:r>
    </w:p>
    <w:p w14:paraId="4B952A03">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（一）打造全省教育示范强区</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33</w:t>
      </w:r>
    </w:p>
    <w:p w14:paraId="08B3EB0E">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（二）打造现代医疗服务体系</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34</w:t>
      </w:r>
    </w:p>
    <w:p w14:paraId="27D0F6E9">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（三）提升公共文化服务水平</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35</w:t>
      </w:r>
    </w:p>
    <w:p w14:paraId="216E6AE5">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（四）大力发展体育事业</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35</w:t>
      </w:r>
    </w:p>
    <w:p w14:paraId="39239542">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（五）构建高质量社会保障体系</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36</w:t>
      </w:r>
    </w:p>
    <w:p w14:paraId="772CAA89">
      <w:pPr>
        <w:widowControl w:val="0"/>
        <w:tabs>
          <w:tab w:val="right" w:leader="middleDot" w:pos="8800"/>
        </w:tabs>
        <w:ind w:firstLine="0" w:firstLineChars="0"/>
        <w:rPr>
          <w:rFonts w:ascii="Times New Roman" w:hAnsi="Times New Roman" w:eastAsia="方正黑体_GBK" w:cs="Times New Roman"/>
          <w:color w:val="000000"/>
          <w:szCs w:val="32"/>
        </w:rPr>
      </w:pPr>
      <w:r>
        <w:rPr>
          <w:rFonts w:ascii="Times New Roman" w:hAnsi="Times New Roman" w:eastAsia="方正黑体_GBK" w:cs="Times New Roman"/>
          <w:color w:val="000000"/>
          <w:szCs w:val="32"/>
        </w:rPr>
        <w:t>八、聚焦重点领域改革，健全高质量发展体制机制</w:t>
      </w:r>
      <w:r>
        <w:rPr>
          <w:rFonts w:ascii="Times New Roman" w:hAnsi="Times New Roman" w:eastAsia="方正黑体_GBK" w:cs="Times New Roman"/>
          <w:color w:val="000000"/>
          <w:szCs w:val="32"/>
        </w:rPr>
        <w:tab/>
      </w:r>
      <w:r>
        <w:rPr>
          <w:rFonts w:hint="eastAsia" w:ascii="Times New Roman" w:hAnsi="Times New Roman" w:eastAsia="方正黑体_GBK" w:cs="Times New Roman"/>
          <w:color w:val="000000"/>
          <w:szCs w:val="32"/>
        </w:rPr>
        <w:t>37</w:t>
      </w:r>
    </w:p>
    <w:p w14:paraId="6FAD5BEA">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（一）深化行政体制改革</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37</w:t>
      </w:r>
    </w:p>
    <w:p w14:paraId="1113900A">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（二）建立完善经济发展体制机制</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38</w:t>
      </w:r>
    </w:p>
    <w:p w14:paraId="681A6E4B">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（三）深入推进社会领域改革</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39</w:t>
      </w:r>
    </w:p>
    <w:p w14:paraId="12C9A01D">
      <w:pPr>
        <w:widowControl w:val="0"/>
        <w:tabs>
          <w:tab w:val="right" w:leader="middleDot" w:pos="8800"/>
        </w:tabs>
        <w:ind w:firstLine="0" w:firstLineChars="0"/>
        <w:rPr>
          <w:rFonts w:ascii="Times New Roman" w:hAnsi="Times New Roman" w:eastAsia="方正黑体_GBK" w:cs="Times New Roman"/>
          <w:color w:val="000000"/>
          <w:szCs w:val="32"/>
        </w:rPr>
      </w:pPr>
      <w:r>
        <w:rPr>
          <w:rFonts w:ascii="Times New Roman" w:hAnsi="Times New Roman" w:eastAsia="方正黑体_GBK" w:cs="Times New Roman"/>
          <w:color w:val="000000"/>
          <w:szCs w:val="32"/>
        </w:rPr>
        <w:t>九、完善区域治理体系，营造安全稳定发展环境</w:t>
      </w:r>
      <w:r>
        <w:rPr>
          <w:rFonts w:ascii="Times New Roman" w:hAnsi="Times New Roman" w:eastAsia="方正黑体_GBK" w:cs="Times New Roman"/>
          <w:color w:val="000000"/>
          <w:szCs w:val="32"/>
        </w:rPr>
        <w:tab/>
      </w:r>
      <w:r>
        <w:rPr>
          <w:rFonts w:hint="eastAsia" w:ascii="Times New Roman" w:hAnsi="Times New Roman" w:eastAsia="方正黑体_GBK" w:cs="Times New Roman"/>
          <w:color w:val="000000"/>
          <w:szCs w:val="32"/>
        </w:rPr>
        <w:t>40</w:t>
      </w:r>
    </w:p>
    <w:p w14:paraId="36E2172D">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（一）推进社会主义民主政治建设</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40</w:t>
      </w:r>
    </w:p>
    <w:p w14:paraId="4BFE7F95">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（二）提升依法治区能力</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41</w:t>
      </w:r>
    </w:p>
    <w:p w14:paraId="59138E83">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（三）完善权力运行制约和监督机制</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42</w:t>
      </w:r>
    </w:p>
    <w:p w14:paraId="23C374C5">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（四）构建社会治理现代化格局</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43</w:t>
      </w:r>
    </w:p>
    <w:p w14:paraId="272BEB01">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（五）维护社会大局平安和谐稳定</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45</w:t>
      </w:r>
    </w:p>
    <w:p w14:paraId="1362E142">
      <w:pPr>
        <w:widowControl w:val="0"/>
        <w:tabs>
          <w:tab w:val="right" w:leader="middleDot" w:pos="8800"/>
        </w:tabs>
        <w:ind w:firstLine="0" w:firstLineChars="0"/>
        <w:rPr>
          <w:rFonts w:ascii="Times New Roman" w:hAnsi="Times New Roman" w:eastAsia="方正黑体_GBK" w:cs="Times New Roman"/>
          <w:color w:val="000000"/>
          <w:szCs w:val="32"/>
        </w:rPr>
      </w:pPr>
      <w:r>
        <w:rPr>
          <w:rFonts w:ascii="Times New Roman" w:hAnsi="Times New Roman" w:eastAsia="方正黑体_GBK" w:cs="Times New Roman"/>
          <w:color w:val="000000"/>
          <w:szCs w:val="32"/>
        </w:rPr>
        <w:t>十、全面加强党的领导，保障规划实施落到实处</w:t>
      </w:r>
      <w:r>
        <w:rPr>
          <w:rFonts w:ascii="Times New Roman" w:hAnsi="Times New Roman" w:eastAsia="方正黑体_GBK" w:cs="Times New Roman"/>
          <w:color w:val="000000"/>
          <w:szCs w:val="32"/>
        </w:rPr>
        <w:tab/>
      </w:r>
      <w:r>
        <w:rPr>
          <w:rFonts w:hint="eastAsia" w:ascii="Times New Roman" w:hAnsi="Times New Roman" w:eastAsia="方正黑体_GBK" w:cs="Times New Roman"/>
          <w:color w:val="000000"/>
          <w:szCs w:val="32"/>
        </w:rPr>
        <w:t>46</w:t>
      </w:r>
    </w:p>
    <w:p w14:paraId="106E1038">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（一）加强组织领导</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46</w:t>
      </w:r>
    </w:p>
    <w:p w14:paraId="60BA2FE3">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（二）健全工作机制</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47</w:t>
      </w:r>
    </w:p>
    <w:p w14:paraId="3881BA85">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（三）强化项目支撑</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47</w:t>
      </w:r>
    </w:p>
    <w:p w14:paraId="421C1983">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（四）健全要素保障</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48</w:t>
      </w:r>
    </w:p>
    <w:p w14:paraId="6ED9A561">
      <w:pPr>
        <w:widowControl w:val="0"/>
        <w:tabs>
          <w:tab w:val="right" w:leader="middleDot" w:pos="8800"/>
        </w:tabs>
        <w:ind w:firstLine="640"/>
        <w:rPr>
          <w:rFonts w:ascii="Times New Roman" w:hAnsi="Times New Roman" w:eastAsia="仿宋_GB2312" w:cs="Times New Roman"/>
          <w:color w:val="000000"/>
          <w:szCs w:val="32"/>
        </w:rPr>
      </w:pPr>
      <w:r>
        <w:rPr>
          <w:rFonts w:ascii="Times New Roman" w:hAnsi="Times New Roman" w:eastAsia="仿宋_GB2312" w:cs="Times New Roman"/>
          <w:color w:val="000000"/>
          <w:szCs w:val="32"/>
        </w:rPr>
        <w:t>（五）科学评估时效</w:t>
      </w:r>
      <w:r>
        <w:rPr>
          <w:rFonts w:ascii="Times New Roman" w:hAnsi="Times New Roman" w:eastAsia="仿宋_GB2312" w:cs="Times New Roman"/>
          <w:color w:val="000000"/>
          <w:szCs w:val="32"/>
        </w:rPr>
        <w:tab/>
      </w:r>
      <w:r>
        <w:rPr>
          <w:rFonts w:hint="eastAsia" w:ascii="Times New Roman" w:hAnsi="Times New Roman" w:eastAsia="仿宋_GB2312" w:cs="Times New Roman"/>
          <w:color w:val="000000"/>
          <w:szCs w:val="32"/>
        </w:rPr>
        <w:t>48</w:t>
      </w:r>
    </w:p>
    <w:p w14:paraId="2F5300CB">
      <w:pPr>
        <w:widowControl w:val="0"/>
        <w:tabs>
          <w:tab w:val="right" w:leader="middleDot" w:pos="8960"/>
        </w:tabs>
        <w:ind w:firstLine="640"/>
        <w:rPr>
          <w:rFonts w:ascii="方正仿宋_GBK" w:hAnsi="方正仿宋_GBK" w:eastAsia="方正仿宋_GBK" w:cs="方正仿宋_GBK"/>
          <w:color w:val="000000"/>
          <w:szCs w:val="32"/>
        </w:rPr>
      </w:pPr>
    </w:p>
    <w:p w14:paraId="499885AD">
      <w:pPr>
        <w:widowControl w:val="0"/>
        <w:spacing w:line="560" w:lineRule="exact"/>
        <w:ind w:firstLine="640"/>
        <w:jc w:val="distribute"/>
        <w:rPr>
          <w:rFonts w:ascii="方正仿宋_GBK" w:hAnsi="方正仿宋_GBK" w:eastAsia="方正仿宋_GBK" w:cs="方正仿宋_GBK"/>
          <w:color w:val="000000"/>
          <w:szCs w:val="32"/>
        </w:rPr>
      </w:pPr>
    </w:p>
    <w:p w14:paraId="596EADCC">
      <w:pPr>
        <w:widowControl w:val="0"/>
        <w:spacing w:line="560" w:lineRule="exact"/>
        <w:ind w:firstLine="640"/>
        <w:jc w:val="distribute"/>
        <w:rPr>
          <w:rFonts w:ascii="方正仿宋_GBK" w:hAnsi="方正仿宋_GBK" w:eastAsia="方正仿宋_GBK" w:cs="方正仿宋_GBK"/>
          <w:color w:val="000000"/>
          <w:szCs w:val="32"/>
        </w:rPr>
      </w:pPr>
    </w:p>
    <w:p w14:paraId="2BDC0D29">
      <w:pPr>
        <w:widowControl w:val="0"/>
        <w:spacing w:line="560" w:lineRule="exact"/>
        <w:ind w:firstLine="640"/>
        <w:jc w:val="distribute"/>
        <w:rPr>
          <w:rFonts w:ascii="方正仿宋_GBK" w:hAnsi="方正仿宋_GBK" w:eastAsia="方正仿宋_GBK" w:cs="方正仿宋_GBK"/>
          <w:color w:val="000000"/>
          <w:szCs w:val="32"/>
        </w:rPr>
      </w:pPr>
    </w:p>
    <w:p w14:paraId="1E23644A">
      <w:pPr>
        <w:widowControl w:val="0"/>
        <w:spacing w:line="560" w:lineRule="exact"/>
        <w:ind w:firstLine="640"/>
        <w:jc w:val="distribute"/>
        <w:rPr>
          <w:rFonts w:ascii="方正仿宋_GBK" w:hAnsi="方正仿宋_GBK" w:eastAsia="方正仿宋_GBK" w:cs="方正仿宋_GBK"/>
          <w:color w:val="000000"/>
          <w:szCs w:val="32"/>
        </w:rPr>
      </w:pPr>
    </w:p>
    <w:p w14:paraId="434F0298">
      <w:pPr>
        <w:widowControl w:val="0"/>
        <w:spacing w:line="560" w:lineRule="exact"/>
        <w:ind w:firstLine="640"/>
        <w:jc w:val="distribute"/>
        <w:rPr>
          <w:rFonts w:ascii="方正仿宋_GBK" w:hAnsi="方正仿宋_GBK" w:eastAsia="方正仿宋_GBK" w:cs="方正仿宋_GBK"/>
          <w:color w:val="000000"/>
          <w:szCs w:val="32"/>
        </w:rPr>
      </w:pPr>
    </w:p>
    <w:p w14:paraId="05108F61">
      <w:pPr>
        <w:widowControl w:val="0"/>
        <w:spacing w:line="560" w:lineRule="exact"/>
        <w:ind w:firstLine="640"/>
        <w:jc w:val="distribute"/>
        <w:rPr>
          <w:rFonts w:ascii="方正仿宋_GBK" w:hAnsi="方正仿宋_GBK" w:eastAsia="方正仿宋_GBK" w:cs="方正仿宋_GBK"/>
          <w:color w:val="000000"/>
          <w:szCs w:val="32"/>
        </w:rPr>
      </w:pPr>
    </w:p>
    <w:p w14:paraId="772115C6">
      <w:pPr>
        <w:widowControl w:val="0"/>
        <w:spacing w:line="560" w:lineRule="exact"/>
        <w:ind w:firstLine="640"/>
        <w:rPr>
          <w:rFonts w:ascii="仿宋_GB2312" w:hAnsi="仿宋_GB2312" w:eastAsia="仿宋_GB2312" w:cs="仿宋_GB2312"/>
          <w:color w:val="000000"/>
          <w:szCs w:val="32"/>
        </w:rPr>
      </w:pPr>
    </w:p>
    <w:p w14:paraId="1CD8402C">
      <w:pPr>
        <w:widowControl w:val="0"/>
        <w:spacing w:line="560" w:lineRule="exact"/>
        <w:ind w:firstLine="640"/>
        <w:rPr>
          <w:color w:val="000000"/>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10" w:h="16840"/>
          <w:pgMar w:top="2098" w:right="1531" w:bottom="1984" w:left="1531" w:header="0" w:footer="915" w:gutter="0"/>
          <w:pgNumType w:start="1"/>
          <w:cols w:space="720" w:num="1"/>
          <w:docGrid w:type="lines" w:linePitch="436" w:charSpace="0"/>
        </w:sectPr>
      </w:pPr>
    </w:p>
    <w:p w14:paraId="4AB0561B">
      <w:pPr>
        <w:pStyle w:val="97"/>
        <w:ind w:firstLine="624"/>
      </w:pPr>
      <w:r>
        <w:rPr>
          <w:rFonts w:hint="eastAsia"/>
        </w:rPr>
        <w:t>“十四五”时期（2021-2025年）是我国开启全面建设社会主义现代化国家新征程、向第二个百年奋斗目标进军的第一个五年，也是黄石港区开启临空黄石港建设新征程的关键五年。在这一重要历史时期，必须胸怀“两个大局”，坚持以习近平新时代中国特色社会主义思想为指导，准确把握新发展阶段，深入贯彻新发展理念，加快融入新发展格局，抢抓“临空产业”发展机遇，科学谋划“十四五”全区经济社会发展，巩固全面建成小康社会成果，推进科创临空、产业临空、智慧临空、生态临空、人文临空战略，努力实现“四区”建设战略目标，谱写高质量发展新篇章。</w:t>
      </w:r>
    </w:p>
    <w:bookmarkEnd w:id="0"/>
    <w:p w14:paraId="6B83FEF7">
      <w:pPr>
        <w:pStyle w:val="2"/>
        <w:widowControl w:val="0"/>
        <w:spacing w:before="0" w:after="0" w:line="570" w:lineRule="exact"/>
        <w:ind w:firstLine="624"/>
        <w:rPr>
          <w:rFonts w:ascii="方正黑体_GBK" w:eastAsia="方正黑体_GBK"/>
          <w:bCs w:val="0"/>
          <w:color w:val="000000"/>
          <w:spacing w:val="-4"/>
        </w:rPr>
      </w:pPr>
      <w:bookmarkStart w:id="3" w:name="_Toc30768"/>
      <w:bookmarkStart w:id="4" w:name="_Toc394"/>
      <w:bookmarkStart w:id="5" w:name="_Toc30669"/>
      <w:bookmarkStart w:id="6" w:name="_Toc20897"/>
      <w:r>
        <w:rPr>
          <w:rFonts w:hint="eastAsia" w:ascii="方正黑体_GBK" w:eastAsia="方正黑体_GBK"/>
          <w:bCs w:val="0"/>
          <w:color w:val="000000"/>
          <w:spacing w:val="-4"/>
        </w:rPr>
        <w:t>一、</w:t>
      </w:r>
      <w:bookmarkEnd w:id="3"/>
      <w:bookmarkEnd w:id="4"/>
      <w:bookmarkEnd w:id="5"/>
      <w:bookmarkEnd w:id="6"/>
      <w:bookmarkStart w:id="7" w:name="_Toc56721346"/>
      <w:bookmarkStart w:id="8" w:name="_Toc527184503"/>
      <w:bookmarkStart w:id="9" w:name="_Toc56646718"/>
      <w:bookmarkStart w:id="10" w:name="_Toc528512725"/>
      <w:bookmarkStart w:id="11" w:name="_Toc527281663"/>
      <w:r>
        <w:rPr>
          <w:rFonts w:hint="eastAsia" w:ascii="方正黑体_GBK" w:eastAsia="方正黑体_GBK"/>
          <w:bCs w:val="0"/>
          <w:color w:val="000000"/>
          <w:spacing w:val="-4"/>
        </w:rPr>
        <w:t>全面建成小康社会，开启临空黄石港现代化建设新征程</w:t>
      </w:r>
    </w:p>
    <w:p w14:paraId="02D2135A">
      <w:pPr>
        <w:pStyle w:val="4"/>
        <w:widowControl w:val="0"/>
        <w:spacing w:line="570" w:lineRule="exact"/>
        <w:ind w:firstLine="640"/>
        <w:rPr>
          <w:rFonts w:ascii="楷体_GB2312"/>
          <w:b w:val="0"/>
          <w:bCs w:val="0"/>
          <w:color w:val="000000"/>
        </w:rPr>
      </w:pPr>
      <w:bookmarkStart w:id="12" w:name="_Toc30116"/>
      <w:bookmarkStart w:id="13" w:name="_Toc4875"/>
      <w:bookmarkStart w:id="14" w:name="_Toc11602"/>
      <w:bookmarkStart w:id="15" w:name="_Toc15748"/>
      <w:r>
        <w:rPr>
          <w:rFonts w:hint="eastAsia" w:ascii="楷体_GB2312"/>
          <w:b w:val="0"/>
          <w:bCs w:val="0"/>
          <w:color w:val="000000"/>
        </w:rPr>
        <w:t>（一）发展基础</w:t>
      </w:r>
      <w:bookmarkEnd w:id="7"/>
      <w:bookmarkEnd w:id="8"/>
      <w:bookmarkEnd w:id="9"/>
      <w:bookmarkEnd w:id="10"/>
      <w:bookmarkEnd w:id="11"/>
      <w:bookmarkEnd w:id="12"/>
      <w:bookmarkEnd w:id="13"/>
      <w:bookmarkEnd w:id="14"/>
      <w:bookmarkEnd w:id="15"/>
    </w:p>
    <w:p w14:paraId="79607D90">
      <w:pPr>
        <w:widowControl w:val="0"/>
        <w:spacing w:line="570" w:lineRule="exact"/>
        <w:ind w:firstLine="640"/>
        <w:rPr>
          <w:rFonts w:ascii="仿宋_GB2312" w:hAnsi="仿宋_GB2312" w:eastAsia="仿宋_GB2312" w:cs="仿宋_GB2312"/>
          <w:color w:val="000000"/>
        </w:rPr>
      </w:pPr>
      <w:bookmarkStart w:id="16" w:name="_Toc527184504"/>
      <w:bookmarkStart w:id="17" w:name="_Toc527281664"/>
      <w:bookmarkStart w:id="18" w:name="_Toc528316519"/>
      <w:r>
        <w:rPr>
          <w:rFonts w:hint="eastAsia" w:ascii="仿宋_GB2312" w:hAnsi="仿宋_GB2312" w:eastAsia="仿宋_GB2312" w:cs="仿宋_GB2312"/>
          <w:color w:val="000000"/>
        </w:rPr>
        <w:t>“十三五”以来，黄石港区以习近平新时代中国特色社会主义思想为指导，按照市委市政府提出的“五城</w:t>
      </w:r>
      <w:r>
        <w:rPr>
          <w:rStyle w:val="33"/>
          <w:rFonts w:hint="eastAsia" w:ascii="仿宋_GB2312" w:hAnsi="仿宋_GB2312" w:eastAsia="仿宋_GB2312" w:cs="仿宋_GB2312"/>
          <w:color w:val="000000"/>
        </w:rPr>
        <w:endnoteReference w:id="0"/>
      </w:r>
      <w:r>
        <w:rPr>
          <w:rFonts w:hint="eastAsia" w:ascii="仿宋_GB2312" w:hAnsi="仿宋_GB2312" w:eastAsia="仿宋_GB2312" w:cs="仿宋_GB2312"/>
          <w:color w:val="000000"/>
        </w:rPr>
        <w:t>”建设和“五大转型”工作要求，聚焦“四个中心”和建成现代化幸福城区，抓转型、推改革、强创新、促开放、优环境、惠民生，不忘初心，砥砺前行，抗击新冠肺炎疫情取得决定性成果，决胜全面建成小康社会可如期实现。</w:t>
      </w:r>
    </w:p>
    <w:bookmarkEnd w:id="16"/>
    <w:bookmarkEnd w:id="17"/>
    <w:bookmarkEnd w:id="18"/>
    <w:p w14:paraId="60B6DB2C">
      <w:pPr>
        <w:widowControl w:val="0"/>
        <w:spacing w:line="570" w:lineRule="exact"/>
        <w:ind w:firstLine="640"/>
        <w:rPr>
          <w:rFonts w:ascii="仿宋_GB2312" w:eastAsia="仿宋_GB2312"/>
        </w:rPr>
      </w:pPr>
      <w:bookmarkStart w:id="19" w:name="_Toc528512729"/>
      <w:r>
        <w:rPr>
          <w:rFonts w:hint="eastAsia" w:ascii="仿宋_GB2312" w:hAnsi="仿宋_GB2312" w:eastAsia="仿宋_GB2312" w:cs="仿宋_GB2312"/>
          <w:color w:val="000000"/>
        </w:rPr>
        <w:t>1.高质量发展迈出坚实步伐。全区生产总值达208.59亿元、年均增长4.05%，较“十二五”时期提高31.22%。服务业发展步入全省城区前列，服务业增加值占GDP比重已达79.8%，在全省仅次于武汉江汉区。连续两年荣获</w:t>
      </w:r>
      <w:r>
        <w:rPr>
          <w:rFonts w:hint="eastAsia" w:ascii="仿宋_GB2312" w:eastAsia="仿宋_GB2312"/>
        </w:rPr>
        <w:t>“全省服务业突出贡献奖”</w:t>
      </w:r>
      <w:r>
        <w:rPr>
          <w:rFonts w:hint="eastAsia" w:ascii="仿宋_GB2312" w:hAnsi="仿宋_GB2312" w:eastAsia="仿宋_GB2312" w:cs="仿宋_GB2312"/>
          <w:color w:val="000000"/>
        </w:rPr>
        <w:t>。以湖北</w:t>
      </w:r>
      <w:r>
        <w:rPr>
          <w:rFonts w:hint="eastAsia" w:ascii="仿宋_GB2312" w:eastAsia="仿宋_GB2312"/>
          <w:color w:val="000000"/>
          <w:szCs w:val="32"/>
        </w:rPr>
        <w:t>鄂东人力资源服务产业园、</w:t>
      </w:r>
      <w:r>
        <w:rPr>
          <w:rFonts w:hint="eastAsia" w:ascii="仿宋_GB2312" w:hAnsi="仿宋_GB2312" w:eastAsia="仿宋_GB2312" w:cs="仿宋_GB2312"/>
          <w:color w:val="000000"/>
        </w:rPr>
        <w:t>花湖电商产业园、万达双塔写字楼、中南文化产业园等特色楼宇为代表的楼宇经济发展势头良好，万达、摩尔城两大商圈引领全市。工业结构进一步优化，科技创新实力不断增强，荣获国家知识产权强县工程优秀试点区。2020年</w:t>
      </w:r>
      <w:r>
        <w:rPr>
          <w:rFonts w:hint="eastAsia" w:ascii="仿宋_GB2312" w:eastAsia="仿宋_GB2312"/>
        </w:rPr>
        <w:t>纳税满意度调查荣获全省第一，</w:t>
      </w:r>
      <w:r>
        <w:rPr>
          <w:rFonts w:hint="eastAsia" w:ascii="仿宋_GB2312" w:hAnsi="仿宋_GB2312" w:eastAsia="仿宋_GB2312" w:cs="仿宋_GB2312"/>
          <w:color w:val="000000"/>
        </w:rPr>
        <w:t>财政管理绩效考核多次位居全市前列</w:t>
      </w:r>
      <w:r>
        <w:rPr>
          <w:rFonts w:hint="eastAsia" w:ascii="仿宋_GB2312" w:eastAsia="仿宋_GB2312"/>
        </w:rPr>
        <w:t>。</w:t>
      </w:r>
    </w:p>
    <w:p w14:paraId="6114DB73">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2、改革创新开创新局面。稳妥完成新一轮政府机构改革，财税、金融等重要领域和关键环节改革多点突破。“放管服”改革深入推进，设立了黄石港区政务服务大厅和12345公共服务热线，落实了“一号申请、一窗受理、一网通办”的政务服务模式。项目备案已实现“不见面办理”、“一次不用跑”全程网上即时办结。营商环境综合评价和城市信用状况监测稳居全市前列。制定并实施了《黄石港区关于支持智能装备制造产业发展暂行办法》，对落户产业园的企业量身定制厂房，让企业“拎包入住”。《促进民营经济发展十二条》、《黄石港区关于加快发展楼宇经济的暂行办法》、《关于大力促进“互联网+服务业”发展的若干政策措施》等惠企政策为黄石港区现代服务业提档升级注入催化剂，</w:t>
      </w:r>
      <w:bookmarkStart w:id="20" w:name="_Toc56721348"/>
      <w:bookmarkStart w:id="21" w:name="_Toc56646720"/>
      <w:r>
        <w:rPr>
          <w:rFonts w:hint="eastAsia" w:ascii="仿宋_GB2312" w:hAnsi="仿宋_GB2312" w:eastAsia="仿宋_GB2312" w:cs="仿宋_GB2312"/>
          <w:color w:val="000000"/>
        </w:rPr>
        <w:t>金划算互联网人力资源产业园入驻半年即上缴利税超5000万元。</w:t>
      </w:r>
    </w:p>
    <w:p w14:paraId="6060FB9E">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3.城区建设呈现新气象</w:t>
      </w:r>
      <w:bookmarkEnd w:id="20"/>
      <w:bookmarkEnd w:id="21"/>
      <w:r>
        <w:rPr>
          <w:rFonts w:hint="eastAsia" w:ascii="仿宋_GB2312" w:hAnsi="仿宋_GB2312" w:eastAsia="仿宋_GB2312" w:cs="仿宋_GB2312"/>
          <w:color w:val="000000"/>
        </w:rPr>
        <w:t>。旧城改造顺利进行，累计启动棚改项目24个，建设保障性住房共2328套，</w:t>
      </w:r>
      <w:r>
        <w:rPr>
          <w:rFonts w:hint="eastAsia" w:ascii="仿宋_GB2312" w:eastAsia="仿宋_GB2312"/>
        </w:rPr>
        <w:t>征收拆迁10709户，完成南岳、覆盆山等10个老旧小区改造</w:t>
      </w:r>
      <w:r>
        <w:rPr>
          <w:rFonts w:hint="eastAsia" w:ascii="仿宋_GB2312" w:hAnsi="仿宋_GB2312" w:eastAsia="仿宋_GB2312" w:cs="仿宋_GB2312"/>
          <w:color w:val="000000"/>
        </w:rPr>
        <w:t>。</w:t>
      </w:r>
      <w:r>
        <w:rPr>
          <w:rFonts w:hint="eastAsia" w:ascii="仿宋_GB2312" w:eastAsia="仿宋_GB2312"/>
        </w:rPr>
        <w:t>城市功能日益完善，湖滨大道、大泉路等城市主干道和花径路、南岳路等45条次干道完成改造，黄石大道、迎宾大道等6座人行过街通道修建完成，建成沈家营码头公园、黄石港生态体育公园等10个城市休闲公园，新建改建公厕72座，建成环卫基地、中转站6座。</w:t>
      </w:r>
      <w:r>
        <w:rPr>
          <w:rFonts w:hint="eastAsia" w:ascii="仿宋_GB2312" w:hAnsi="仿宋_GB2312" w:eastAsia="仿宋_GB2312" w:cs="仿宋_GB2312"/>
          <w:color w:val="000000"/>
        </w:rPr>
        <w:t>生态环境建设成效显著，坚持把长江大保护放在压倒性位置，大力推进长江饮用水源地保护，累计拆除保护区内码头、驾校等建筑物25处，封堵迁移各类排污口185个，建设截污管网70公里，恢复生态岸线11万方，种植各类树木2.6万株，复绿585亩。全面启动了以磁湖、青山湖、青港湖保护为重点的“五水共治”，2020年</w:t>
      </w:r>
      <w:r>
        <w:rPr>
          <w:rFonts w:hint="eastAsia" w:ascii="仿宋_GB2312" w:eastAsia="仿宋_GB2312"/>
        </w:rPr>
        <w:t>荣获全省河湖长示范单位</w:t>
      </w:r>
      <w:r>
        <w:rPr>
          <w:rFonts w:hint="eastAsia" w:ascii="仿宋_GB2312" w:hAnsi="仿宋_GB2312" w:eastAsia="仿宋_GB2312" w:cs="仿宋_GB2312"/>
          <w:color w:val="000000"/>
        </w:rPr>
        <w:t>。建成区大气自动监测站，积极推进建筑扬尘、餐厨油烟等综合整治，全区生态环境质量持续改善向好，城区空气优良率达90.2%。</w:t>
      </w:r>
    </w:p>
    <w:p w14:paraId="75E935A7">
      <w:pPr>
        <w:widowControl w:val="0"/>
        <w:spacing w:line="570" w:lineRule="exact"/>
        <w:ind w:firstLine="640"/>
        <w:rPr>
          <w:rFonts w:ascii="仿宋_GB2312" w:hAnsi="仿宋_GB2312" w:eastAsia="仿宋_GB2312" w:cs="仿宋_GB2312"/>
          <w:color w:val="000000"/>
        </w:rPr>
      </w:pPr>
      <w:bookmarkStart w:id="22" w:name="_Toc56646721"/>
      <w:bookmarkStart w:id="23" w:name="_Toc56721349"/>
      <w:r>
        <w:rPr>
          <w:rFonts w:hint="eastAsia" w:ascii="仿宋_GB2312" w:hAnsi="仿宋_GB2312" w:eastAsia="仿宋_GB2312" w:cs="仿宋_GB2312"/>
          <w:color w:val="000000"/>
        </w:rPr>
        <w:t>4.民生福祉持续改善</w:t>
      </w:r>
      <w:bookmarkEnd w:id="22"/>
      <w:bookmarkEnd w:id="23"/>
      <w:r>
        <w:rPr>
          <w:rFonts w:hint="eastAsia" w:ascii="仿宋_GB2312" w:hAnsi="仿宋_GB2312" w:eastAsia="仿宋_GB2312" w:cs="仿宋_GB2312"/>
          <w:color w:val="000000"/>
        </w:rPr>
        <w:t>。人民生活质量不断改善，区城镇居民可支配收入达到41887元，累计增长32.24%。户籍人口城镇化率达到100%。全区养老床位总数近1598张，每千名老年人床位数35张。医卫服务功能不断提升，平均期望寿命达到78岁，全区卫生总费用占GDP比重达到6%，人均基本公共卫生服务经费达到65元。</w:t>
      </w:r>
      <w:r>
        <w:rPr>
          <w:rFonts w:hint="eastAsia" w:ascii="仿宋_GB2312" w:eastAsia="仿宋_GB2312"/>
        </w:rPr>
        <w:t>社会保障水平不断提升，社会保险覆盖率达到97.4%，城镇登记失业率控制在4.5%以内。</w:t>
      </w:r>
      <w:r>
        <w:rPr>
          <w:rFonts w:hint="eastAsia" w:ascii="仿宋_GB2312" w:hAnsi="仿宋_GB2312" w:eastAsia="仿宋_GB2312" w:cs="仿宋_GB2312"/>
          <w:color w:val="000000"/>
        </w:rPr>
        <w:t>教育发展成效显著，义务教育入学率和巩固率分别达到100%和98.3%，学前教育年毛入园率/三年毛入园率分别达到100%和98%；初升高比例连续6年保持在80%以上；武黄路、中山小学改扩建等8个中小学重点工程稳步推进，基本消除大班额。义务教育质量继续领跑全市，先后荣获国家级优秀教学成果推广应用示范区、国家义务教育质量监测实施优秀组织单位等荣誉。</w:t>
      </w:r>
      <w:bookmarkStart w:id="24" w:name="_Toc56721350"/>
      <w:bookmarkStart w:id="25" w:name="_Toc56646722"/>
      <w:r>
        <w:rPr>
          <w:rFonts w:hint="eastAsia" w:ascii="仿宋_GB2312" w:hAnsi="仿宋_GB2312" w:eastAsia="仿宋_GB2312" w:cs="仿宋_GB2312"/>
          <w:color w:val="000000"/>
        </w:rPr>
        <w:t>文体建设成效显著</w:t>
      </w:r>
      <w:bookmarkEnd w:id="24"/>
      <w:bookmarkEnd w:id="25"/>
      <w:r>
        <w:rPr>
          <w:rFonts w:hint="eastAsia" w:ascii="仿宋_GB2312" w:hAnsi="仿宋_GB2312" w:eastAsia="仿宋_GB2312" w:cs="仿宋_GB2312"/>
          <w:color w:val="000000"/>
        </w:rPr>
        <w:t>。</w:t>
      </w:r>
      <w:bookmarkStart w:id="26" w:name="_Toc5148"/>
      <w:r>
        <w:rPr>
          <w:rFonts w:hint="eastAsia" w:ascii="仿宋_GB2312" w:hAnsi="仿宋_GB2312" w:eastAsia="仿宋_GB2312" w:cs="仿宋_GB2312"/>
          <w:color w:val="000000"/>
        </w:rPr>
        <w:t>完成生态体育公园、大众山登山健身步道、青港湖欢乐世界项目建设。区图书馆正式对外开放，区文化馆建设有序推进，设立了花湖、黄石港、沈家营街道综合文化站，建成33个社区综合文化服务中心，补齐了城区文体活动场所及设施功能短板。体育场地与设施建设不断完善，体育健身工程覆盖率、城市社区15分钟健身圈覆盖率、公共体育设施免费或低收费开放率以及学校体育场地设施开放率均达100%。群众文体活动精彩纷呈，成功举办了“新中国成立70周年群众文艺展演暨第八届磁湖文化节”等大型活动90余场。扶贫脱贫工作完成预定目标，对口帮扶阳新县龙港镇建档立卡户全部实现脱贫。</w:t>
      </w:r>
    </w:p>
    <w:bookmarkEnd w:id="26"/>
    <w:p w14:paraId="2B986E76">
      <w:pPr>
        <w:widowControl w:val="0"/>
        <w:spacing w:line="570" w:lineRule="exact"/>
        <w:ind w:firstLine="640"/>
        <w:rPr>
          <w:rFonts w:ascii="仿宋_GB2312" w:hAnsi="仿宋_GB2312" w:eastAsia="仿宋_GB2312" w:cs="仿宋_GB2312"/>
          <w:color w:val="000000"/>
        </w:rPr>
      </w:pPr>
      <w:bookmarkStart w:id="27" w:name="_Toc263837423"/>
      <w:bookmarkStart w:id="28" w:name="_Toc56721351"/>
      <w:bookmarkStart w:id="29" w:name="_Toc56646723"/>
      <w:r>
        <w:rPr>
          <w:rFonts w:hint="eastAsia" w:ascii="仿宋_GB2312" w:hAnsi="仿宋_GB2312" w:eastAsia="仿宋_GB2312" w:cs="仿宋_GB2312"/>
          <w:color w:val="000000"/>
        </w:rPr>
        <w:t>5.依法治区不断深入。社会治安大局平稳，“一感一度一率一评价”不断提升。深入开展扫黑除恶专项斗争，打掉涉恶团伙9个，抓获涉黑涉恶人员79人。推进矛盾纠纷多元化解机制，区公共法律服务中心2018-2019年连续获得国家级人民调解宣传工作先进集体。“六五”普法全面实施，开展专项法治宣传活动40余场次，“一月一法”深入开展，荣获全省“六五”普法先进单位。法律援助范围进一步扩大，成立了33个法律援助工作站，办理法律援助案件及事项4400余项，接访1300余人次。食品药品安全实现“零事故”，安全生产形势总体平稳。深入推进基层网格化管理，年均处置民生事项20.4万件，整体结案率近98%。</w:t>
      </w:r>
    </w:p>
    <w:p w14:paraId="598A508F">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十三五”期间，全区经济社会虽实现较快发展，为开启临空黄石港现代化建设新征程奠定了坚实基础，但也必须清醒看到当前经济社会发展中还存在一些问题和短板：发展不平衡、不充分的问题仍较为突出，土地空间等发展要素受限，创新能力和发展动能不足，</w:t>
      </w:r>
      <w:r>
        <w:rPr>
          <w:rFonts w:hint="eastAsia" w:ascii="仿宋_GB2312" w:hAnsi="仿宋_GB2312" w:eastAsia="仿宋_GB2312" w:cs="仿宋_GB2312"/>
          <w:color w:val="000000"/>
          <w:lang w:val="zh-CN"/>
        </w:rPr>
        <w:t>民营经济水平不够高</w:t>
      </w:r>
      <w:r>
        <w:rPr>
          <w:rFonts w:hint="eastAsia" w:ascii="仿宋_GB2312" w:hAnsi="仿宋_GB2312" w:eastAsia="仿宋_GB2312" w:cs="仿宋_GB2312"/>
          <w:color w:val="000000"/>
        </w:rPr>
        <w:t>，营商环境还需进一步优化；城建城管精细化水平离人民群众美好期待还有一定差距，区域治理现代化水平有待提升，历史存量矛盾还不少，</w:t>
      </w:r>
      <w:r>
        <w:rPr>
          <w:rFonts w:hint="eastAsia" w:ascii="仿宋_GB2312" w:eastAsia="仿宋_GB2312"/>
        </w:rPr>
        <w:t>教育、医疗、养老等公共服务还有欠账，</w:t>
      </w:r>
      <w:r>
        <w:rPr>
          <w:rFonts w:hint="eastAsia" w:ascii="仿宋_GB2312" w:hAnsi="仿宋_GB2312" w:eastAsia="仿宋_GB2312" w:cs="仿宋_GB2312"/>
          <w:color w:val="000000"/>
        </w:rPr>
        <w:t>新冠肺炎疫情冲击影响深远等。我们必须辩证认识和把握国内外大势，深刻认识黄石港区经济社会发展面临的一系列新特征和新要求，妥善做好应对各种困难局面的准备，保持战略定力，着力在发展质效、动能转换、治理能力上取得突破性进展。</w:t>
      </w:r>
    </w:p>
    <w:p w14:paraId="75B3424B">
      <w:pPr>
        <w:widowControl w:val="0"/>
        <w:spacing w:line="540" w:lineRule="exact"/>
        <w:ind w:firstLine="640"/>
        <w:rPr>
          <w:rFonts w:ascii="仿宋_GB2312" w:hAnsi="仿宋_GB2312" w:eastAsia="仿宋_GB2312" w:cs="仿宋_GB2312"/>
          <w:color w:val="000000"/>
        </w:rPr>
        <w:sectPr>
          <w:footerReference r:id="rId11" w:type="default"/>
          <w:endnotePr>
            <w:numFmt w:val="decimal"/>
          </w:endnotePr>
          <w:pgSz w:w="11910" w:h="16840"/>
          <w:pgMar w:top="2098" w:right="1531" w:bottom="1985" w:left="1531" w:header="0" w:footer="1134" w:gutter="0"/>
          <w:pgNumType w:start="1"/>
          <w:cols w:space="720" w:num="1"/>
          <w:docGrid w:type="lines" w:linePitch="436" w:charSpace="0"/>
        </w:sectPr>
      </w:pPr>
    </w:p>
    <w:p w14:paraId="3805BAD6">
      <w:pPr>
        <w:keepNext/>
        <w:keepLines/>
        <w:widowControl w:val="0"/>
        <w:spacing w:afterLines="50" w:line="570" w:lineRule="exact"/>
        <w:ind w:firstLine="720"/>
        <w:jc w:val="center"/>
        <w:rPr>
          <w:rFonts w:ascii="方正大标宋_GBK" w:hAnsi="方正黑体简体" w:eastAsia="方正大标宋_GBK" w:cs="方正黑体简体"/>
          <w:color w:val="000000" w:themeColor="text1"/>
          <w:sz w:val="36"/>
          <w:szCs w:val="36"/>
          <w14:textFill>
            <w14:solidFill>
              <w14:schemeClr w14:val="tx1"/>
            </w14:solidFill>
          </w14:textFill>
        </w:rPr>
      </w:pPr>
      <w:bookmarkStart w:id="30" w:name="_Toc21909_WPSOffice_Level3"/>
      <w:bookmarkStart w:id="31" w:name="_Toc24265_WPSOffice_Level3"/>
      <w:bookmarkStart w:id="32" w:name="_Toc26321_WPSOffice_Level3"/>
      <w:bookmarkStart w:id="33" w:name="_Toc27653_WPSOffice_Level3"/>
      <w:bookmarkStart w:id="34" w:name="_Toc21131_WPSOffice_Level3"/>
      <w:r>
        <w:rPr>
          <w:rFonts w:hint="eastAsia" w:ascii="方正大标宋_GBK" w:hAnsi="方正黑体简体" w:eastAsia="方正大标宋_GBK" w:cs="方正黑体简体"/>
          <w:color w:val="000000" w:themeColor="text1"/>
          <w:sz w:val="36"/>
          <w:szCs w:val="36"/>
          <w14:textFill>
            <w14:solidFill>
              <w14:schemeClr w14:val="tx1"/>
            </w14:solidFill>
          </w14:textFill>
        </w:rPr>
        <w:t>专栏一：黄石港区“十三五”规划指标完成情况表</w:t>
      </w:r>
    </w:p>
    <w:tbl>
      <w:tblPr>
        <w:tblStyle w:val="29"/>
        <w:tblW w:w="140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68"/>
        <w:gridCol w:w="708"/>
        <w:gridCol w:w="3544"/>
        <w:gridCol w:w="851"/>
        <w:gridCol w:w="1111"/>
        <w:gridCol w:w="958"/>
        <w:gridCol w:w="1091"/>
        <w:gridCol w:w="993"/>
        <w:gridCol w:w="1134"/>
        <w:gridCol w:w="992"/>
        <w:gridCol w:w="1134"/>
        <w:gridCol w:w="992"/>
      </w:tblGrid>
      <w:tr w14:paraId="0FF93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tblHeader/>
          <w:jc w:val="center"/>
        </w:trPr>
        <w:tc>
          <w:tcPr>
            <w:tcW w:w="568" w:type="dxa"/>
            <w:vMerge w:val="restart"/>
            <w:vAlign w:val="center"/>
          </w:tcPr>
          <w:p w14:paraId="5E053E9C">
            <w:pPr>
              <w:widowControl w:val="0"/>
              <w:spacing w:line="260" w:lineRule="exact"/>
              <w:ind w:firstLine="0" w:firstLineChars="0"/>
              <w:jc w:val="center"/>
              <w:textAlignment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类型</w:t>
            </w:r>
          </w:p>
        </w:tc>
        <w:tc>
          <w:tcPr>
            <w:tcW w:w="708" w:type="dxa"/>
            <w:vMerge w:val="restart"/>
            <w:vAlign w:val="center"/>
          </w:tcPr>
          <w:p w14:paraId="77A32E5B">
            <w:pPr>
              <w:widowControl w:val="0"/>
              <w:spacing w:line="260" w:lineRule="exact"/>
              <w:ind w:firstLine="0" w:firstLineChars="0"/>
              <w:jc w:val="center"/>
              <w:textAlignment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序号</w:t>
            </w:r>
          </w:p>
        </w:tc>
        <w:tc>
          <w:tcPr>
            <w:tcW w:w="3544" w:type="dxa"/>
            <w:vMerge w:val="restart"/>
            <w:vAlign w:val="center"/>
          </w:tcPr>
          <w:p w14:paraId="1BF16611">
            <w:pPr>
              <w:widowControl w:val="0"/>
              <w:spacing w:line="260" w:lineRule="exact"/>
              <w:ind w:firstLine="0" w:firstLineChars="0"/>
              <w:jc w:val="center"/>
              <w:textAlignment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指标名称</w:t>
            </w:r>
          </w:p>
        </w:tc>
        <w:tc>
          <w:tcPr>
            <w:tcW w:w="851" w:type="dxa"/>
            <w:vMerge w:val="restart"/>
            <w:vAlign w:val="center"/>
          </w:tcPr>
          <w:p w14:paraId="0EFE7DAC">
            <w:pPr>
              <w:widowControl w:val="0"/>
              <w:spacing w:line="260" w:lineRule="exact"/>
              <w:ind w:firstLine="0" w:firstLineChars="0"/>
              <w:jc w:val="center"/>
              <w:textAlignment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单位</w:t>
            </w:r>
          </w:p>
        </w:tc>
        <w:tc>
          <w:tcPr>
            <w:tcW w:w="1111" w:type="dxa"/>
            <w:vMerge w:val="restart"/>
            <w:vAlign w:val="center"/>
          </w:tcPr>
          <w:p w14:paraId="3B36C3BA">
            <w:pPr>
              <w:widowControl w:val="0"/>
              <w:spacing w:line="260" w:lineRule="exact"/>
              <w:ind w:firstLine="0" w:firstLineChars="0"/>
              <w:jc w:val="center"/>
              <w:textAlignment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2015年</w:t>
            </w:r>
          </w:p>
          <w:p w14:paraId="6AC6F1E0">
            <w:pPr>
              <w:widowControl w:val="0"/>
              <w:spacing w:line="260" w:lineRule="exact"/>
              <w:ind w:firstLine="0" w:firstLineChars="0"/>
              <w:jc w:val="center"/>
              <w:textAlignment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基数</w:t>
            </w:r>
          </w:p>
        </w:tc>
        <w:tc>
          <w:tcPr>
            <w:tcW w:w="2049" w:type="dxa"/>
            <w:gridSpan w:val="2"/>
            <w:vAlign w:val="center"/>
          </w:tcPr>
          <w:p w14:paraId="73E0B7E8">
            <w:pPr>
              <w:widowControl w:val="0"/>
              <w:spacing w:line="260" w:lineRule="exact"/>
              <w:ind w:firstLine="0" w:firstLineChars="0"/>
              <w:jc w:val="center"/>
              <w:textAlignment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“十三五”</w:t>
            </w:r>
          </w:p>
          <w:p w14:paraId="3B974603">
            <w:pPr>
              <w:widowControl w:val="0"/>
              <w:spacing w:line="260" w:lineRule="exact"/>
              <w:ind w:firstLine="0" w:firstLineChars="0"/>
              <w:jc w:val="center"/>
              <w:textAlignment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规划目标</w:t>
            </w:r>
          </w:p>
        </w:tc>
        <w:tc>
          <w:tcPr>
            <w:tcW w:w="2127" w:type="dxa"/>
            <w:gridSpan w:val="2"/>
            <w:vAlign w:val="center"/>
          </w:tcPr>
          <w:p w14:paraId="299E9489">
            <w:pPr>
              <w:widowControl w:val="0"/>
              <w:spacing w:line="260" w:lineRule="exact"/>
              <w:ind w:firstLine="0" w:firstLineChars="0"/>
              <w:jc w:val="center"/>
              <w:textAlignment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2</w:t>
            </w:r>
            <w:r>
              <w:rPr>
                <w:rFonts w:ascii="方正黑体简体" w:hAnsi="方正黑体简体" w:eastAsia="方正黑体简体" w:cs="方正黑体简体"/>
                <w:color w:val="000000" w:themeColor="text1"/>
                <w:sz w:val="24"/>
                <w14:textFill>
                  <w14:solidFill>
                    <w14:schemeClr w14:val="tx1"/>
                  </w14:solidFill>
                </w14:textFill>
              </w:rPr>
              <w:t>016-2019</w:t>
            </w:r>
            <w:r>
              <w:rPr>
                <w:rFonts w:hint="eastAsia" w:ascii="方正黑体简体" w:hAnsi="方正黑体简体" w:eastAsia="方正黑体简体" w:cs="方正黑体简体"/>
                <w:color w:val="000000" w:themeColor="text1"/>
                <w:sz w:val="24"/>
                <w14:textFill>
                  <w14:solidFill>
                    <w14:schemeClr w14:val="tx1"/>
                  </w14:solidFill>
                </w14:textFill>
              </w:rPr>
              <w:t>年</w:t>
            </w:r>
          </w:p>
          <w:p w14:paraId="2804B65D">
            <w:pPr>
              <w:widowControl w:val="0"/>
              <w:spacing w:line="260" w:lineRule="exact"/>
              <w:ind w:firstLine="0" w:firstLineChars="0"/>
              <w:jc w:val="center"/>
              <w:textAlignment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完成情况</w:t>
            </w:r>
          </w:p>
        </w:tc>
        <w:tc>
          <w:tcPr>
            <w:tcW w:w="2126" w:type="dxa"/>
            <w:gridSpan w:val="2"/>
            <w:vAlign w:val="center"/>
          </w:tcPr>
          <w:p w14:paraId="4923213D">
            <w:pPr>
              <w:widowControl w:val="0"/>
              <w:spacing w:line="260" w:lineRule="exact"/>
              <w:ind w:firstLine="0" w:firstLineChars="0"/>
              <w:jc w:val="center"/>
              <w:textAlignment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“十三五”预计完成</w:t>
            </w:r>
          </w:p>
        </w:tc>
        <w:tc>
          <w:tcPr>
            <w:tcW w:w="992" w:type="dxa"/>
            <w:vMerge w:val="restart"/>
            <w:vAlign w:val="center"/>
          </w:tcPr>
          <w:p w14:paraId="0BCFB462">
            <w:pPr>
              <w:widowControl w:val="0"/>
              <w:spacing w:line="260" w:lineRule="exact"/>
              <w:ind w:firstLine="0" w:firstLineChars="0"/>
              <w:jc w:val="center"/>
              <w:textAlignment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属性</w:t>
            </w:r>
          </w:p>
        </w:tc>
      </w:tr>
      <w:tr w14:paraId="2C0AF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jc w:val="center"/>
        </w:trPr>
        <w:tc>
          <w:tcPr>
            <w:tcW w:w="568" w:type="dxa"/>
            <w:vMerge w:val="continue"/>
            <w:vAlign w:val="center"/>
          </w:tcPr>
          <w:p w14:paraId="04BB1A50">
            <w:pPr>
              <w:widowControl w:val="0"/>
              <w:spacing w:line="260" w:lineRule="exact"/>
              <w:ind w:firstLine="0" w:firstLineChars="0"/>
              <w:jc w:val="center"/>
              <w:rPr>
                <w:rFonts w:ascii="方正黑体简体" w:hAnsi="方正黑体简体" w:eastAsia="方正黑体简体" w:cs="方正黑体简体"/>
                <w:color w:val="000000" w:themeColor="text1"/>
                <w:sz w:val="24"/>
                <w14:textFill>
                  <w14:solidFill>
                    <w14:schemeClr w14:val="tx1"/>
                  </w14:solidFill>
                </w14:textFill>
              </w:rPr>
            </w:pPr>
          </w:p>
        </w:tc>
        <w:tc>
          <w:tcPr>
            <w:tcW w:w="708" w:type="dxa"/>
            <w:vMerge w:val="continue"/>
            <w:vAlign w:val="center"/>
          </w:tcPr>
          <w:p w14:paraId="0180A4CB">
            <w:pPr>
              <w:widowControl w:val="0"/>
              <w:spacing w:line="260" w:lineRule="exact"/>
              <w:ind w:firstLine="0" w:firstLineChars="0"/>
              <w:jc w:val="center"/>
              <w:rPr>
                <w:rFonts w:ascii="方正黑体简体" w:hAnsi="方正黑体简体" w:eastAsia="方正黑体简体" w:cs="方正黑体简体"/>
                <w:color w:val="000000" w:themeColor="text1"/>
                <w:sz w:val="24"/>
                <w14:textFill>
                  <w14:solidFill>
                    <w14:schemeClr w14:val="tx1"/>
                  </w14:solidFill>
                </w14:textFill>
              </w:rPr>
            </w:pPr>
          </w:p>
        </w:tc>
        <w:tc>
          <w:tcPr>
            <w:tcW w:w="3544" w:type="dxa"/>
            <w:vMerge w:val="continue"/>
            <w:vAlign w:val="center"/>
          </w:tcPr>
          <w:p w14:paraId="14DC086B">
            <w:pPr>
              <w:widowControl w:val="0"/>
              <w:spacing w:line="260" w:lineRule="exact"/>
              <w:ind w:firstLine="0" w:firstLineChars="0"/>
              <w:jc w:val="center"/>
              <w:rPr>
                <w:rFonts w:ascii="方正黑体简体" w:hAnsi="方正黑体简体" w:eastAsia="方正黑体简体" w:cs="方正黑体简体"/>
                <w:color w:val="000000" w:themeColor="text1"/>
                <w:sz w:val="24"/>
                <w14:textFill>
                  <w14:solidFill>
                    <w14:schemeClr w14:val="tx1"/>
                  </w14:solidFill>
                </w14:textFill>
              </w:rPr>
            </w:pPr>
          </w:p>
        </w:tc>
        <w:tc>
          <w:tcPr>
            <w:tcW w:w="851" w:type="dxa"/>
            <w:vMerge w:val="continue"/>
            <w:vAlign w:val="center"/>
          </w:tcPr>
          <w:p w14:paraId="45C80398">
            <w:pPr>
              <w:widowControl w:val="0"/>
              <w:spacing w:line="260" w:lineRule="exact"/>
              <w:ind w:firstLine="0" w:firstLineChars="0"/>
              <w:jc w:val="center"/>
              <w:rPr>
                <w:rFonts w:ascii="方正黑体简体" w:hAnsi="方正黑体简体" w:eastAsia="方正黑体简体" w:cs="方正黑体简体"/>
                <w:color w:val="000000" w:themeColor="text1"/>
                <w:sz w:val="24"/>
                <w14:textFill>
                  <w14:solidFill>
                    <w14:schemeClr w14:val="tx1"/>
                  </w14:solidFill>
                </w14:textFill>
              </w:rPr>
            </w:pPr>
          </w:p>
        </w:tc>
        <w:tc>
          <w:tcPr>
            <w:tcW w:w="1111" w:type="dxa"/>
            <w:vMerge w:val="continue"/>
            <w:vAlign w:val="center"/>
          </w:tcPr>
          <w:p w14:paraId="5A4CCEB2">
            <w:pPr>
              <w:widowControl w:val="0"/>
              <w:spacing w:line="260" w:lineRule="exact"/>
              <w:ind w:firstLine="0" w:firstLineChars="0"/>
              <w:jc w:val="center"/>
              <w:rPr>
                <w:rFonts w:ascii="方正黑体简体" w:hAnsi="方正黑体简体" w:eastAsia="方正黑体简体" w:cs="方正黑体简体"/>
                <w:color w:val="000000" w:themeColor="text1"/>
                <w:sz w:val="24"/>
                <w14:textFill>
                  <w14:solidFill>
                    <w14:schemeClr w14:val="tx1"/>
                  </w14:solidFill>
                </w14:textFill>
              </w:rPr>
            </w:pPr>
          </w:p>
        </w:tc>
        <w:tc>
          <w:tcPr>
            <w:tcW w:w="958" w:type="dxa"/>
            <w:vAlign w:val="center"/>
          </w:tcPr>
          <w:p w14:paraId="73541BCF">
            <w:pPr>
              <w:widowControl w:val="0"/>
              <w:spacing w:line="260" w:lineRule="exact"/>
              <w:ind w:firstLine="0" w:firstLineChars="0"/>
              <w:jc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总量</w:t>
            </w:r>
          </w:p>
        </w:tc>
        <w:tc>
          <w:tcPr>
            <w:tcW w:w="1091" w:type="dxa"/>
            <w:vAlign w:val="center"/>
          </w:tcPr>
          <w:p w14:paraId="56FD6443">
            <w:pPr>
              <w:widowControl w:val="0"/>
              <w:spacing w:line="260" w:lineRule="exact"/>
              <w:ind w:firstLine="0" w:firstLineChars="0"/>
              <w:jc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年均增长[累计]</w:t>
            </w:r>
          </w:p>
        </w:tc>
        <w:tc>
          <w:tcPr>
            <w:tcW w:w="993" w:type="dxa"/>
            <w:tcBorders>
              <w:right w:val="single" w:color="auto" w:sz="4" w:space="0"/>
            </w:tcBorders>
            <w:vAlign w:val="center"/>
          </w:tcPr>
          <w:p w14:paraId="0E501AB8">
            <w:pPr>
              <w:widowControl w:val="0"/>
              <w:spacing w:line="260" w:lineRule="exact"/>
              <w:ind w:firstLine="0" w:firstLineChars="0"/>
              <w:jc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2</w:t>
            </w:r>
            <w:r>
              <w:rPr>
                <w:rFonts w:ascii="方正黑体简体" w:hAnsi="方正黑体简体" w:eastAsia="方正黑体简体" w:cs="方正黑体简体"/>
                <w:color w:val="000000" w:themeColor="text1"/>
                <w:sz w:val="24"/>
                <w14:textFill>
                  <w14:solidFill>
                    <w14:schemeClr w14:val="tx1"/>
                  </w14:solidFill>
                </w14:textFill>
              </w:rPr>
              <w:t>019</w:t>
            </w:r>
            <w:r>
              <w:rPr>
                <w:rFonts w:hint="eastAsia" w:ascii="方正黑体简体" w:hAnsi="方正黑体简体" w:eastAsia="方正黑体简体" w:cs="方正黑体简体"/>
                <w:color w:val="000000" w:themeColor="text1"/>
                <w:sz w:val="24"/>
                <w14:textFill>
                  <w14:solidFill>
                    <w14:schemeClr w14:val="tx1"/>
                  </w14:solidFill>
                </w14:textFill>
              </w:rPr>
              <w:t>年</w:t>
            </w:r>
          </w:p>
        </w:tc>
        <w:tc>
          <w:tcPr>
            <w:tcW w:w="1134" w:type="dxa"/>
            <w:tcBorders>
              <w:left w:val="single" w:color="auto" w:sz="4" w:space="0"/>
            </w:tcBorders>
            <w:vAlign w:val="center"/>
          </w:tcPr>
          <w:p w14:paraId="752E556E">
            <w:pPr>
              <w:widowControl w:val="0"/>
              <w:spacing w:line="260" w:lineRule="exact"/>
              <w:ind w:firstLine="0" w:firstLineChars="0"/>
              <w:jc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年均增长[累计]</w:t>
            </w:r>
          </w:p>
        </w:tc>
        <w:tc>
          <w:tcPr>
            <w:tcW w:w="992" w:type="dxa"/>
            <w:vAlign w:val="center"/>
          </w:tcPr>
          <w:p w14:paraId="5DAA014E">
            <w:pPr>
              <w:widowControl w:val="0"/>
              <w:spacing w:line="260" w:lineRule="exact"/>
              <w:ind w:firstLine="0" w:firstLineChars="0"/>
              <w:jc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2020年</w:t>
            </w:r>
          </w:p>
        </w:tc>
        <w:tc>
          <w:tcPr>
            <w:tcW w:w="1134" w:type="dxa"/>
            <w:vAlign w:val="center"/>
          </w:tcPr>
          <w:p w14:paraId="1BC85D3D">
            <w:pPr>
              <w:widowControl w:val="0"/>
              <w:spacing w:line="260" w:lineRule="exact"/>
              <w:ind w:firstLine="0" w:firstLineChars="0"/>
              <w:jc w:val="center"/>
              <w:rPr>
                <w:rFonts w:ascii="方正黑体简体" w:hAnsi="方正黑体简体" w:eastAsia="方正黑体简体" w:cs="方正黑体简体"/>
                <w:color w:val="000000" w:themeColor="text1"/>
                <w:sz w:val="24"/>
                <w14:textFill>
                  <w14:solidFill>
                    <w14:schemeClr w14:val="tx1"/>
                  </w14:solidFill>
                </w14:textFill>
              </w:rPr>
            </w:pPr>
            <w:r>
              <w:rPr>
                <w:rFonts w:hint="eastAsia" w:ascii="方正黑体简体" w:hAnsi="方正黑体简体" w:eastAsia="方正黑体简体" w:cs="方正黑体简体"/>
                <w:color w:val="000000" w:themeColor="text1"/>
                <w:sz w:val="24"/>
                <w14:textFill>
                  <w14:solidFill>
                    <w14:schemeClr w14:val="tx1"/>
                  </w14:solidFill>
                </w14:textFill>
              </w:rPr>
              <w:t>年均增长[累计]</w:t>
            </w:r>
          </w:p>
        </w:tc>
        <w:tc>
          <w:tcPr>
            <w:tcW w:w="992" w:type="dxa"/>
            <w:vMerge w:val="continue"/>
            <w:vAlign w:val="center"/>
          </w:tcPr>
          <w:p w14:paraId="23348461">
            <w:pPr>
              <w:widowControl w:val="0"/>
              <w:spacing w:line="260" w:lineRule="exact"/>
              <w:ind w:firstLine="0" w:firstLineChars="0"/>
              <w:jc w:val="center"/>
              <w:rPr>
                <w:rFonts w:ascii="方正黑体简体" w:hAnsi="方正黑体简体" w:eastAsia="方正黑体简体" w:cs="方正黑体简体"/>
                <w:color w:val="000000" w:themeColor="text1"/>
                <w:sz w:val="24"/>
                <w14:textFill>
                  <w14:solidFill>
                    <w14:schemeClr w14:val="tx1"/>
                  </w14:solidFill>
                </w14:textFill>
              </w:rPr>
            </w:pPr>
          </w:p>
        </w:tc>
      </w:tr>
      <w:tr w14:paraId="04E80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restart"/>
            <w:vAlign w:val="center"/>
          </w:tcPr>
          <w:p w14:paraId="0B55C14F">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经</w:t>
            </w:r>
          </w:p>
          <w:p w14:paraId="623DAA94">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济</w:t>
            </w:r>
          </w:p>
          <w:p w14:paraId="70879AF3">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发</w:t>
            </w:r>
          </w:p>
          <w:p w14:paraId="191CC6A6">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展</w:t>
            </w:r>
          </w:p>
          <w:p w14:paraId="611A2090">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类</w:t>
            </w:r>
          </w:p>
        </w:tc>
        <w:tc>
          <w:tcPr>
            <w:tcW w:w="708" w:type="dxa"/>
            <w:vAlign w:val="center"/>
          </w:tcPr>
          <w:p w14:paraId="626727C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3544" w:type="dxa"/>
            <w:vAlign w:val="center"/>
          </w:tcPr>
          <w:p w14:paraId="4C125F2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地区生产总值</w:t>
            </w:r>
          </w:p>
        </w:tc>
        <w:tc>
          <w:tcPr>
            <w:tcW w:w="851" w:type="dxa"/>
            <w:vAlign w:val="center"/>
          </w:tcPr>
          <w:p w14:paraId="0946D1F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亿元</w:t>
            </w:r>
          </w:p>
        </w:tc>
        <w:tc>
          <w:tcPr>
            <w:tcW w:w="1111" w:type="dxa"/>
            <w:vAlign w:val="center"/>
          </w:tcPr>
          <w:p w14:paraId="7E17C68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158.96</w:t>
            </w:r>
          </w:p>
        </w:tc>
        <w:tc>
          <w:tcPr>
            <w:tcW w:w="958" w:type="dxa"/>
            <w:vAlign w:val="center"/>
          </w:tcPr>
          <w:p w14:paraId="0463A86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228.21</w:t>
            </w:r>
          </w:p>
        </w:tc>
        <w:tc>
          <w:tcPr>
            <w:tcW w:w="1091" w:type="dxa"/>
            <w:vAlign w:val="center"/>
          </w:tcPr>
          <w:p w14:paraId="7DD5D45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7.5</w:t>
            </w:r>
          </w:p>
        </w:tc>
        <w:tc>
          <w:tcPr>
            <w:tcW w:w="993" w:type="dxa"/>
            <w:tcBorders>
              <w:right w:val="single" w:color="auto" w:sz="4" w:space="0"/>
            </w:tcBorders>
            <w:vAlign w:val="center"/>
          </w:tcPr>
          <w:p w14:paraId="25DDBA4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220.73</w:t>
            </w:r>
          </w:p>
        </w:tc>
        <w:tc>
          <w:tcPr>
            <w:tcW w:w="1134" w:type="dxa"/>
            <w:tcBorders>
              <w:left w:val="single" w:color="auto" w:sz="4" w:space="0"/>
            </w:tcBorders>
            <w:vAlign w:val="center"/>
          </w:tcPr>
          <w:p w14:paraId="667A774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7.18</w:t>
            </w:r>
          </w:p>
        </w:tc>
        <w:tc>
          <w:tcPr>
            <w:tcW w:w="992" w:type="dxa"/>
            <w:vAlign w:val="center"/>
          </w:tcPr>
          <w:p w14:paraId="0234FC9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208.59</w:t>
            </w:r>
          </w:p>
        </w:tc>
        <w:tc>
          <w:tcPr>
            <w:tcW w:w="1134" w:type="dxa"/>
            <w:vAlign w:val="center"/>
          </w:tcPr>
          <w:p w14:paraId="3EAD3D7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4.05</w:t>
            </w:r>
          </w:p>
        </w:tc>
        <w:tc>
          <w:tcPr>
            <w:tcW w:w="992" w:type="dxa"/>
            <w:vAlign w:val="center"/>
          </w:tcPr>
          <w:p w14:paraId="3E9B0F0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4BFF1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continue"/>
            <w:vAlign w:val="center"/>
          </w:tcPr>
          <w:p w14:paraId="0979F33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708" w:type="dxa"/>
            <w:vAlign w:val="center"/>
          </w:tcPr>
          <w:p w14:paraId="39B786D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p>
        </w:tc>
        <w:tc>
          <w:tcPr>
            <w:tcW w:w="3544" w:type="dxa"/>
            <w:vAlign w:val="center"/>
          </w:tcPr>
          <w:p w14:paraId="6B7F1F2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服务业增加值占生产总值的比重</w:t>
            </w:r>
          </w:p>
        </w:tc>
        <w:tc>
          <w:tcPr>
            <w:tcW w:w="851" w:type="dxa"/>
            <w:vAlign w:val="center"/>
          </w:tcPr>
          <w:p w14:paraId="369772B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11" w:type="dxa"/>
            <w:vAlign w:val="center"/>
          </w:tcPr>
          <w:p w14:paraId="6447F03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65.91</w:t>
            </w:r>
          </w:p>
        </w:tc>
        <w:tc>
          <w:tcPr>
            <w:tcW w:w="958" w:type="dxa"/>
            <w:vAlign w:val="center"/>
          </w:tcPr>
          <w:p w14:paraId="210036A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80</w:t>
            </w:r>
          </w:p>
        </w:tc>
        <w:tc>
          <w:tcPr>
            <w:tcW w:w="1091" w:type="dxa"/>
            <w:vAlign w:val="center"/>
          </w:tcPr>
          <w:p w14:paraId="16C92007">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3" w:type="dxa"/>
            <w:tcBorders>
              <w:right w:val="single" w:color="auto" w:sz="4" w:space="0"/>
            </w:tcBorders>
            <w:vAlign w:val="center"/>
          </w:tcPr>
          <w:p w14:paraId="6E1F690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78.96</w:t>
            </w:r>
          </w:p>
        </w:tc>
        <w:tc>
          <w:tcPr>
            <w:tcW w:w="1134" w:type="dxa"/>
            <w:tcBorders>
              <w:left w:val="single" w:color="auto" w:sz="4" w:space="0"/>
            </w:tcBorders>
            <w:vAlign w:val="center"/>
          </w:tcPr>
          <w:p w14:paraId="66523A4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495BD4F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80</w:t>
            </w:r>
          </w:p>
        </w:tc>
        <w:tc>
          <w:tcPr>
            <w:tcW w:w="1134" w:type="dxa"/>
            <w:vAlign w:val="center"/>
          </w:tcPr>
          <w:p w14:paraId="063B0F2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76E5D00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4F862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continue"/>
            <w:vAlign w:val="center"/>
          </w:tcPr>
          <w:p w14:paraId="79C1EA0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708" w:type="dxa"/>
            <w:vAlign w:val="center"/>
          </w:tcPr>
          <w:p w14:paraId="0508E38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3544" w:type="dxa"/>
            <w:vAlign w:val="center"/>
          </w:tcPr>
          <w:p w14:paraId="55DE01C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全社会固定资产投资</w:t>
            </w:r>
          </w:p>
        </w:tc>
        <w:tc>
          <w:tcPr>
            <w:tcW w:w="851" w:type="dxa"/>
            <w:vAlign w:val="center"/>
          </w:tcPr>
          <w:p w14:paraId="70722B8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亿元</w:t>
            </w:r>
          </w:p>
        </w:tc>
        <w:tc>
          <w:tcPr>
            <w:tcW w:w="1111" w:type="dxa"/>
            <w:vAlign w:val="center"/>
          </w:tcPr>
          <w:p w14:paraId="5EF4A2F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48015A6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091" w:type="dxa"/>
            <w:vAlign w:val="center"/>
          </w:tcPr>
          <w:p w14:paraId="2320677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12</w:t>
            </w:r>
          </w:p>
        </w:tc>
        <w:tc>
          <w:tcPr>
            <w:tcW w:w="993" w:type="dxa"/>
            <w:tcBorders>
              <w:right w:val="single" w:color="auto" w:sz="4" w:space="0"/>
            </w:tcBorders>
            <w:vAlign w:val="center"/>
          </w:tcPr>
          <w:p w14:paraId="6410165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34" w:type="dxa"/>
            <w:tcBorders>
              <w:left w:val="single" w:color="auto" w:sz="4" w:space="0"/>
            </w:tcBorders>
            <w:vAlign w:val="center"/>
          </w:tcPr>
          <w:p w14:paraId="7411153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13.16</w:t>
            </w:r>
          </w:p>
        </w:tc>
        <w:tc>
          <w:tcPr>
            <w:tcW w:w="992" w:type="dxa"/>
            <w:vAlign w:val="center"/>
          </w:tcPr>
          <w:p w14:paraId="351BC7B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60.7</w:t>
            </w:r>
          </w:p>
        </w:tc>
        <w:tc>
          <w:tcPr>
            <w:tcW w:w="1134" w:type="dxa"/>
            <w:vAlign w:val="center"/>
          </w:tcPr>
          <w:p w14:paraId="579D297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6.1</w:t>
            </w:r>
          </w:p>
        </w:tc>
        <w:tc>
          <w:tcPr>
            <w:tcW w:w="992" w:type="dxa"/>
            <w:vAlign w:val="center"/>
          </w:tcPr>
          <w:p w14:paraId="02FEBE2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0D4C9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continue"/>
            <w:vAlign w:val="center"/>
          </w:tcPr>
          <w:p w14:paraId="0B08475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708" w:type="dxa"/>
            <w:vAlign w:val="center"/>
          </w:tcPr>
          <w:p w14:paraId="5D3DDB8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3544" w:type="dxa"/>
            <w:vAlign w:val="center"/>
          </w:tcPr>
          <w:p w14:paraId="3CB7DD6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社会消费品零售总额</w:t>
            </w:r>
          </w:p>
        </w:tc>
        <w:tc>
          <w:tcPr>
            <w:tcW w:w="851" w:type="dxa"/>
            <w:vAlign w:val="center"/>
          </w:tcPr>
          <w:p w14:paraId="4BA1794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11" w:type="dxa"/>
            <w:vAlign w:val="center"/>
          </w:tcPr>
          <w:p w14:paraId="71ADECC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2DC92F6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091" w:type="dxa"/>
            <w:vAlign w:val="center"/>
          </w:tcPr>
          <w:p w14:paraId="2359ED7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13</w:t>
            </w:r>
          </w:p>
        </w:tc>
        <w:tc>
          <w:tcPr>
            <w:tcW w:w="993" w:type="dxa"/>
            <w:tcBorders>
              <w:right w:val="single" w:color="auto" w:sz="4" w:space="0"/>
            </w:tcBorders>
            <w:vAlign w:val="center"/>
          </w:tcPr>
          <w:p w14:paraId="3DB662D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144.26</w:t>
            </w:r>
          </w:p>
        </w:tc>
        <w:tc>
          <w:tcPr>
            <w:tcW w:w="1134" w:type="dxa"/>
            <w:tcBorders>
              <w:left w:val="single" w:color="auto" w:sz="4" w:space="0"/>
            </w:tcBorders>
            <w:vAlign w:val="center"/>
          </w:tcPr>
          <w:p w14:paraId="3B8277B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11.4</w:t>
            </w:r>
          </w:p>
        </w:tc>
        <w:tc>
          <w:tcPr>
            <w:tcW w:w="992" w:type="dxa"/>
            <w:vAlign w:val="center"/>
          </w:tcPr>
          <w:p w14:paraId="6A23A00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122</w:t>
            </w:r>
          </w:p>
        </w:tc>
        <w:tc>
          <w:tcPr>
            <w:tcW w:w="1134" w:type="dxa"/>
            <w:vAlign w:val="center"/>
          </w:tcPr>
          <w:p w14:paraId="066C864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3.25</w:t>
            </w:r>
          </w:p>
        </w:tc>
        <w:tc>
          <w:tcPr>
            <w:tcW w:w="992" w:type="dxa"/>
            <w:vAlign w:val="center"/>
          </w:tcPr>
          <w:p w14:paraId="4B23BCA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77BDD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continue"/>
            <w:vAlign w:val="center"/>
          </w:tcPr>
          <w:p w14:paraId="4ABD445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708" w:type="dxa"/>
            <w:vAlign w:val="center"/>
          </w:tcPr>
          <w:p w14:paraId="4840277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3544" w:type="dxa"/>
            <w:vAlign w:val="center"/>
          </w:tcPr>
          <w:p w14:paraId="1FD52EA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规模以上工业增加值</w:t>
            </w:r>
          </w:p>
        </w:tc>
        <w:tc>
          <w:tcPr>
            <w:tcW w:w="851" w:type="dxa"/>
            <w:vAlign w:val="center"/>
          </w:tcPr>
          <w:p w14:paraId="4175EB3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11" w:type="dxa"/>
            <w:vAlign w:val="center"/>
          </w:tcPr>
          <w:p w14:paraId="244EA5F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958" w:type="dxa"/>
            <w:vAlign w:val="center"/>
          </w:tcPr>
          <w:p w14:paraId="508BC26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091" w:type="dxa"/>
            <w:vAlign w:val="center"/>
          </w:tcPr>
          <w:p w14:paraId="38787B7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w:t>
            </w:r>
          </w:p>
        </w:tc>
        <w:tc>
          <w:tcPr>
            <w:tcW w:w="993" w:type="dxa"/>
            <w:tcBorders>
              <w:right w:val="single" w:color="auto" w:sz="4" w:space="0"/>
            </w:tcBorders>
            <w:vAlign w:val="center"/>
          </w:tcPr>
          <w:p w14:paraId="7D1C391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34" w:type="dxa"/>
            <w:tcBorders>
              <w:left w:val="single" w:color="auto" w:sz="4" w:space="0"/>
            </w:tcBorders>
            <w:vAlign w:val="center"/>
          </w:tcPr>
          <w:p w14:paraId="259BA7E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4.34</w:t>
            </w:r>
          </w:p>
        </w:tc>
        <w:tc>
          <w:tcPr>
            <w:tcW w:w="992" w:type="dxa"/>
            <w:vAlign w:val="center"/>
          </w:tcPr>
          <w:p w14:paraId="2D2E660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34" w:type="dxa"/>
            <w:vAlign w:val="center"/>
          </w:tcPr>
          <w:p w14:paraId="6DFA2686">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0.25</w:t>
            </w:r>
          </w:p>
        </w:tc>
        <w:tc>
          <w:tcPr>
            <w:tcW w:w="992" w:type="dxa"/>
            <w:vAlign w:val="center"/>
          </w:tcPr>
          <w:p w14:paraId="2820F7A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42E09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continue"/>
            <w:vAlign w:val="center"/>
          </w:tcPr>
          <w:p w14:paraId="1AA22A9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708" w:type="dxa"/>
            <w:vAlign w:val="center"/>
          </w:tcPr>
          <w:p w14:paraId="4F08C29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w:t>
            </w:r>
          </w:p>
        </w:tc>
        <w:tc>
          <w:tcPr>
            <w:tcW w:w="3544" w:type="dxa"/>
            <w:vAlign w:val="center"/>
          </w:tcPr>
          <w:p w14:paraId="5B1ED3C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地方公共财政预算收入</w:t>
            </w:r>
          </w:p>
        </w:tc>
        <w:tc>
          <w:tcPr>
            <w:tcW w:w="851" w:type="dxa"/>
            <w:vAlign w:val="center"/>
          </w:tcPr>
          <w:p w14:paraId="4CC57936">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亿元</w:t>
            </w:r>
          </w:p>
        </w:tc>
        <w:tc>
          <w:tcPr>
            <w:tcW w:w="1111" w:type="dxa"/>
            <w:vAlign w:val="center"/>
          </w:tcPr>
          <w:p w14:paraId="0C7C493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7.27</w:t>
            </w:r>
          </w:p>
        </w:tc>
        <w:tc>
          <w:tcPr>
            <w:tcW w:w="958" w:type="dxa"/>
            <w:vAlign w:val="center"/>
          </w:tcPr>
          <w:p w14:paraId="0A51DBE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091" w:type="dxa"/>
            <w:vAlign w:val="center"/>
          </w:tcPr>
          <w:p w14:paraId="30D0A8E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w:t>
            </w:r>
          </w:p>
        </w:tc>
        <w:tc>
          <w:tcPr>
            <w:tcW w:w="993" w:type="dxa"/>
            <w:tcBorders>
              <w:right w:val="single" w:color="auto" w:sz="4" w:space="0"/>
            </w:tcBorders>
            <w:vAlign w:val="center"/>
          </w:tcPr>
          <w:p w14:paraId="285BD81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8.12</w:t>
            </w:r>
          </w:p>
        </w:tc>
        <w:tc>
          <w:tcPr>
            <w:tcW w:w="1134" w:type="dxa"/>
            <w:tcBorders>
              <w:left w:val="single" w:color="auto" w:sz="4" w:space="0"/>
            </w:tcBorders>
            <w:vAlign w:val="center"/>
          </w:tcPr>
          <w:p w14:paraId="041EB9D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2.80</w:t>
            </w:r>
          </w:p>
        </w:tc>
        <w:tc>
          <w:tcPr>
            <w:tcW w:w="992" w:type="dxa"/>
            <w:vAlign w:val="center"/>
          </w:tcPr>
          <w:p w14:paraId="42B435A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6.11</w:t>
            </w:r>
          </w:p>
        </w:tc>
        <w:tc>
          <w:tcPr>
            <w:tcW w:w="1134" w:type="dxa"/>
            <w:vAlign w:val="center"/>
          </w:tcPr>
          <w:p w14:paraId="26098F7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-3.2</w:t>
            </w:r>
          </w:p>
        </w:tc>
        <w:tc>
          <w:tcPr>
            <w:tcW w:w="992" w:type="dxa"/>
            <w:vAlign w:val="center"/>
          </w:tcPr>
          <w:p w14:paraId="6F181B5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5C958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restart"/>
            <w:vAlign w:val="center"/>
          </w:tcPr>
          <w:p w14:paraId="198D66B5">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创</w:t>
            </w:r>
          </w:p>
          <w:p w14:paraId="6445404C">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新</w:t>
            </w:r>
          </w:p>
          <w:p w14:paraId="0E9EA673">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驱</w:t>
            </w:r>
          </w:p>
          <w:p w14:paraId="6F1AF8D8">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动</w:t>
            </w:r>
          </w:p>
          <w:p w14:paraId="6FC29588">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类</w:t>
            </w:r>
          </w:p>
        </w:tc>
        <w:tc>
          <w:tcPr>
            <w:tcW w:w="708" w:type="dxa"/>
            <w:vAlign w:val="center"/>
          </w:tcPr>
          <w:p w14:paraId="3FED4FB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w:t>
            </w:r>
          </w:p>
        </w:tc>
        <w:tc>
          <w:tcPr>
            <w:tcW w:w="3544" w:type="dxa"/>
            <w:vAlign w:val="center"/>
          </w:tcPr>
          <w:p w14:paraId="44CC4907">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R＆D经费占生产总值比重</w:t>
            </w:r>
          </w:p>
        </w:tc>
        <w:tc>
          <w:tcPr>
            <w:tcW w:w="851" w:type="dxa"/>
            <w:vAlign w:val="center"/>
          </w:tcPr>
          <w:p w14:paraId="1FF7749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11" w:type="dxa"/>
            <w:vAlign w:val="center"/>
          </w:tcPr>
          <w:p w14:paraId="1B6D6C9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2A2304C6">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1.2</w:t>
            </w:r>
          </w:p>
        </w:tc>
        <w:tc>
          <w:tcPr>
            <w:tcW w:w="1091" w:type="dxa"/>
            <w:vAlign w:val="center"/>
          </w:tcPr>
          <w:p w14:paraId="544B1CF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3" w:type="dxa"/>
            <w:tcBorders>
              <w:right w:val="single" w:color="auto" w:sz="4" w:space="0"/>
            </w:tcBorders>
            <w:vAlign w:val="center"/>
          </w:tcPr>
          <w:p w14:paraId="36D1451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1.52</w:t>
            </w:r>
          </w:p>
        </w:tc>
        <w:tc>
          <w:tcPr>
            <w:tcW w:w="1134" w:type="dxa"/>
            <w:tcBorders>
              <w:left w:val="single" w:color="auto" w:sz="4" w:space="0"/>
            </w:tcBorders>
            <w:vAlign w:val="center"/>
          </w:tcPr>
          <w:p w14:paraId="0ADBCC1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531CB9D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1.59</w:t>
            </w:r>
          </w:p>
        </w:tc>
        <w:tc>
          <w:tcPr>
            <w:tcW w:w="1134" w:type="dxa"/>
            <w:vAlign w:val="center"/>
          </w:tcPr>
          <w:p w14:paraId="279AF1D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631322F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46861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continue"/>
            <w:vAlign w:val="center"/>
          </w:tcPr>
          <w:p w14:paraId="3B373E4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708" w:type="dxa"/>
            <w:vAlign w:val="center"/>
          </w:tcPr>
          <w:p w14:paraId="2B37F6D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w:t>
            </w:r>
          </w:p>
        </w:tc>
        <w:tc>
          <w:tcPr>
            <w:tcW w:w="3544" w:type="dxa"/>
            <w:vAlign w:val="center"/>
          </w:tcPr>
          <w:p w14:paraId="18549EB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每万人口发明专利拥有量</w:t>
            </w:r>
          </w:p>
        </w:tc>
        <w:tc>
          <w:tcPr>
            <w:tcW w:w="851" w:type="dxa"/>
            <w:vAlign w:val="center"/>
          </w:tcPr>
          <w:p w14:paraId="407AF1F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件</w:t>
            </w:r>
          </w:p>
        </w:tc>
        <w:tc>
          <w:tcPr>
            <w:tcW w:w="1111" w:type="dxa"/>
            <w:vAlign w:val="center"/>
          </w:tcPr>
          <w:p w14:paraId="7C4F054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958" w:type="dxa"/>
            <w:vAlign w:val="center"/>
          </w:tcPr>
          <w:p w14:paraId="33129C1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1091" w:type="dxa"/>
            <w:vAlign w:val="center"/>
          </w:tcPr>
          <w:p w14:paraId="254F60C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3" w:type="dxa"/>
            <w:tcBorders>
              <w:right w:val="single" w:color="auto" w:sz="4" w:space="0"/>
            </w:tcBorders>
            <w:vAlign w:val="center"/>
          </w:tcPr>
          <w:p w14:paraId="6F3DCB4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w:t>
            </w:r>
          </w:p>
        </w:tc>
        <w:tc>
          <w:tcPr>
            <w:tcW w:w="1134" w:type="dxa"/>
            <w:tcBorders>
              <w:left w:val="single" w:color="auto" w:sz="4" w:space="0"/>
            </w:tcBorders>
            <w:vAlign w:val="center"/>
          </w:tcPr>
          <w:p w14:paraId="5ACAFD4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3B05444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6.22</w:t>
            </w:r>
          </w:p>
        </w:tc>
        <w:tc>
          <w:tcPr>
            <w:tcW w:w="1134" w:type="dxa"/>
            <w:vAlign w:val="center"/>
          </w:tcPr>
          <w:p w14:paraId="031EA787">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5D6666B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63C18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continue"/>
            <w:vAlign w:val="center"/>
          </w:tcPr>
          <w:p w14:paraId="4B03698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708" w:type="dxa"/>
            <w:vAlign w:val="center"/>
          </w:tcPr>
          <w:p w14:paraId="6EDDD55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w:t>
            </w:r>
          </w:p>
        </w:tc>
        <w:tc>
          <w:tcPr>
            <w:tcW w:w="3544" w:type="dxa"/>
            <w:vAlign w:val="center"/>
          </w:tcPr>
          <w:p w14:paraId="0AF2826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高新技术产业增加值占GDP比重</w:t>
            </w:r>
          </w:p>
        </w:tc>
        <w:tc>
          <w:tcPr>
            <w:tcW w:w="851" w:type="dxa"/>
            <w:vAlign w:val="center"/>
          </w:tcPr>
          <w:p w14:paraId="53C3AFF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11" w:type="dxa"/>
            <w:vAlign w:val="center"/>
          </w:tcPr>
          <w:p w14:paraId="3E9B9346">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1A898B2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2.5</w:t>
            </w:r>
          </w:p>
        </w:tc>
        <w:tc>
          <w:tcPr>
            <w:tcW w:w="1091" w:type="dxa"/>
            <w:vAlign w:val="center"/>
          </w:tcPr>
          <w:p w14:paraId="02A8930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3" w:type="dxa"/>
            <w:tcBorders>
              <w:right w:val="single" w:color="auto" w:sz="4" w:space="0"/>
            </w:tcBorders>
            <w:vAlign w:val="center"/>
          </w:tcPr>
          <w:p w14:paraId="3BCBD6E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2.17</w:t>
            </w:r>
          </w:p>
        </w:tc>
        <w:tc>
          <w:tcPr>
            <w:tcW w:w="1134" w:type="dxa"/>
            <w:tcBorders>
              <w:left w:val="single" w:color="auto" w:sz="4" w:space="0"/>
            </w:tcBorders>
            <w:vAlign w:val="center"/>
          </w:tcPr>
          <w:p w14:paraId="1DFD3CA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2CD1A9B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2.32</w:t>
            </w:r>
          </w:p>
        </w:tc>
        <w:tc>
          <w:tcPr>
            <w:tcW w:w="1134" w:type="dxa"/>
            <w:vAlign w:val="center"/>
          </w:tcPr>
          <w:p w14:paraId="47718BB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68E049D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48042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restart"/>
            <w:vAlign w:val="center"/>
          </w:tcPr>
          <w:p w14:paraId="56237D1D">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w:t>
            </w:r>
          </w:p>
          <w:p w14:paraId="67FBC113">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民</w:t>
            </w:r>
          </w:p>
          <w:p w14:paraId="5FD556C6">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生</w:t>
            </w:r>
          </w:p>
          <w:p w14:paraId="09622C63">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活</w:t>
            </w:r>
          </w:p>
          <w:p w14:paraId="4A042A79">
            <w:pPr>
              <w:widowControl w:val="0"/>
              <w:spacing w:line="260" w:lineRule="exact"/>
              <w:ind w:firstLine="0" w:firstLineChars="0"/>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类</w:t>
            </w:r>
          </w:p>
        </w:tc>
        <w:tc>
          <w:tcPr>
            <w:tcW w:w="708" w:type="dxa"/>
            <w:vAlign w:val="center"/>
          </w:tcPr>
          <w:p w14:paraId="4529C34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w:t>
            </w:r>
          </w:p>
        </w:tc>
        <w:tc>
          <w:tcPr>
            <w:tcW w:w="3544" w:type="dxa"/>
            <w:vAlign w:val="center"/>
          </w:tcPr>
          <w:p w14:paraId="5D64DD1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全区总人口</w:t>
            </w:r>
          </w:p>
        </w:tc>
        <w:tc>
          <w:tcPr>
            <w:tcW w:w="851" w:type="dxa"/>
            <w:vAlign w:val="center"/>
          </w:tcPr>
          <w:p w14:paraId="0851186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万人</w:t>
            </w:r>
          </w:p>
        </w:tc>
        <w:tc>
          <w:tcPr>
            <w:tcW w:w="1111" w:type="dxa"/>
            <w:vAlign w:val="center"/>
          </w:tcPr>
          <w:p w14:paraId="648F755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23.74</w:t>
            </w:r>
          </w:p>
        </w:tc>
        <w:tc>
          <w:tcPr>
            <w:tcW w:w="958" w:type="dxa"/>
            <w:vAlign w:val="center"/>
          </w:tcPr>
          <w:p w14:paraId="42B8865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26</w:t>
            </w:r>
          </w:p>
        </w:tc>
        <w:tc>
          <w:tcPr>
            <w:tcW w:w="1091" w:type="dxa"/>
            <w:vAlign w:val="center"/>
          </w:tcPr>
          <w:p w14:paraId="1B800CA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3" w:type="dxa"/>
            <w:tcBorders>
              <w:right w:val="single" w:color="auto" w:sz="4" w:space="0"/>
            </w:tcBorders>
            <w:vAlign w:val="center"/>
          </w:tcPr>
          <w:p w14:paraId="58434EB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34" w:type="dxa"/>
            <w:tcBorders>
              <w:left w:val="single" w:color="auto" w:sz="4" w:space="0"/>
            </w:tcBorders>
            <w:vAlign w:val="center"/>
          </w:tcPr>
          <w:p w14:paraId="479A856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745D3AA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25.34</w:t>
            </w:r>
          </w:p>
        </w:tc>
        <w:tc>
          <w:tcPr>
            <w:tcW w:w="1134" w:type="dxa"/>
            <w:vAlign w:val="center"/>
          </w:tcPr>
          <w:p w14:paraId="6A23757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51D7894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736A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continue"/>
            <w:vAlign w:val="center"/>
          </w:tcPr>
          <w:p w14:paraId="51CE0B2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708" w:type="dxa"/>
            <w:vMerge w:val="restart"/>
            <w:vAlign w:val="center"/>
          </w:tcPr>
          <w:p w14:paraId="39550CD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11</w:t>
            </w:r>
          </w:p>
        </w:tc>
        <w:tc>
          <w:tcPr>
            <w:tcW w:w="3544" w:type="dxa"/>
            <w:vAlign w:val="center"/>
          </w:tcPr>
          <w:p w14:paraId="7B1C9FD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常住人口城镇化率</w:t>
            </w:r>
          </w:p>
        </w:tc>
        <w:tc>
          <w:tcPr>
            <w:tcW w:w="851" w:type="dxa"/>
            <w:vAlign w:val="center"/>
          </w:tcPr>
          <w:p w14:paraId="6366AD2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11" w:type="dxa"/>
            <w:vAlign w:val="center"/>
          </w:tcPr>
          <w:p w14:paraId="53D717C7">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2349BAE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85</w:t>
            </w:r>
          </w:p>
        </w:tc>
        <w:tc>
          <w:tcPr>
            <w:tcW w:w="1091" w:type="dxa"/>
            <w:vAlign w:val="center"/>
          </w:tcPr>
          <w:p w14:paraId="34360E5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3" w:type="dxa"/>
            <w:tcBorders>
              <w:right w:val="single" w:color="auto" w:sz="4" w:space="0"/>
            </w:tcBorders>
            <w:vAlign w:val="center"/>
          </w:tcPr>
          <w:p w14:paraId="3844834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100</w:t>
            </w:r>
          </w:p>
        </w:tc>
        <w:tc>
          <w:tcPr>
            <w:tcW w:w="1134" w:type="dxa"/>
            <w:tcBorders>
              <w:left w:val="single" w:color="auto" w:sz="4" w:space="0"/>
            </w:tcBorders>
            <w:vAlign w:val="center"/>
          </w:tcPr>
          <w:p w14:paraId="0562640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266400E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100</w:t>
            </w:r>
          </w:p>
        </w:tc>
        <w:tc>
          <w:tcPr>
            <w:tcW w:w="1134" w:type="dxa"/>
            <w:vAlign w:val="center"/>
          </w:tcPr>
          <w:p w14:paraId="3B5D3E16">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24A314C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52D87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continue"/>
            <w:vAlign w:val="center"/>
          </w:tcPr>
          <w:p w14:paraId="03C9AE6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708" w:type="dxa"/>
            <w:vMerge w:val="continue"/>
            <w:vAlign w:val="center"/>
          </w:tcPr>
          <w:p w14:paraId="7F4A8ED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3544" w:type="dxa"/>
            <w:vAlign w:val="center"/>
          </w:tcPr>
          <w:p w14:paraId="1CD58D3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户籍人口城镇化率</w:t>
            </w:r>
          </w:p>
        </w:tc>
        <w:tc>
          <w:tcPr>
            <w:tcW w:w="851" w:type="dxa"/>
            <w:vAlign w:val="center"/>
          </w:tcPr>
          <w:p w14:paraId="72C045D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11" w:type="dxa"/>
            <w:vAlign w:val="center"/>
          </w:tcPr>
          <w:p w14:paraId="14131F2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100</w:t>
            </w:r>
          </w:p>
        </w:tc>
        <w:tc>
          <w:tcPr>
            <w:tcW w:w="958" w:type="dxa"/>
            <w:vAlign w:val="center"/>
          </w:tcPr>
          <w:p w14:paraId="608A4497">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100</w:t>
            </w:r>
          </w:p>
        </w:tc>
        <w:tc>
          <w:tcPr>
            <w:tcW w:w="1091" w:type="dxa"/>
            <w:vAlign w:val="center"/>
          </w:tcPr>
          <w:p w14:paraId="5C2F2EB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3" w:type="dxa"/>
            <w:tcBorders>
              <w:right w:val="single" w:color="auto" w:sz="4" w:space="0"/>
            </w:tcBorders>
            <w:vAlign w:val="center"/>
          </w:tcPr>
          <w:p w14:paraId="270CC09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100</w:t>
            </w:r>
          </w:p>
        </w:tc>
        <w:tc>
          <w:tcPr>
            <w:tcW w:w="1134" w:type="dxa"/>
            <w:tcBorders>
              <w:left w:val="single" w:color="auto" w:sz="4" w:space="0"/>
            </w:tcBorders>
            <w:vAlign w:val="center"/>
          </w:tcPr>
          <w:p w14:paraId="1F9919A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1D81D48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100</w:t>
            </w:r>
          </w:p>
        </w:tc>
        <w:tc>
          <w:tcPr>
            <w:tcW w:w="1134" w:type="dxa"/>
            <w:vAlign w:val="center"/>
          </w:tcPr>
          <w:p w14:paraId="49644BB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6102E9D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40046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continue"/>
            <w:vAlign w:val="center"/>
          </w:tcPr>
          <w:p w14:paraId="6FBEFB3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708" w:type="dxa"/>
            <w:vAlign w:val="center"/>
          </w:tcPr>
          <w:p w14:paraId="024F9EB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12</w:t>
            </w:r>
          </w:p>
        </w:tc>
        <w:tc>
          <w:tcPr>
            <w:tcW w:w="3544" w:type="dxa"/>
            <w:vAlign w:val="center"/>
          </w:tcPr>
          <w:p w14:paraId="33FEB94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城镇居民人均可支配收入</w:t>
            </w:r>
          </w:p>
        </w:tc>
        <w:tc>
          <w:tcPr>
            <w:tcW w:w="851" w:type="dxa"/>
            <w:vAlign w:val="center"/>
          </w:tcPr>
          <w:p w14:paraId="28613D5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元</w:t>
            </w:r>
          </w:p>
        </w:tc>
        <w:tc>
          <w:tcPr>
            <w:tcW w:w="1111" w:type="dxa"/>
            <w:vAlign w:val="center"/>
          </w:tcPr>
          <w:p w14:paraId="714A203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31674</w:t>
            </w:r>
          </w:p>
        </w:tc>
        <w:tc>
          <w:tcPr>
            <w:tcW w:w="958" w:type="dxa"/>
            <w:vAlign w:val="center"/>
          </w:tcPr>
          <w:p w14:paraId="0395957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48734</w:t>
            </w:r>
          </w:p>
        </w:tc>
        <w:tc>
          <w:tcPr>
            <w:tcW w:w="1091" w:type="dxa"/>
            <w:vAlign w:val="center"/>
          </w:tcPr>
          <w:p w14:paraId="21405D3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w:t>
            </w:r>
          </w:p>
        </w:tc>
        <w:tc>
          <w:tcPr>
            <w:tcW w:w="993" w:type="dxa"/>
            <w:tcBorders>
              <w:right w:val="single" w:color="auto" w:sz="4" w:space="0"/>
            </w:tcBorders>
            <w:vAlign w:val="center"/>
          </w:tcPr>
          <w:p w14:paraId="65B8E68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44561</w:t>
            </w:r>
          </w:p>
        </w:tc>
        <w:tc>
          <w:tcPr>
            <w:tcW w:w="1134" w:type="dxa"/>
            <w:tcBorders>
              <w:left w:val="single" w:color="auto" w:sz="4" w:space="0"/>
            </w:tcBorders>
            <w:vAlign w:val="center"/>
          </w:tcPr>
          <w:p w14:paraId="537311A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8.96</w:t>
            </w:r>
          </w:p>
        </w:tc>
        <w:tc>
          <w:tcPr>
            <w:tcW w:w="992" w:type="dxa"/>
            <w:vAlign w:val="center"/>
          </w:tcPr>
          <w:p w14:paraId="0C5061E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41887</w:t>
            </w:r>
          </w:p>
        </w:tc>
        <w:tc>
          <w:tcPr>
            <w:tcW w:w="1134" w:type="dxa"/>
            <w:vAlign w:val="center"/>
          </w:tcPr>
          <w:p w14:paraId="7C85F90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5.9</w:t>
            </w:r>
          </w:p>
        </w:tc>
        <w:tc>
          <w:tcPr>
            <w:tcW w:w="992" w:type="dxa"/>
            <w:vAlign w:val="center"/>
          </w:tcPr>
          <w:p w14:paraId="6E9ECE8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11F9A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continue"/>
            <w:vAlign w:val="center"/>
          </w:tcPr>
          <w:p w14:paraId="47FF3CAB">
            <w:pPr>
              <w:widowControl w:val="0"/>
              <w:spacing w:line="260" w:lineRule="exact"/>
              <w:ind w:firstLine="0" w:firstLineChars="0"/>
              <w:jc w:val="center"/>
              <w:rPr>
                <w:rFonts w:ascii="仿宋" w:hAnsi="仿宋" w:eastAsia="仿宋"/>
                <w:color w:val="000000" w:themeColor="text1"/>
                <w:sz w:val="24"/>
                <w14:textFill>
                  <w14:solidFill>
                    <w14:schemeClr w14:val="tx1"/>
                  </w14:solidFill>
                </w14:textFill>
              </w:rPr>
            </w:pPr>
          </w:p>
        </w:tc>
        <w:tc>
          <w:tcPr>
            <w:tcW w:w="708" w:type="dxa"/>
            <w:vAlign w:val="center"/>
          </w:tcPr>
          <w:p w14:paraId="6DAE0DB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13</w:t>
            </w:r>
          </w:p>
        </w:tc>
        <w:tc>
          <w:tcPr>
            <w:tcW w:w="3544" w:type="dxa"/>
            <w:vAlign w:val="center"/>
          </w:tcPr>
          <w:p w14:paraId="35707DE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城镇新增就业人数</w:t>
            </w:r>
          </w:p>
        </w:tc>
        <w:tc>
          <w:tcPr>
            <w:tcW w:w="851" w:type="dxa"/>
            <w:vAlign w:val="center"/>
          </w:tcPr>
          <w:p w14:paraId="3DA785C7">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万人</w:t>
            </w:r>
          </w:p>
        </w:tc>
        <w:tc>
          <w:tcPr>
            <w:tcW w:w="1111" w:type="dxa"/>
            <w:vAlign w:val="center"/>
          </w:tcPr>
          <w:p w14:paraId="3E16D47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[5.3]</w:t>
            </w:r>
          </w:p>
        </w:tc>
        <w:tc>
          <w:tcPr>
            <w:tcW w:w="958" w:type="dxa"/>
            <w:vAlign w:val="center"/>
          </w:tcPr>
          <w:p w14:paraId="6179F41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1091" w:type="dxa"/>
            <w:vAlign w:val="center"/>
          </w:tcPr>
          <w:p w14:paraId="27AA612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3" w:type="dxa"/>
            <w:tcBorders>
              <w:right w:val="single" w:color="auto" w:sz="4" w:space="0"/>
            </w:tcBorders>
            <w:vAlign w:val="center"/>
          </w:tcPr>
          <w:p w14:paraId="3626A1E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[4.77]</w:t>
            </w:r>
          </w:p>
        </w:tc>
        <w:tc>
          <w:tcPr>
            <w:tcW w:w="1134" w:type="dxa"/>
            <w:tcBorders>
              <w:left w:val="single" w:color="auto" w:sz="4" w:space="0"/>
            </w:tcBorders>
            <w:vAlign w:val="center"/>
          </w:tcPr>
          <w:p w14:paraId="30ED2CC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1C9EA3A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[5.37]</w:t>
            </w:r>
          </w:p>
        </w:tc>
        <w:tc>
          <w:tcPr>
            <w:tcW w:w="1134" w:type="dxa"/>
            <w:vAlign w:val="center"/>
          </w:tcPr>
          <w:p w14:paraId="5B448CF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1597CA06">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0060B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continue"/>
            <w:vAlign w:val="center"/>
          </w:tcPr>
          <w:p w14:paraId="4E96E2BE">
            <w:pPr>
              <w:widowControl w:val="0"/>
              <w:spacing w:line="260" w:lineRule="exact"/>
              <w:ind w:firstLine="0" w:firstLineChars="0"/>
              <w:jc w:val="center"/>
              <w:rPr>
                <w:rFonts w:ascii="仿宋" w:hAnsi="仿宋" w:eastAsia="仿宋"/>
                <w:color w:val="000000" w:themeColor="text1"/>
                <w:sz w:val="24"/>
                <w14:textFill>
                  <w14:solidFill>
                    <w14:schemeClr w14:val="tx1"/>
                  </w14:solidFill>
                </w14:textFill>
              </w:rPr>
            </w:pPr>
          </w:p>
        </w:tc>
        <w:tc>
          <w:tcPr>
            <w:tcW w:w="708" w:type="dxa"/>
            <w:vAlign w:val="center"/>
          </w:tcPr>
          <w:p w14:paraId="4FB6995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14</w:t>
            </w:r>
          </w:p>
        </w:tc>
        <w:tc>
          <w:tcPr>
            <w:tcW w:w="3544" w:type="dxa"/>
            <w:vAlign w:val="center"/>
          </w:tcPr>
          <w:p w14:paraId="1E3AB77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城镇登记失业率</w:t>
            </w:r>
          </w:p>
        </w:tc>
        <w:tc>
          <w:tcPr>
            <w:tcW w:w="851" w:type="dxa"/>
            <w:vAlign w:val="center"/>
          </w:tcPr>
          <w:p w14:paraId="1DE782B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11" w:type="dxa"/>
            <w:vAlign w:val="center"/>
          </w:tcPr>
          <w:p w14:paraId="661CDED7">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668559B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&lt;4.5</w:t>
            </w:r>
          </w:p>
        </w:tc>
        <w:tc>
          <w:tcPr>
            <w:tcW w:w="1091" w:type="dxa"/>
            <w:vAlign w:val="center"/>
          </w:tcPr>
          <w:p w14:paraId="5B045EE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3" w:type="dxa"/>
            <w:tcBorders>
              <w:right w:val="single" w:color="auto" w:sz="4" w:space="0"/>
            </w:tcBorders>
            <w:vAlign w:val="center"/>
          </w:tcPr>
          <w:p w14:paraId="1AB2ACB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&lt;4.5</w:t>
            </w:r>
          </w:p>
        </w:tc>
        <w:tc>
          <w:tcPr>
            <w:tcW w:w="1134" w:type="dxa"/>
            <w:tcBorders>
              <w:left w:val="single" w:color="auto" w:sz="4" w:space="0"/>
            </w:tcBorders>
            <w:vAlign w:val="center"/>
          </w:tcPr>
          <w:p w14:paraId="1C3BDFB6">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706232B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&lt;4.5</w:t>
            </w:r>
          </w:p>
        </w:tc>
        <w:tc>
          <w:tcPr>
            <w:tcW w:w="1134" w:type="dxa"/>
            <w:vAlign w:val="center"/>
          </w:tcPr>
          <w:p w14:paraId="38993E06">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74D9CB4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1CEDD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568" w:type="dxa"/>
            <w:vMerge w:val="continue"/>
            <w:vAlign w:val="center"/>
          </w:tcPr>
          <w:p w14:paraId="66CE5364">
            <w:pPr>
              <w:widowControl w:val="0"/>
              <w:spacing w:line="260" w:lineRule="exact"/>
              <w:ind w:firstLine="0" w:firstLineChars="0"/>
              <w:jc w:val="center"/>
              <w:rPr>
                <w:rFonts w:ascii="仿宋" w:hAnsi="仿宋" w:eastAsia="仿宋"/>
                <w:color w:val="000000" w:themeColor="text1"/>
                <w:sz w:val="24"/>
                <w14:textFill>
                  <w14:solidFill>
                    <w14:schemeClr w14:val="tx1"/>
                  </w14:solidFill>
                </w14:textFill>
              </w:rPr>
            </w:pPr>
          </w:p>
        </w:tc>
        <w:tc>
          <w:tcPr>
            <w:tcW w:w="708" w:type="dxa"/>
            <w:vAlign w:val="center"/>
          </w:tcPr>
          <w:p w14:paraId="5F58405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w:t>
            </w:r>
          </w:p>
        </w:tc>
        <w:tc>
          <w:tcPr>
            <w:tcW w:w="3544" w:type="dxa"/>
            <w:vAlign w:val="center"/>
          </w:tcPr>
          <w:p w14:paraId="1EAF7E9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高中阶段教育毛入学率</w:t>
            </w:r>
          </w:p>
        </w:tc>
        <w:tc>
          <w:tcPr>
            <w:tcW w:w="851" w:type="dxa"/>
            <w:vAlign w:val="center"/>
          </w:tcPr>
          <w:p w14:paraId="055B975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11" w:type="dxa"/>
            <w:vAlign w:val="center"/>
          </w:tcPr>
          <w:p w14:paraId="327BC69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6D0AF52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98</w:t>
            </w:r>
          </w:p>
        </w:tc>
        <w:tc>
          <w:tcPr>
            <w:tcW w:w="1091" w:type="dxa"/>
            <w:vAlign w:val="center"/>
          </w:tcPr>
          <w:p w14:paraId="0211F25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3" w:type="dxa"/>
            <w:tcBorders>
              <w:right w:val="single" w:color="auto" w:sz="4" w:space="0"/>
            </w:tcBorders>
            <w:vAlign w:val="center"/>
          </w:tcPr>
          <w:p w14:paraId="5462E88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98</w:t>
            </w:r>
          </w:p>
        </w:tc>
        <w:tc>
          <w:tcPr>
            <w:tcW w:w="1134" w:type="dxa"/>
            <w:tcBorders>
              <w:left w:val="single" w:color="auto" w:sz="4" w:space="0"/>
            </w:tcBorders>
            <w:vAlign w:val="center"/>
          </w:tcPr>
          <w:p w14:paraId="402C704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4B205CE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98</w:t>
            </w:r>
          </w:p>
        </w:tc>
        <w:tc>
          <w:tcPr>
            <w:tcW w:w="1134" w:type="dxa"/>
            <w:vAlign w:val="center"/>
          </w:tcPr>
          <w:p w14:paraId="72EDCD9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4748D70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36674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68" w:type="dxa"/>
            <w:vMerge w:val="restart"/>
            <w:vAlign w:val="center"/>
          </w:tcPr>
          <w:p w14:paraId="6039E997">
            <w:pPr>
              <w:widowControl w:val="0"/>
              <w:spacing w:line="260" w:lineRule="exact"/>
              <w:ind w:firstLine="0" w:firstLineChars="0"/>
              <w:jc w:val="center"/>
              <w:textAlignment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w:t>
            </w:r>
          </w:p>
          <w:p w14:paraId="2AAB3B46">
            <w:pPr>
              <w:widowControl w:val="0"/>
              <w:spacing w:line="260" w:lineRule="exact"/>
              <w:ind w:firstLine="0" w:firstLineChars="0"/>
              <w:jc w:val="center"/>
              <w:textAlignment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共</w:t>
            </w:r>
          </w:p>
          <w:p w14:paraId="5FF8F2BE">
            <w:pPr>
              <w:widowControl w:val="0"/>
              <w:spacing w:line="260" w:lineRule="exact"/>
              <w:ind w:firstLine="0" w:firstLineChars="0"/>
              <w:jc w:val="center"/>
              <w:textAlignment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服</w:t>
            </w:r>
          </w:p>
          <w:p w14:paraId="6E45E708">
            <w:pPr>
              <w:widowControl w:val="0"/>
              <w:spacing w:line="260" w:lineRule="exact"/>
              <w:ind w:firstLine="0" w:firstLineChars="0"/>
              <w:jc w:val="center"/>
              <w:textAlignment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务</w:t>
            </w:r>
          </w:p>
          <w:p w14:paraId="33E0C447">
            <w:pPr>
              <w:widowControl w:val="0"/>
              <w:spacing w:line="260" w:lineRule="exact"/>
              <w:ind w:firstLine="0" w:firstLineChars="0"/>
              <w:jc w:val="center"/>
              <w:textAlignment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类</w:t>
            </w:r>
          </w:p>
        </w:tc>
        <w:tc>
          <w:tcPr>
            <w:tcW w:w="708" w:type="dxa"/>
            <w:vAlign w:val="center"/>
          </w:tcPr>
          <w:p w14:paraId="54F4D55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16</w:t>
            </w:r>
          </w:p>
        </w:tc>
        <w:tc>
          <w:tcPr>
            <w:tcW w:w="3544" w:type="dxa"/>
            <w:vAlign w:val="center"/>
          </w:tcPr>
          <w:p w14:paraId="601E8FA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城镇职工基本养老保险参保率</w:t>
            </w:r>
          </w:p>
        </w:tc>
        <w:tc>
          <w:tcPr>
            <w:tcW w:w="851" w:type="dxa"/>
            <w:vAlign w:val="center"/>
          </w:tcPr>
          <w:p w14:paraId="4548948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11" w:type="dxa"/>
            <w:vAlign w:val="center"/>
          </w:tcPr>
          <w:p w14:paraId="6F3F719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91.2</w:t>
            </w:r>
          </w:p>
        </w:tc>
        <w:tc>
          <w:tcPr>
            <w:tcW w:w="958" w:type="dxa"/>
            <w:vAlign w:val="center"/>
          </w:tcPr>
          <w:p w14:paraId="39E8B75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95</w:t>
            </w:r>
          </w:p>
        </w:tc>
        <w:tc>
          <w:tcPr>
            <w:tcW w:w="1091" w:type="dxa"/>
            <w:vAlign w:val="center"/>
          </w:tcPr>
          <w:p w14:paraId="0807BC2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3" w:type="dxa"/>
            <w:tcBorders>
              <w:right w:val="single" w:color="auto" w:sz="4" w:space="0"/>
            </w:tcBorders>
            <w:vAlign w:val="center"/>
          </w:tcPr>
          <w:p w14:paraId="40668C8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96</w:t>
            </w:r>
          </w:p>
        </w:tc>
        <w:tc>
          <w:tcPr>
            <w:tcW w:w="1134" w:type="dxa"/>
            <w:tcBorders>
              <w:left w:val="single" w:color="auto" w:sz="4" w:space="0"/>
            </w:tcBorders>
            <w:vAlign w:val="center"/>
          </w:tcPr>
          <w:p w14:paraId="300AF39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41739A0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96</w:t>
            </w:r>
          </w:p>
        </w:tc>
        <w:tc>
          <w:tcPr>
            <w:tcW w:w="1134" w:type="dxa"/>
            <w:vAlign w:val="center"/>
          </w:tcPr>
          <w:p w14:paraId="3A5C4B5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202FD9B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22C63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68" w:type="dxa"/>
            <w:vMerge w:val="continue"/>
            <w:vAlign w:val="center"/>
          </w:tcPr>
          <w:p w14:paraId="1CD4A7CB">
            <w:pPr>
              <w:widowControl w:val="0"/>
              <w:spacing w:line="260" w:lineRule="exact"/>
              <w:ind w:firstLine="0" w:firstLineChars="0"/>
              <w:jc w:val="center"/>
              <w:rPr>
                <w:rFonts w:ascii="仿宋" w:hAnsi="仿宋" w:eastAsia="仿宋"/>
                <w:color w:val="000000" w:themeColor="text1"/>
                <w:sz w:val="24"/>
                <w14:textFill>
                  <w14:solidFill>
                    <w14:schemeClr w14:val="tx1"/>
                  </w14:solidFill>
                </w14:textFill>
              </w:rPr>
            </w:pPr>
          </w:p>
        </w:tc>
        <w:tc>
          <w:tcPr>
            <w:tcW w:w="708" w:type="dxa"/>
            <w:vAlign w:val="center"/>
          </w:tcPr>
          <w:p w14:paraId="273C23A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17</w:t>
            </w:r>
          </w:p>
        </w:tc>
        <w:tc>
          <w:tcPr>
            <w:tcW w:w="3544" w:type="dxa"/>
            <w:vAlign w:val="center"/>
          </w:tcPr>
          <w:p w14:paraId="7A01F4E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城镇职工基本医疗保险参保率</w:t>
            </w:r>
          </w:p>
        </w:tc>
        <w:tc>
          <w:tcPr>
            <w:tcW w:w="851" w:type="dxa"/>
            <w:vAlign w:val="center"/>
          </w:tcPr>
          <w:p w14:paraId="2BC089D7">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11" w:type="dxa"/>
            <w:vAlign w:val="center"/>
          </w:tcPr>
          <w:p w14:paraId="6ECD7F1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0025664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95</w:t>
            </w:r>
          </w:p>
        </w:tc>
        <w:tc>
          <w:tcPr>
            <w:tcW w:w="1091" w:type="dxa"/>
            <w:vAlign w:val="center"/>
          </w:tcPr>
          <w:p w14:paraId="3FF3A9A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3" w:type="dxa"/>
            <w:tcBorders>
              <w:right w:val="single" w:color="auto" w:sz="4" w:space="0"/>
            </w:tcBorders>
            <w:vAlign w:val="center"/>
          </w:tcPr>
          <w:p w14:paraId="5ED6C1F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95</w:t>
            </w:r>
          </w:p>
        </w:tc>
        <w:tc>
          <w:tcPr>
            <w:tcW w:w="1134" w:type="dxa"/>
            <w:tcBorders>
              <w:left w:val="single" w:color="auto" w:sz="4" w:space="0"/>
            </w:tcBorders>
            <w:vAlign w:val="center"/>
          </w:tcPr>
          <w:p w14:paraId="271E14B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4B821EC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95</w:t>
            </w:r>
          </w:p>
        </w:tc>
        <w:tc>
          <w:tcPr>
            <w:tcW w:w="1134" w:type="dxa"/>
            <w:vAlign w:val="center"/>
          </w:tcPr>
          <w:p w14:paraId="631BB02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1994143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28F3D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68" w:type="dxa"/>
            <w:vMerge w:val="continue"/>
            <w:vAlign w:val="center"/>
          </w:tcPr>
          <w:p w14:paraId="578C97FE">
            <w:pPr>
              <w:widowControl w:val="0"/>
              <w:spacing w:line="260" w:lineRule="exact"/>
              <w:ind w:firstLine="0" w:firstLineChars="0"/>
              <w:jc w:val="center"/>
              <w:rPr>
                <w:rFonts w:ascii="仿宋" w:hAnsi="仿宋" w:eastAsia="仿宋"/>
                <w:color w:val="000000" w:themeColor="text1"/>
                <w:sz w:val="24"/>
                <w14:textFill>
                  <w14:solidFill>
                    <w14:schemeClr w14:val="tx1"/>
                  </w14:solidFill>
                </w14:textFill>
              </w:rPr>
            </w:pPr>
          </w:p>
        </w:tc>
        <w:tc>
          <w:tcPr>
            <w:tcW w:w="708" w:type="dxa"/>
            <w:vAlign w:val="center"/>
          </w:tcPr>
          <w:p w14:paraId="523737D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18</w:t>
            </w:r>
          </w:p>
        </w:tc>
        <w:tc>
          <w:tcPr>
            <w:tcW w:w="3544" w:type="dxa"/>
            <w:vAlign w:val="center"/>
          </w:tcPr>
          <w:p w14:paraId="7BAE224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城镇保障性住房建设</w:t>
            </w:r>
          </w:p>
        </w:tc>
        <w:tc>
          <w:tcPr>
            <w:tcW w:w="851" w:type="dxa"/>
            <w:vAlign w:val="center"/>
          </w:tcPr>
          <w:p w14:paraId="6F0D654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套</w:t>
            </w:r>
          </w:p>
        </w:tc>
        <w:tc>
          <w:tcPr>
            <w:tcW w:w="1111" w:type="dxa"/>
            <w:vAlign w:val="center"/>
          </w:tcPr>
          <w:p w14:paraId="386C461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59595BA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[2000]</w:t>
            </w:r>
          </w:p>
        </w:tc>
        <w:tc>
          <w:tcPr>
            <w:tcW w:w="1091" w:type="dxa"/>
            <w:vAlign w:val="center"/>
          </w:tcPr>
          <w:p w14:paraId="3066A747">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3" w:type="dxa"/>
            <w:tcBorders>
              <w:right w:val="single" w:color="auto" w:sz="4" w:space="0"/>
            </w:tcBorders>
            <w:vAlign w:val="center"/>
          </w:tcPr>
          <w:p w14:paraId="1EF27AB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2278</w:t>
            </w:r>
          </w:p>
        </w:tc>
        <w:tc>
          <w:tcPr>
            <w:tcW w:w="1134" w:type="dxa"/>
            <w:tcBorders>
              <w:left w:val="single" w:color="auto" w:sz="4" w:space="0"/>
            </w:tcBorders>
            <w:vAlign w:val="center"/>
          </w:tcPr>
          <w:p w14:paraId="396D7F1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4AAB00F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2328</w:t>
            </w:r>
          </w:p>
        </w:tc>
        <w:tc>
          <w:tcPr>
            <w:tcW w:w="1134" w:type="dxa"/>
            <w:vAlign w:val="center"/>
          </w:tcPr>
          <w:p w14:paraId="33AF8AD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6DC97C9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预期性</w:t>
            </w:r>
          </w:p>
        </w:tc>
      </w:tr>
      <w:tr w14:paraId="6CDAC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68" w:type="dxa"/>
            <w:vMerge w:val="restart"/>
            <w:vAlign w:val="center"/>
          </w:tcPr>
          <w:p w14:paraId="6A14EA12">
            <w:pPr>
              <w:widowControl w:val="0"/>
              <w:spacing w:line="260" w:lineRule="exact"/>
              <w:ind w:firstLine="0" w:firstLineChars="0"/>
              <w:jc w:val="center"/>
              <w:textAlignment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生</w:t>
            </w:r>
          </w:p>
          <w:p w14:paraId="11477F23">
            <w:pPr>
              <w:widowControl w:val="0"/>
              <w:spacing w:line="260" w:lineRule="exact"/>
              <w:ind w:firstLine="0" w:firstLineChars="0"/>
              <w:jc w:val="center"/>
              <w:textAlignment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态</w:t>
            </w:r>
          </w:p>
          <w:p w14:paraId="66CADFB4">
            <w:pPr>
              <w:widowControl w:val="0"/>
              <w:spacing w:line="260" w:lineRule="exact"/>
              <w:ind w:firstLine="0" w:firstLineChars="0"/>
              <w:jc w:val="center"/>
              <w:textAlignment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环</w:t>
            </w:r>
          </w:p>
          <w:p w14:paraId="742E696D">
            <w:pPr>
              <w:widowControl w:val="0"/>
              <w:spacing w:line="260" w:lineRule="exact"/>
              <w:ind w:firstLine="0" w:firstLineChars="0"/>
              <w:jc w:val="center"/>
              <w:textAlignment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境</w:t>
            </w:r>
          </w:p>
          <w:p w14:paraId="1EF48B26">
            <w:pPr>
              <w:widowControl w:val="0"/>
              <w:spacing w:line="260" w:lineRule="exact"/>
              <w:ind w:firstLine="0" w:firstLineChars="0"/>
              <w:jc w:val="center"/>
              <w:textAlignment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类</w:t>
            </w:r>
          </w:p>
        </w:tc>
        <w:tc>
          <w:tcPr>
            <w:tcW w:w="708" w:type="dxa"/>
            <w:vAlign w:val="center"/>
          </w:tcPr>
          <w:p w14:paraId="6FCF998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19</w:t>
            </w:r>
          </w:p>
        </w:tc>
        <w:tc>
          <w:tcPr>
            <w:tcW w:w="3544" w:type="dxa"/>
            <w:vAlign w:val="center"/>
          </w:tcPr>
          <w:p w14:paraId="7107105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单位生产总值综合能耗降低</w:t>
            </w:r>
          </w:p>
        </w:tc>
        <w:tc>
          <w:tcPr>
            <w:tcW w:w="851" w:type="dxa"/>
            <w:vAlign w:val="center"/>
          </w:tcPr>
          <w:p w14:paraId="0575D00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吨标煤/</w:t>
            </w:r>
          </w:p>
          <w:p w14:paraId="344BECA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万元</w:t>
            </w:r>
          </w:p>
        </w:tc>
        <w:tc>
          <w:tcPr>
            <w:tcW w:w="1111" w:type="dxa"/>
            <w:vAlign w:val="center"/>
          </w:tcPr>
          <w:p w14:paraId="0259A68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w:t>
            </w:r>
          </w:p>
        </w:tc>
        <w:tc>
          <w:tcPr>
            <w:tcW w:w="958" w:type="dxa"/>
            <w:vAlign w:val="center"/>
          </w:tcPr>
          <w:p w14:paraId="0414C6A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091" w:type="dxa"/>
            <w:vAlign w:val="center"/>
          </w:tcPr>
          <w:p w14:paraId="79F8168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[12]</w:t>
            </w:r>
          </w:p>
        </w:tc>
        <w:tc>
          <w:tcPr>
            <w:tcW w:w="4253" w:type="dxa"/>
            <w:gridSpan w:val="4"/>
            <w:vMerge w:val="restart"/>
            <w:vAlign w:val="center"/>
          </w:tcPr>
          <w:p w14:paraId="009E9FE6">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该指标仅考核市、州完成情况</w:t>
            </w:r>
          </w:p>
        </w:tc>
        <w:tc>
          <w:tcPr>
            <w:tcW w:w="992" w:type="dxa"/>
            <w:vAlign w:val="center"/>
          </w:tcPr>
          <w:p w14:paraId="00EB63D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约束性</w:t>
            </w:r>
          </w:p>
        </w:tc>
      </w:tr>
      <w:tr w14:paraId="563C7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68" w:type="dxa"/>
            <w:vMerge w:val="continue"/>
            <w:vAlign w:val="center"/>
          </w:tcPr>
          <w:p w14:paraId="0766D748">
            <w:pPr>
              <w:widowControl w:val="0"/>
              <w:spacing w:line="260" w:lineRule="exact"/>
              <w:ind w:firstLine="0" w:firstLineChars="0"/>
              <w:jc w:val="center"/>
              <w:rPr>
                <w:rFonts w:ascii="仿宋" w:hAnsi="仿宋" w:eastAsia="仿宋"/>
                <w:color w:val="000000" w:themeColor="text1"/>
                <w:sz w:val="24"/>
                <w14:textFill>
                  <w14:solidFill>
                    <w14:schemeClr w14:val="tx1"/>
                  </w14:solidFill>
                </w14:textFill>
              </w:rPr>
            </w:pPr>
          </w:p>
        </w:tc>
        <w:tc>
          <w:tcPr>
            <w:tcW w:w="708" w:type="dxa"/>
            <w:vAlign w:val="center"/>
          </w:tcPr>
          <w:p w14:paraId="639439E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w:t>
            </w:r>
          </w:p>
        </w:tc>
        <w:tc>
          <w:tcPr>
            <w:tcW w:w="3544" w:type="dxa"/>
            <w:vAlign w:val="center"/>
          </w:tcPr>
          <w:p w14:paraId="5637C9C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万元GDP用水量减少</w:t>
            </w:r>
          </w:p>
        </w:tc>
        <w:tc>
          <w:tcPr>
            <w:tcW w:w="851" w:type="dxa"/>
            <w:vAlign w:val="center"/>
          </w:tcPr>
          <w:p w14:paraId="0AED977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吨水/</w:t>
            </w:r>
          </w:p>
          <w:p w14:paraId="0E35B76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万元</w:t>
            </w:r>
          </w:p>
        </w:tc>
        <w:tc>
          <w:tcPr>
            <w:tcW w:w="1111" w:type="dxa"/>
            <w:vAlign w:val="center"/>
          </w:tcPr>
          <w:p w14:paraId="1D9B268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60E0760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091" w:type="dxa"/>
            <w:vAlign w:val="center"/>
          </w:tcPr>
          <w:p w14:paraId="30242C4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[12]</w:t>
            </w:r>
          </w:p>
        </w:tc>
        <w:tc>
          <w:tcPr>
            <w:tcW w:w="4253" w:type="dxa"/>
            <w:gridSpan w:val="4"/>
            <w:vMerge w:val="continue"/>
            <w:vAlign w:val="center"/>
          </w:tcPr>
          <w:p w14:paraId="2023B3C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992" w:type="dxa"/>
            <w:vAlign w:val="center"/>
          </w:tcPr>
          <w:p w14:paraId="47399D2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约束性</w:t>
            </w:r>
          </w:p>
        </w:tc>
      </w:tr>
      <w:tr w14:paraId="277F8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68" w:type="dxa"/>
            <w:vMerge w:val="continue"/>
            <w:vAlign w:val="center"/>
          </w:tcPr>
          <w:p w14:paraId="188FE381">
            <w:pPr>
              <w:widowControl w:val="0"/>
              <w:spacing w:line="260" w:lineRule="exact"/>
              <w:ind w:firstLine="0" w:firstLineChars="0"/>
              <w:jc w:val="center"/>
              <w:rPr>
                <w:rFonts w:ascii="仿宋" w:hAnsi="仿宋" w:eastAsia="仿宋"/>
                <w:color w:val="000000" w:themeColor="text1"/>
                <w:sz w:val="24"/>
                <w14:textFill>
                  <w14:solidFill>
                    <w14:schemeClr w14:val="tx1"/>
                  </w14:solidFill>
                </w14:textFill>
              </w:rPr>
            </w:pPr>
          </w:p>
        </w:tc>
        <w:tc>
          <w:tcPr>
            <w:tcW w:w="708" w:type="dxa"/>
            <w:vAlign w:val="center"/>
          </w:tcPr>
          <w:p w14:paraId="0DC2F8A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21</w:t>
            </w:r>
          </w:p>
        </w:tc>
        <w:tc>
          <w:tcPr>
            <w:tcW w:w="3544" w:type="dxa"/>
            <w:vAlign w:val="center"/>
          </w:tcPr>
          <w:p w14:paraId="5EEC26D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非化石能源占一次能源消费比重</w:t>
            </w:r>
          </w:p>
        </w:tc>
        <w:tc>
          <w:tcPr>
            <w:tcW w:w="851" w:type="dxa"/>
            <w:vAlign w:val="center"/>
          </w:tcPr>
          <w:p w14:paraId="4D8D208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11" w:type="dxa"/>
            <w:vAlign w:val="center"/>
          </w:tcPr>
          <w:p w14:paraId="488D725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0.9</w:t>
            </w:r>
          </w:p>
        </w:tc>
        <w:tc>
          <w:tcPr>
            <w:tcW w:w="958" w:type="dxa"/>
            <w:vAlign w:val="center"/>
          </w:tcPr>
          <w:p w14:paraId="26DEFFD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w:t>
            </w:r>
          </w:p>
        </w:tc>
        <w:tc>
          <w:tcPr>
            <w:tcW w:w="1091" w:type="dxa"/>
            <w:vAlign w:val="center"/>
          </w:tcPr>
          <w:p w14:paraId="6D3206E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4253" w:type="dxa"/>
            <w:gridSpan w:val="4"/>
            <w:vMerge w:val="continue"/>
            <w:vAlign w:val="center"/>
          </w:tcPr>
          <w:p w14:paraId="2B99649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992" w:type="dxa"/>
            <w:vAlign w:val="center"/>
          </w:tcPr>
          <w:p w14:paraId="6B9749F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约束性</w:t>
            </w:r>
          </w:p>
        </w:tc>
      </w:tr>
      <w:tr w14:paraId="3438F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68" w:type="dxa"/>
            <w:vMerge w:val="continue"/>
            <w:vAlign w:val="center"/>
          </w:tcPr>
          <w:p w14:paraId="27B60BAF">
            <w:pPr>
              <w:widowControl w:val="0"/>
              <w:spacing w:line="260" w:lineRule="exact"/>
              <w:ind w:firstLine="0" w:firstLineChars="0"/>
              <w:jc w:val="center"/>
              <w:rPr>
                <w:rFonts w:ascii="仿宋" w:hAnsi="仿宋" w:eastAsia="仿宋"/>
                <w:color w:val="000000" w:themeColor="text1"/>
                <w:sz w:val="24"/>
                <w14:textFill>
                  <w14:solidFill>
                    <w14:schemeClr w14:val="tx1"/>
                  </w14:solidFill>
                </w14:textFill>
              </w:rPr>
            </w:pPr>
          </w:p>
        </w:tc>
        <w:tc>
          <w:tcPr>
            <w:tcW w:w="708" w:type="dxa"/>
            <w:vAlign w:val="center"/>
          </w:tcPr>
          <w:p w14:paraId="36CB4BB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22</w:t>
            </w:r>
          </w:p>
        </w:tc>
        <w:tc>
          <w:tcPr>
            <w:tcW w:w="3544" w:type="dxa"/>
            <w:vAlign w:val="center"/>
          </w:tcPr>
          <w:p w14:paraId="3CDD6A1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单位生产总值二氧化碳排放降低</w:t>
            </w:r>
          </w:p>
        </w:tc>
        <w:tc>
          <w:tcPr>
            <w:tcW w:w="851" w:type="dxa"/>
            <w:vAlign w:val="center"/>
          </w:tcPr>
          <w:p w14:paraId="339648D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11" w:type="dxa"/>
            <w:vAlign w:val="center"/>
          </w:tcPr>
          <w:p w14:paraId="39CAD05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48A4A44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091" w:type="dxa"/>
            <w:vAlign w:val="center"/>
          </w:tcPr>
          <w:p w14:paraId="53A27A17">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w:t>
            </w:r>
          </w:p>
        </w:tc>
        <w:tc>
          <w:tcPr>
            <w:tcW w:w="4253" w:type="dxa"/>
            <w:gridSpan w:val="4"/>
            <w:vMerge w:val="continue"/>
            <w:vAlign w:val="center"/>
          </w:tcPr>
          <w:p w14:paraId="78CF9FD7">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992" w:type="dxa"/>
            <w:vAlign w:val="center"/>
          </w:tcPr>
          <w:p w14:paraId="5D9E56F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约束性</w:t>
            </w:r>
          </w:p>
        </w:tc>
      </w:tr>
      <w:tr w14:paraId="71874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68" w:type="dxa"/>
            <w:vMerge w:val="continue"/>
            <w:vAlign w:val="center"/>
          </w:tcPr>
          <w:p w14:paraId="21B36046">
            <w:pPr>
              <w:widowControl w:val="0"/>
              <w:spacing w:line="260" w:lineRule="exact"/>
              <w:ind w:firstLine="0" w:firstLineChars="0"/>
              <w:jc w:val="center"/>
              <w:rPr>
                <w:rFonts w:ascii="仿宋" w:hAnsi="仿宋" w:eastAsia="仿宋"/>
                <w:color w:val="000000" w:themeColor="text1"/>
                <w:sz w:val="24"/>
                <w14:textFill>
                  <w14:solidFill>
                    <w14:schemeClr w14:val="tx1"/>
                  </w14:solidFill>
                </w14:textFill>
              </w:rPr>
            </w:pPr>
          </w:p>
        </w:tc>
        <w:tc>
          <w:tcPr>
            <w:tcW w:w="708" w:type="dxa"/>
            <w:vAlign w:val="center"/>
          </w:tcPr>
          <w:p w14:paraId="08A1B4D6">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23</w:t>
            </w:r>
          </w:p>
        </w:tc>
        <w:tc>
          <w:tcPr>
            <w:tcW w:w="3544" w:type="dxa"/>
            <w:vAlign w:val="center"/>
          </w:tcPr>
          <w:p w14:paraId="782676B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森林覆盖率</w:t>
            </w:r>
          </w:p>
        </w:tc>
        <w:tc>
          <w:tcPr>
            <w:tcW w:w="851" w:type="dxa"/>
            <w:vAlign w:val="center"/>
          </w:tcPr>
          <w:p w14:paraId="750AE29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111" w:type="dxa"/>
            <w:vAlign w:val="center"/>
          </w:tcPr>
          <w:p w14:paraId="3A257B3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10.24</w:t>
            </w:r>
          </w:p>
        </w:tc>
        <w:tc>
          <w:tcPr>
            <w:tcW w:w="958" w:type="dxa"/>
            <w:vAlign w:val="center"/>
          </w:tcPr>
          <w:p w14:paraId="5AE62976">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10.24</w:t>
            </w:r>
          </w:p>
        </w:tc>
        <w:tc>
          <w:tcPr>
            <w:tcW w:w="1091" w:type="dxa"/>
            <w:vAlign w:val="center"/>
          </w:tcPr>
          <w:p w14:paraId="2D6ED80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3" w:type="dxa"/>
            <w:tcBorders>
              <w:right w:val="single" w:color="auto" w:sz="4" w:space="0"/>
            </w:tcBorders>
            <w:vAlign w:val="center"/>
          </w:tcPr>
          <w:p w14:paraId="58BCCD16">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10.53</w:t>
            </w:r>
          </w:p>
        </w:tc>
        <w:tc>
          <w:tcPr>
            <w:tcW w:w="1134" w:type="dxa"/>
            <w:tcBorders>
              <w:left w:val="single" w:color="auto" w:sz="4" w:space="0"/>
            </w:tcBorders>
            <w:vAlign w:val="center"/>
          </w:tcPr>
          <w:p w14:paraId="41766EB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2FBAD8B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10.53</w:t>
            </w:r>
          </w:p>
        </w:tc>
        <w:tc>
          <w:tcPr>
            <w:tcW w:w="1134" w:type="dxa"/>
            <w:vAlign w:val="center"/>
          </w:tcPr>
          <w:p w14:paraId="426DF10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92" w:type="dxa"/>
            <w:vAlign w:val="center"/>
          </w:tcPr>
          <w:p w14:paraId="4617E7A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约束性</w:t>
            </w:r>
          </w:p>
        </w:tc>
      </w:tr>
      <w:tr w14:paraId="6420D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68" w:type="dxa"/>
            <w:vMerge w:val="continue"/>
            <w:vAlign w:val="center"/>
          </w:tcPr>
          <w:p w14:paraId="23A2E115">
            <w:pPr>
              <w:widowControl w:val="0"/>
              <w:spacing w:line="260" w:lineRule="exact"/>
              <w:ind w:firstLine="0" w:firstLineChars="0"/>
              <w:jc w:val="center"/>
              <w:rPr>
                <w:rFonts w:ascii="仿宋" w:hAnsi="仿宋" w:eastAsia="仿宋"/>
                <w:color w:val="000000" w:themeColor="text1"/>
                <w:sz w:val="24"/>
                <w14:textFill>
                  <w14:solidFill>
                    <w14:schemeClr w14:val="tx1"/>
                  </w14:solidFill>
                </w14:textFill>
              </w:rPr>
            </w:pPr>
          </w:p>
        </w:tc>
        <w:tc>
          <w:tcPr>
            <w:tcW w:w="708" w:type="dxa"/>
            <w:vMerge w:val="restart"/>
            <w:vAlign w:val="center"/>
          </w:tcPr>
          <w:p w14:paraId="568B1F3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24</w:t>
            </w:r>
          </w:p>
        </w:tc>
        <w:tc>
          <w:tcPr>
            <w:tcW w:w="3544" w:type="dxa"/>
            <w:vAlign w:val="center"/>
          </w:tcPr>
          <w:p w14:paraId="3614757E">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化学需氧量排放总量减少</w:t>
            </w:r>
          </w:p>
        </w:tc>
        <w:tc>
          <w:tcPr>
            <w:tcW w:w="851" w:type="dxa"/>
            <w:vAlign w:val="center"/>
          </w:tcPr>
          <w:p w14:paraId="36F18E5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万吨</w:t>
            </w:r>
          </w:p>
        </w:tc>
        <w:tc>
          <w:tcPr>
            <w:tcW w:w="1111" w:type="dxa"/>
            <w:vAlign w:val="center"/>
          </w:tcPr>
          <w:p w14:paraId="579866A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7D4D611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091" w:type="dxa"/>
            <w:vAlign w:val="center"/>
          </w:tcPr>
          <w:p w14:paraId="5B0685D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w:t>
            </w:r>
          </w:p>
        </w:tc>
        <w:tc>
          <w:tcPr>
            <w:tcW w:w="4253" w:type="dxa"/>
            <w:gridSpan w:val="4"/>
            <w:vMerge w:val="restart"/>
            <w:vAlign w:val="center"/>
          </w:tcPr>
          <w:p w14:paraId="70CA075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该指标仅考核市、州完成情况</w:t>
            </w:r>
          </w:p>
        </w:tc>
        <w:tc>
          <w:tcPr>
            <w:tcW w:w="992" w:type="dxa"/>
            <w:vAlign w:val="center"/>
          </w:tcPr>
          <w:p w14:paraId="284E139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约束性</w:t>
            </w:r>
          </w:p>
        </w:tc>
      </w:tr>
      <w:tr w14:paraId="411AB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68" w:type="dxa"/>
            <w:vMerge w:val="continue"/>
            <w:vAlign w:val="center"/>
          </w:tcPr>
          <w:p w14:paraId="3A87D879">
            <w:pPr>
              <w:widowControl w:val="0"/>
              <w:spacing w:line="260" w:lineRule="exact"/>
              <w:ind w:firstLine="0" w:firstLineChars="0"/>
              <w:jc w:val="center"/>
              <w:rPr>
                <w:rFonts w:ascii="仿宋" w:hAnsi="仿宋" w:eastAsia="仿宋"/>
                <w:color w:val="000000" w:themeColor="text1"/>
                <w:sz w:val="24"/>
                <w14:textFill>
                  <w14:solidFill>
                    <w14:schemeClr w14:val="tx1"/>
                  </w14:solidFill>
                </w14:textFill>
              </w:rPr>
            </w:pPr>
          </w:p>
        </w:tc>
        <w:tc>
          <w:tcPr>
            <w:tcW w:w="708" w:type="dxa"/>
            <w:vMerge w:val="continue"/>
            <w:vAlign w:val="center"/>
          </w:tcPr>
          <w:p w14:paraId="737CB4C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3544" w:type="dxa"/>
            <w:vAlign w:val="center"/>
          </w:tcPr>
          <w:p w14:paraId="4ECD2B48">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二氧化硫排放总量减少</w:t>
            </w:r>
          </w:p>
        </w:tc>
        <w:tc>
          <w:tcPr>
            <w:tcW w:w="851" w:type="dxa"/>
            <w:vAlign w:val="center"/>
          </w:tcPr>
          <w:p w14:paraId="121569F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万吨</w:t>
            </w:r>
          </w:p>
        </w:tc>
        <w:tc>
          <w:tcPr>
            <w:tcW w:w="1111" w:type="dxa"/>
            <w:vAlign w:val="center"/>
          </w:tcPr>
          <w:p w14:paraId="3F9ED26C">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1C8DA3C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091" w:type="dxa"/>
            <w:vAlign w:val="center"/>
          </w:tcPr>
          <w:p w14:paraId="3EACB31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w:t>
            </w:r>
          </w:p>
        </w:tc>
        <w:tc>
          <w:tcPr>
            <w:tcW w:w="4253" w:type="dxa"/>
            <w:gridSpan w:val="4"/>
            <w:vMerge w:val="continue"/>
            <w:vAlign w:val="center"/>
          </w:tcPr>
          <w:p w14:paraId="7ED0311F">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992" w:type="dxa"/>
            <w:vAlign w:val="center"/>
          </w:tcPr>
          <w:p w14:paraId="093EF9C9">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约束性</w:t>
            </w:r>
          </w:p>
        </w:tc>
      </w:tr>
      <w:tr w14:paraId="5DEF9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68" w:type="dxa"/>
            <w:vMerge w:val="continue"/>
            <w:vAlign w:val="center"/>
          </w:tcPr>
          <w:p w14:paraId="6BCE03F6">
            <w:pPr>
              <w:widowControl w:val="0"/>
              <w:spacing w:line="260" w:lineRule="exact"/>
              <w:ind w:firstLine="0" w:firstLineChars="0"/>
              <w:jc w:val="center"/>
              <w:rPr>
                <w:rFonts w:ascii="仿宋" w:hAnsi="仿宋" w:eastAsia="仿宋"/>
                <w:color w:val="000000" w:themeColor="text1"/>
                <w:sz w:val="24"/>
                <w14:textFill>
                  <w14:solidFill>
                    <w14:schemeClr w14:val="tx1"/>
                  </w14:solidFill>
                </w14:textFill>
              </w:rPr>
            </w:pPr>
          </w:p>
        </w:tc>
        <w:tc>
          <w:tcPr>
            <w:tcW w:w="708" w:type="dxa"/>
            <w:vMerge w:val="continue"/>
            <w:vAlign w:val="center"/>
          </w:tcPr>
          <w:p w14:paraId="3E902B2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3544" w:type="dxa"/>
            <w:vAlign w:val="center"/>
          </w:tcPr>
          <w:p w14:paraId="39666AC1">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氨氮排放总量减少</w:t>
            </w:r>
          </w:p>
        </w:tc>
        <w:tc>
          <w:tcPr>
            <w:tcW w:w="851" w:type="dxa"/>
            <w:vAlign w:val="center"/>
          </w:tcPr>
          <w:p w14:paraId="6C367F9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万吨</w:t>
            </w:r>
          </w:p>
        </w:tc>
        <w:tc>
          <w:tcPr>
            <w:tcW w:w="1111" w:type="dxa"/>
            <w:vAlign w:val="center"/>
          </w:tcPr>
          <w:p w14:paraId="183C77A6">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22D9DC05">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091" w:type="dxa"/>
            <w:vAlign w:val="center"/>
          </w:tcPr>
          <w:p w14:paraId="4496275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[9.6]</w:t>
            </w:r>
          </w:p>
        </w:tc>
        <w:tc>
          <w:tcPr>
            <w:tcW w:w="4253" w:type="dxa"/>
            <w:gridSpan w:val="4"/>
            <w:vMerge w:val="continue"/>
            <w:vAlign w:val="center"/>
          </w:tcPr>
          <w:p w14:paraId="481F0A32">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992" w:type="dxa"/>
            <w:vAlign w:val="center"/>
          </w:tcPr>
          <w:p w14:paraId="165468ED">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约束性</w:t>
            </w:r>
          </w:p>
        </w:tc>
      </w:tr>
      <w:tr w14:paraId="0820F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68" w:type="dxa"/>
            <w:vMerge w:val="continue"/>
            <w:vAlign w:val="center"/>
          </w:tcPr>
          <w:p w14:paraId="464723F0">
            <w:pPr>
              <w:widowControl w:val="0"/>
              <w:spacing w:line="260" w:lineRule="exact"/>
              <w:ind w:firstLine="0" w:firstLineChars="0"/>
              <w:jc w:val="center"/>
              <w:rPr>
                <w:rFonts w:ascii="仿宋" w:hAnsi="仿宋" w:eastAsia="仿宋"/>
                <w:color w:val="000000" w:themeColor="text1"/>
                <w:sz w:val="24"/>
                <w14:textFill>
                  <w14:solidFill>
                    <w14:schemeClr w14:val="tx1"/>
                  </w14:solidFill>
                </w14:textFill>
              </w:rPr>
            </w:pPr>
          </w:p>
        </w:tc>
        <w:tc>
          <w:tcPr>
            <w:tcW w:w="708" w:type="dxa"/>
            <w:vMerge w:val="continue"/>
            <w:vAlign w:val="center"/>
          </w:tcPr>
          <w:p w14:paraId="302721D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3544" w:type="dxa"/>
            <w:vAlign w:val="center"/>
          </w:tcPr>
          <w:p w14:paraId="3004D9FB">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氮氧化物排放总量减少</w:t>
            </w:r>
          </w:p>
        </w:tc>
        <w:tc>
          <w:tcPr>
            <w:tcW w:w="851" w:type="dxa"/>
            <w:vAlign w:val="center"/>
          </w:tcPr>
          <w:p w14:paraId="0C72C0B6">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万吨</w:t>
            </w:r>
          </w:p>
        </w:tc>
        <w:tc>
          <w:tcPr>
            <w:tcW w:w="1111" w:type="dxa"/>
            <w:vAlign w:val="center"/>
          </w:tcPr>
          <w:p w14:paraId="3BD00D7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958" w:type="dxa"/>
            <w:vAlign w:val="center"/>
          </w:tcPr>
          <w:p w14:paraId="738525A0">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w:t>
            </w:r>
          </w:p>
        </w:tc>
        <w:tc>
          <w:tcPr>
            <w:tcW w:w="1091" w:type="dxa"/>
            <w:vAlign w:val="center"/>
          </w:tcPr>
          <w:p w14:paraId="693F3F23">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[4.9]</w:t>
            </w:r>
          </w:p>
        </w:tc>
        <w:tc>
          <w:tcPr>
            <w:tcW w:w="4253" w:type="dxa"/>
            <w:gridSpan w:val="4"/>
            <w:vMerge w:val="continue"/>
            <w:vAlign w:val="center"/>
          </w:tcPr>
          <w:p w14:paraId="5947FE34">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p>
        </w:tc>
        <w:tc>
          <w:tcPr>
            <w:tcW w:w="992" w:type="dxa"/>
            <w:vAlign w:val="center"/>
          </w:tcPr>
          <w:p w14:paraId="60B4A0DA">
            <w:pPr>
              <w:widowControl w:val="0"/>
              <w:spacing w:line="260" w:lineRule="exact"/>
              <w:ind w:firstLine="0" w:firstLineChars="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约束性</w:t>
            </w:r>
          </w:p>
        </w:tc>
      </w:tr>
      <w:tr w14:paraId="60430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2" w:hRule="atLeast"/>
          <w:jc w:val="center"/>
        </w:trPr>
        <w:tc>
          <w:tcPr>
            <w:tcW w:w="14076" w:type="dxa"/>
            <w:gridSpan w:val="12"/>
            <w:vAlign w:val="center"/>
          </w:tcPr>
          <w:p w14:paraId="492DFB95">
            <w:pPr>
              <w:widowControl w:val="0"/>
              <w:spacing w:line="260" w:lineRule="exact"/>
              <w:ind w:firstLine="0" w:firstLineChars="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sz w:val="24"/>
              </w:rPr>
              <w:t>说明：[]内为五年累计完成数；“地方财政公共预算收入”、“规模以上工业增加值”项目指标分别因为“新冠肺炎疫情”、“华新水泥股份有限公司等重点税源外迁，增长乏力”、“营改增税制改革国家减税降费等一揽子政策”等因素影响，较规划目标有一定差距。</w:t>
            </w:r>
          </w:p>
        </w:tc>
      </w:tr>
    </w:tbl>
    <w:p w14:paraId="69243300">
      <w:pPr>
        <w:widowControl w:val="0"/>
        <w:spacing w:line="570" w:lineRule="exact"/>
        <w:ind w:firstLine="640"/>
        <w:rPr>
          <w:color w:val="000000" w:themeColor="text1"/>
          <w14:textFill>
            <w14:solidFill>
              <w14:schemeClr w14:val="tx1"/>
            </w14:solidFill>
          </w14:textFill>
        </w:rPr>
        <w:sectPr>
          <w:endnotePr>
            <w:numFmt w:val="decimal"/>
          </w:endnotePr>
          <w:pgSz w:w="16783" w:h="11850" w:orient="landscape"/>
          <w:pgMar w:top="1587" w:right="1587" w:bottom="1587" w:left="1587" w:header="720" w:footer="907" w:gutter="0"/>
          <w:cols w:space="720" w:num="1"/>
          <w:docGrid w:type="lines" w:linePitch="436" w:charSpace="0"/>
        </w:sectPr>
      </w:pPr>
    </w:p>
    <w:bookmarkEnd w:id="27"/>
    <w:bookmarkEnd w:id="28"/>
    <w:bookmarkEnd w:id="29"/>
    <w:bookmarkEnd w:id="30"/>
    <w:bookmarkEnd w:id="31"/>
    <w:bookmarkEnd w:id="32"/>
    <w:bookmarkEnd w:id="33"/>
    <w:bookmarkEnd w:id="34"/>
    <w:p w14:paraId="534EB6C9">
      <w:pPr>
        <w:pStyle w:val="4"/>
        <w:widowControl w:val="0"/>
        <w:spacing w:line="570" w:lineRule="exact"/>
        <w:ind w:firstLine="640"/>
        <w:rPr>
          <w:rFonts w:ascii="楷体_GB2312"/>
          <w:b w:val="0"/>
          <w:bCs w:val="0"/>
          <w:color w:val="000000"/>
        </w:rPr>
      </w:pPr>
      <w:bookmarkStart w:id="35" w:name="_Toc27004"/>
      <w:bookmarkStart w:id="36" w:name="_Toc26624"/>
      <w:bookmarkStart w:id="37" w:name="_Toc4882"/>
      <w:bookmarkStart w:id="38" w:name="_Toc17132"/>
      <w:bookmarkStart w:id="39" w:name="_Toc56646726"/>
      <w:bookmarkStart w:id="40" w:name="_Toc56721354"/>
      <w:bookmarkStart w:id="41" w:name="_Toc56721362"/>
      <w:r>
        <w:rPr>
          <w:rFonts w:hint="eastAsia" w:ascii="楷体_GB2312"/>
          <w:b w:val="0"/>
          <w:bCs w:val="0"/>
          <w:color w:val="000000"/>
        </w:rPr>
        <w:t>（二）发展环境</w:t>
      </w:r>
      <w:bookmarkEnd w:id="35"/>
      <w:bookmarkEnd w:id="36"/>
      <w:bookmarkEnd w:id="37"/>
      <w:bookmarkEnd w:id="38"/>
    </w:p>
    <w:p w14:paraId="48F91B8C">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十四五”时期，世界历经百年未有之变局，我国正加速形成以国内大循环为主体、国内国际双循环相互促进的新发展格局，湖北省步入高质量发展的新阶段，黄石市开启现代化强市建设新征程，为黄石港区在“十四五”带来诸多发展机遇。</w:t>
      </w:r>
    </w:p>
    <w:p w14:paraId="01DAC820">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临空发展腾飞期。湖北国际物流核心枢纽的建设，为黄石港区在区域城市群以及黄石市产业体系中推进二三产业融合发展，建设全域临空的现代服务业体系，发展多层次临空产业链条与重点临空产业，推进临空商务产业园、临空智造产业园发展提供了重要机遇。</w:t>
      </w:r>
    </w:p>
    <w:p w14:paraId="445D0005">
      <w:pPr>
        <w:widowControl w:val="0"/>
        <w:spacing w:line="570" w:lineRule="exact"/>
        <w:ind w:firstLine="640"/>
        <w:rPr>
          <w:rFonts w:ascii="仿宋_GB2312" w:hAnsi="仿宋_GB2312" w:eastAsia="仿宋_GB2312" w:cs="仿宋_GB2312"/>
          <w:color w:val="000000"/>
          <w:spacing w:val="-4"/>
        </w:rPr>
      </w:pPr>
      <w:r>
        <w:rPr>
          <w:rFonts w:hint="eastAsia" w:ascii="仿宋_GB2312" w:hAnsi="仿宋_GB2312" w:eastAsia="仿宋_GB2312" w:cs="仿宋_GB2312"/>
          <w:color w:val="000000"/>
        </w:rPr>
        <w:t>新兴经济迸发期。</w:t>
      </w:r>
      <w:r>
        <w:rPr>
          <w:rFonts w:hint="eastAsia" w:ascii="仿宋_GB2312" w:hAnsi="仿宋_GB2312" w:eastAsia="仿宋_GB2312" w:cs="仿宋_GB2312"/>
          <w:color w:val="000000"/>
          <w:spacing w:val="-4"/>
        </w:rPr>
        <w:t>“四新”经济</w:t>
      </w:r>
      <w:r>
        <w:rPr>
          <w:rStyle w:val="33"/>
          <w:rFonts w:hint="eastAsia" w:ascii="仿宋_GB2312" w:hAnsi="仿宋_GB2312" w:eastAsia="仿宋_GB2312" w:cs="仿宋_GB2312"/>
          <w:color w:val="000000"/>
          <w:spacing w:val="-4"/>
        </w:rPr>
        <w:endnoteReference w:id="1"/>
      </w:r>
      <w:r>
        <w:rPr>
          <w:rFonts w:hint="eastAsia" w:ascii="仿宋_GB2312" w:hAnsi="仿宋_GB2312" w:eastAsia="仿宋_GB2312" w:cs="仿宋_GB2312"/>
          <w:color w:val="000000"/>
          <w:spacing w:val="-4"/>
        </w:rPr>
        <w:t>的蓬勃发展，疫情催生的“宅经济”“云生活”等新业态新模式逐步发力,省现代服务业发展突出贡献单位等多重利好政策与基础叠加，将给黄石港区高质量发展注入新动力。同时，传统商贸业链整体水平不高，能源和要素瓶颈等约束趋紧，长期积累的结构性矛盾和周期性矛盾交织，倒逼发展方式加快转变，新兴经济业态处于迸发时期。</w:t>
      </w:r>
    </w:p>
    <w:p w14:paraId="275E18A6">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区域协调融合期。区域竞合为黄石港区带来高能级要素聚集的机遇，积极融入长江经济带绿色发展、武汉城市圈全域协调、黄石“一心两带、多点支撑、全域协同”发展布局；主动对接长三角、光谷科创大走廊、湖北国际物流核心枢纽，为黄石港区发挥服务业优势，融入更大区域的服务业集聚以及与制造业的产业协同，参与更高能级、更大范围内协作提供重要机遇，为寻求发展先机提供重要支点。</w:t>
      </w:r>
    </w:p>
    <w:p w14:paraId="6C0F2ADF">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城市功能更新期。生态保护与绿色经济发展是当前城市发展重要的策略，</w:t>
      </w:r>
      <w:r>
        <w:rPr>
          <w:rFonts w:hint="eastAsia" w:ascii="仿宋_GB2312" w:hAnsi="仿宋_GB2312" w:eastAsia="仿宋_GB2312" w:cs="仿宋_GB2312"/>
          <w:color w:val="000000"/>
          <w:lang w:eastAsia="zh-CN"/>
        </w:rPr>
        <w:t>坚持生态优先、绿色发展</w:t>
      </w:r>
      <w:r>
        <w:rPr>
          <w:rFonts w:hint="eastAsia" w:ascii="仿宋_GB2312" w:hAnsi="仿宋_GB2312" w:eastAsia="仿宋_GB2312" w:cs="仿宋_GB2312"/>
          <w:color w:val="000000"/>
        </w:rPr>
        <w:t>，把共抓长江大保护放在压倒性位置，为黄石港区全面推进长江经济带绿色发展示范区建设，推动高质量发展提供政策引领。在当前城市更新、老旧小区改造建设背景下，着力构建内畅外通的交通网络、精细科学的城市管理系统、全面优化城市的要素配置和服务功能，是致力打造城市独特风貌，提升城市空间品质的有利时期。</w:t>
      </w:r>
    </w:p>
    <w:p w14:paraId="2F00CE6B">
      <w:pPr>
        <w:widowControl w:val="0"/>
        <w:spacing w:line="570" w:lineRule="exact"/>
        <w:ind w:firstLine="640"/>
        <w:rPr>
          <w:rFonts w:ascii="仿宋_GB2312" w:hAnsi="仿宋_GB2312" w:eastAsia="仿宋_GB2312" w:cs="仿宋_GB2312"/>
          <w:color w:val="000000"/>
          <w:spacing w:val="-6"/>
        </w:rPr>
      </w:pPr>
      <w:r>
        <w:rPr>
          <w:rFonts w:hint="eastAsia" w:ascii="仿宋_GB2312" w:hAnsi="仿宋_GB2312" w:eastAsia="仿宋_GB2312" w:cs="仿宋_GB2312"/>
          <w:color w:val="000000"/>
        </w:rPr>
        <w:t>生活品质提升期。党的十九届五中全会将“民生福祉达到新水平”作为“十四五”时期经济社会发展主要目标，依托黄石港区丰富的生态、文化以及公共服务设施资源，结合城市建设十五分钟社区生活圈医疗、教育与绿地均等性等指标的实现，为黄石港区在“</w:t>
      </w:r>
      <w:r>
        <w:rPr>
          <w:rFonts w:hint="eastAsia" w:ascii="仿宋_GB2312" w:hAnsi="仿宋_GB2312" w:eastAsia="仿宋_GB2312" w:cs="仿宋_GB2312"/>
          <w:color w:val="000000"/>
          <w:spacing w:val="-6"/>
        </w:rPr>
        <w:t>十四五”时期构建功能完备的生活服务体系，进一步提高居民收入、打造教育强区、建设鄂东区域医疗中心、完善社会救助和保险保障体系，全面提升生活品质提供了有力保障。</w:t>
      </w:r>
    </w:p>
    <w:p w14:paraId="2ACA3FA9">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总体来看，“十四五”时期黄石港区将全面迈入临空发展腾飞期、新兴经济迸发期、区域协调融合期、城市功能更新期、生活品质提升期，机遇大于挑战，发展前景十分广阔。必须紧跟黄石市产业布局，积极融入新发展格局，找准发展战略定位，聚焦高质量发展主题主线，科学应变、主动求变，进一步增强机遇意识和风险意识，加快产业布局调整，持续推进转型升级，确保临空黄石港现代化建设新征程迈出坚实步伐。</w:t>
      </w:r>
      <w:bookmarkStart w:id="42" w:name="_Toc22557"/>
      <w:bookmarkStart w:id="43" w:name="_Toc5968"/>
      <w:bookmarkStart w:id="44" w:name="_Toc10433"/>
      <w:bookmarkStart w:id="45" w:name="_Toc22918"/>
    </w:p>
    <w:p w14:paraId="44BCBB1D">
      <w:pPr>
        <w:pStyle w:val="4"/>
        <w:widowControl w:val="0"/>
        <w:spacing w:line="570" w:lineRule="exact"/>
        <w:ind w:firstLine="640"/>
        <w:rPr>
          <w:rFonts w:ascii="楷体_GB2312"/>
          <w:b w:val="0"/>
          <w:bCs w:val="0"/>
          <w:color w:val="000000"/>
        </w:rPr>
      </w:pPr>
      <w:r>
        <w:rPr>
          <w:rFonts w:hint="eastAsia" w:ascii="楷体_GB2312"/>
          <w:b w:val="0"/>
          <w:bCs w:val="0"/>
          <w:color w:val="000000"/>
        </w:rPr>
        <w:t>（三）总体要求</w:t>
      </w:r>
      <w:bookmarkEnd w:id="39"/>
      <w:bookmarkEnd w:id="40"/>
      <w:bookmarkEnd w:id="42"/>
      <w:bookmarkEnd w:id="43"/>
      <w:bookmarkEnd w:id="44"/>
      <w:bookmarkEnd w:id="45"/>
      <w:bookmarkStart w:id="46" w:name="_Toc56646728"/>
      <w:bookmarkStart w:id="47" w:name="_Toc56721356"/>
      <w:r>
        <w:rPr>
          <w:rFonts w:hint="eastAsia" w:ascii="楷体_GB2312"/>
          <w:b w:val="0"/>
          <w:bCs w:val="0"/>
          <w:color w:val="000000"/>
        </w:rPr>
        <w:t>和发展目标</w:t>
      </w:r>
    </w:p>
    <w:p w14:paraId="4CCF7CE3">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1.指导思想</w:t>
      </w:r>
    </w:p>
    <w:p w14:paraId="7FE828C2">
      <w:pPr>
        <w:widowControl w:val="0"/>
        <w:spacing w:line="570" w:lineRule="exact"/>
        <w:ind w:firstLine="632"/>
        <w:rPr>
          <w:rFonts w:ascii="仿宋_GB2312" w:hAnsi="仿宋_GB2312" w:eastAsia="仿宋_GB2312" w:cs="仿宋_GB2312"/>
          <w:color w:val="000000"/>
          <w:spacing w:val="-2"/>
        </w:rPr>
      </w:pPr>
      <w:r>
        <w:rPr>
          <w:rFonts w:hint="eastAsia" w:ascii="仿宋_GB2312" w:hAnsi="仿宋_GB2312" w:eastAsia="仿宋_GB2312" w:cs="仿宋_GB2312"/>
          <w:color w:val="000000"/>
          <w:spacing w:val="-2"/>
        </w:rPr>
        <w:t>高</w:t>
      </w:r>
      <w:bookmarkStart w:id="48" w:name="_Hlk59780098"/>
      <w:r>
        <w:rPr>
          <w:rFonts w:hint="eastAsia" w:ascii="仿宋_GB2312" w:hAnsi="仿宋_GB2312" w:eastAsia="仿宋_GB2312" w:cs="仿宋_GB2312"/>
          <w:color w:val="000000"/>
          <w:spacing w:val="-2"/>
        </w:rPr>
        <w:t>举中国特色社会主义伟大旗帜，坚持以习近平新时代中国特色社会主义思想为指导，深入贯彻党的十九大和十九届二中、三中、四中、五中全会精神，统筹推进“五位一体”总体布局，协调推进“四个全面”战略布局，立足新发展阶段、贯彻新发展理念、融入新发展格局，认真落实湖北省“一主引领、两翼驱动、全域协同”区域发展布局，围绕黄石“五城”、“四再</w:t>
      </w:r>
      <w:r>
        <w:rPr>
          <w:rStyle w:val="33"/>
          <w:rFonts w:hint="eastAsia" w:ascii="仿宋_GB2312" w:hAnsi="仿宋_GB2312" w:eastAsia="仿宋_GB2312" w:cs="仿宋_GB2312"/>
          <w:color w:val="000000"/>
          <w:spacing w:val="-2"/>
        </w:rPr>
        <w:endnoteReference w:id="2"/>
      </w:r>
      <w:r>
        <w:rPr>
          <w:rFonts w:hint="eastAsia" w:ascii="仿宋_GB2312" w:hAnsi="仿宋_GB2312" w:eastAsia="仿宋_GB2312" w:cs="仿宋_GB2312"/>
          <w:color w:val="000000"/>
          <w:spacing w:val="-2"/>
        </w:rPr>
        <w:t>”目标和“一心两带、多点支撑、全域一体”的发展布局，坚持以转型升级、高质量发展为主题，抢抓湖北国际物流核心枢纽建设重大机遇，</w:t>
      </w:r>
      <w:bookmarkEnd w:id="48"/>
      <w:r>
        <w:rPr>
          <w:rFonts w:hint="eastAsia" w:ascii="仿宋_GB2312" w:hAnsi="仿宋_GB2312" w:eastAsia="仿宋_GB2312" w:cs="仿宋_GB2312"/>
          <w:color w:val="000000"/>
          <w:spacing w:val="-2"/>
        </w:rPr>
        <w:t>按照全域临空理念，推进科创临空、产业临空、智慧临空、生态临空、人文临空战略，争创全国现代服务业试验区，打造长江经济带绿色发展示范区，建设全域临空先行区，创造美好生活引领区，全面开启临空黄石港现代化建设新征程，为黄石建成长江中游城市群区域性中心城市贡献力量。</w:t>
      </w:r>
    </w:p>
    <w:p w14:paraId="070B9622">
      <w:pPr>
        <w:pStyle w:val="4"/>
        <w:widowControl w:val="0"/>
        <w:spacing w:line="570" w:lineRule="exact"/>
        <w:ind w:firstLine="640"/>
        <w:rPr>
          <w:rFonts w:ascii="仿宋_GB2312" w:hAnsi="仿宋_GB2312" w:eastAsia="仿宋_GB2312" w:cs="仿宋_GB2312"/>
          <w:b w:val="0"/>
          <w:bCs w:val="0"/>
          <w:color w:val="000000"/>
          <w:szCs w:val="24"/>
        </w:rPr>
      </w:pPr>
      <w:r>
        <w:rPr>
          <w:rFonts w:hint="eastAsia" w:ascii="仿宋_GB2312" w:hAnsi="仿宋_GB2312" w:eastAsia="仿宋_GB2312" w:cs="仿宋_GB2312"/>
          <w:b w:val="0"/>
          <w:bCs w:val="0"/>
          <w:color w:val="000000"/>
          <w:szCs w:val="24"/>
        </w:rPr>
        <w:t>2.基本原则</w:t>
      </w:r>
      <w:bookmarkEnd w:id="46"/>
      <w:bookmarkEnd w:id="47"/>
    </w:p>
    <w:p w14:paraId="19A4F92A">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szCs w:val="32"/>
        </w:rPr>
        <w:t>——坚持党的全面领导。</w:t>
      </w:r>
      <w:r>
        <w:rPr>
          <w:rFonts w:hint="eastAsia" w:ascii="仿宋_GB2312" w:hAnsi="仿宋_GB2312" w:eastAsia="仿宋_GB2312" w:cs="仿宋_GB2312"/>
          <w:color w:val="000000"/>
        </w:rPr>
        <w:t>落实党把方向、谋大局、定政策、促改革的要求，完善区委领导全区经济社会发展的工作机制，提高推动高质量发展的能力和水平，确保党中央决策和省市委工作要求在黄石港区落地生根。</w:t>
      </w:r>
    </w:p>
    <w:p w14:paraId="6FE96D6C">
      <w:pPr>
        <w:widowControl w:val="0"/>
        <w:spacing w:line="570" w:lineRule="exact"/>
        <w:ind w:firstLine="640"/>
        <w:rPr>
          <w:rFonts w:ascii="仿宋_GB2312" w:hAnsi="仿宋_GB2312" w:eastAsia="仿宋_GB2312" w:cs="仿宋_GB2312"/>
          <w:color w:val="000000"/>
        </w:rPr>
      </w:pPr>
      <w:r>
        <w:rPr>
          <w:rFonts w:hint="eastAsia" w:ascii="仿宋_GB2312" w:eastAsia="仿宋_GB2312"/>
          <w:color w:val="000000"/>
          <w:szCs w:val="32"/>
        </w:rPr>
        <w:t>——坚持以人民为中心。</w:t>
      </w:r>
      <w:r>
        <w:rPr>
          <w:rFonts w:hint="eastAsia" w:ascii="仿宋_GB2312" w:hAnsi="仿宋_GB2312" w:eastAsia="仿宋_GB2312" w:cs="仿宋_GB2312"/>
          <w:color w:val="000000"/>
        </w:rPr>
        <w:t>坚持人民至上，更加注重共享发展，加快补齐民生短板，提高群众生活品质，让全区人民共享高质量发展成果，把全区人民对美好生活的向往变成现实。</w:t>
      </w:r>
    </w:p>
    <w:p w14:paraId="74D70DAC">
      <w:pPr>
        <w:widowControl w:val="0"/>
        <w:spacing w:line="570" w:lineRule="exact"/>
        <w:ind w:firstLine="640"/>
        <w:rPr>
          <w:rFonts w:ascii="仿宋_GB2312" w:hAnsi="仿宋_GB2312" w:eastAsia="仿宋_GB2312" w:cs="仿宋_GB2312"/>
          <w:color w:val="000000"/>
          <w:spacing w:val="-4"/>
        </w:rPr>
      </w:pPr>
      <w:r>
        <w:rPr>
          <w:rFonts w:hint="eastAsia" w:ascii="仿宋_GB2312" w:eastAsia="仿宋_GB2312"/>
          <w:color w:val="000000"/>
          <w:szCs w:val="32"/>
        </w:rPr>
        <w:t>——坚持新发展理念。</w:t>
      </w:r>
      <w:r>
        <w:rPr>
          <w:rFonts w:hint="eastAsia" w:ascii="仿宋_GB2312" w:hAnsi="仿宋_GB2312" w:eastAsia="仿宋_GB2312" w:cs="仿宋_GB2312"/>
          <w:color w:val="000000"/>
          <w:spacing w:val="-4"/>
        </w:rPr>
        <w:t>更加坚定自觉地把创新、协调、绿色、开放、共享理念贯穿经济社会发展全过程各领域，持续推进产业转型升级，加速发展功能转移和方式转变，深入推进社会治理体制改革和机制创新，全面优化营商环境，积极融入区域协作，实现更高质量、更有效率、更加公平、更可持续的发展。</w:t>
      </w:r>
    </w:p>
    <w:p w14:paraId="4788E244">
      <w:pPr>
        <w:widowControl w:val="0"/>
        <w:spacing w:line="570" w:lineRule="exact"/>
        <w:ind w:firstLine="640"/>
        <w:rPr>
          <w:rFonts w:ascii="仿宋_GB2312" w:hAnsi="仿宋_GB2312" w:eastAsia="仿宋_GB2312" w:cs="仿宋_GB2312"/>
          <w:color w:val="000000"/>
        </w:rPr>
      </w:pPr>
      <w:r>
        <w:rPr>
          <w:rFonts w:hint="eastAsia" w:ascii="仿宋_GB2312" w:eastAsia="仿宋_GB2312"/>
          <w:color w:val="000000"/>
          <w:szCs w:val="32"/>
        </w:rPr>
        <w:t>——坚持系统观念。</w:t>
      </w:r>
      <w:r>
        <w:rPr>
          <w:rFonts w:hint="eastAsia" w:ascii="仿宋_GB2312" w:hAnsi="仿宋_GB2312" w:eastAsia="仿宋_GB2312" w:cs="仿宋_GB2312"/>
          <w:color w:val="000000"/>
        </w:rPr>
        <w:t>正确处理好发展与安全、传统与创新、存量与增量、内动与外联的关系，统筹推进固根基、扬优势、补短板、强弱项、防风险，实现发展速度、结构规模、效益、安全相统一。</w:t>
      </w:r>
    </w:p>
    <w:p w14:paraId="22857E3F">
      <w:pPr>
        <w:widowControl w:val="0"/>
        <w:spacing w:line="570" w:lineRule="exact"/>
        <w:ind w:firstLine="640"/>
        <w:rPr>
          <w:rFonts w:ascii="仿宋_GB2312" w:hAnsi="仿宋_GB2312" w:eastAsia="仿宋_GB2312" w:cs="仿宋_GB2312"/>
          <w:color w:val="000000"/>
        </w:rPr>
      </w:pPr>
      <w:r>
        <w:rPr>
          <w:rFonts w:hint="eastAsia" w:ascii="仿宋_GB2312" w:eastAsia="仿宋_GB2312"/>
          <w:color w:val="000000"/>
          <w:szCs w:val="32"/>
        </w:rPr>
        <w:t>——坚持全域临空。</w:t>
      </w:r>
      <w:r>
        <w:rPr>
          <w:rFonts w:hint="eastAsia" w:ascii="仿宋_GB2312" w:hAnsi="仿宋_GB2312" w:eastAsia="仿宋_GB2312" w:cs="仿宋_GB2312"/>
          <w:color w:val="000000"/>
        </w:rPr>
        <w:t>坚持以全域临空理念引领全区上下的思想和行动，贯穿全区经济社会发展全领域，统筹推进空间布局调整、要素资源配置、城市更新改造、生态环境治理等重点工作，加快建成临空黄石港区。</w:t>
      </w:r>
    </w:p>
    <w:p w14:paraId="15BF8086">
      <w:pPr>
        <w:pStyle w:val="4"/>
        <w:widowControl w:val="0"/>
        <w:spacing w:line="570" w:lineRule="exact"/>
        <w:ind w:firstLine="640"/>
        <w:rPr>
          <w:rFonts w:ascii="仿宋_GB2312" w:hAnsi="仿宋_GB2312" w:eastAsia="仿宋_GB2312" w:cs="仿宋_GB2312"/>
          <w:b w:val="0"/>
          <w:bCs w:val="0"/>
          <w:color w:val="000000"/>
          <w:szCs w:val="24"/>
        </w:rPr>
      </w:pPr>
      <w:r>
        <w:rPr>
          <w:rFonts w:hint="eastAsia" w:ascii="仿宋_GB2312" w:hAnsi="仿宋_GB2312" w:eastAsia="仿宋_GB2312" w:cs="仿宋_GB2312"/>
          <w:b w:val="0"/>
          <w:bCs w:val="0"/>
          <w:color w:val="000000"/>
          <w:szCs w:val="24"/>
        </w:rPr>
        <w:t>3、发展战略定位</w:t>
      </w:r>
    </w:p>
    <w:p w14:paraId="1E4D2859">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围绕承载国家战略，深度挖掘长江经济带与武汉城市圈服务需求，积极融入“双循环”新发展格局，凝心聚力推进“四区”建设，即争创全国现代服务业试验区、打造长江经济带绿色发展示范区、建设全域临空先行区、创造美好生活引领区。</w:t>
      </w:r>
    </w:p>
    <w:p w14:paraId="4B74E97C">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争创全国现代服务业试验区。充分发挥临空优势与服务业基础优势，推进生产性服务业向专业化和价值链高端延伸，推进生活性服务业向精细化和品质化转变，形成特色鲜明、附加值高、辐射力强、带动性大的现代服务业聚集区，全面增强区域核心竞争力，努力实现黄石市现代服务业的区域级服务功能，打造“黄石服务”品牌。</w:t>
      </w:r>
    </w:p>
    <w:p w14:paraId="3CF59EE4">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打造长江经济带绿色发展示范区。坚持生态立区，共抓长江大保护，努力建设生态宜居公园城市，建成江湖连通、山水环绕的生态系统，构建襟江带湖、城水融合的绿色发展格局。大力发展环保产业，支持技术创新，建立健全低能耗、低污染、高产出的绿色产业结构。优化能源消费结构，推进清洁高效的现代化能源保障体系建设。完善和落实绿色发展考核制度，推动形成绿色低碳循环的发展方式。</w:t>
      </w:r>
    </w:p>
    <w:p w14:paraId="397672DB">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建设全域临空先行区。把握全域临空契机，依托空港紧邻区、空港相邻区和外围辐射区的区位优势，大力发展空港城模式，抢占城市发展先机。壮大临空产业集群，着力发展总部经济、会展会议、数字创意等现代产业，更新城市功能，重塑城市空间格局，逐步打造产城融合、活力高效、生态宜居、山环水润、智慧人文的未来临空城区新形象。</w:t>
      </w:r>
    </w:p>
    <w:p w14:paraId="156C3AE2">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创造美好生活引领区。社会主义民主法治建设更加健全，社会公平正义进一步彰显，社会治理体系更加完善，基层治理水平明显提高，社会防险、应急、救灾能力不断增强，发展更加安全。群众就业更加充分更高质量，居民收入稳步增长，基本公共服务均等化水平明显提高，全民受教育程度不断提升，卫生健康服务体系更加完善，多层次社会保障体系更加健全，人民群众的获得感、幸福感、安全感明显提升。</w:t>
      </w:r>
    </w:p>
    <w:p w14:paraId="051D1D94">
      <w:pPr>
        <w:pStyle w:val="4"/>
        <w:widowControl w:val="0"/>
        <w:spacing w:line="570" w:lineRule="exact"/>
        <w:ind w:firstLine="640"/>
        <w:rPr>
          <w:rFonts w:ascii="仿宋_GB2312" w:hAnsi="仿宋_GB2312" w:eastAsia="仿宋_GB2312" w:cs="仿宋_GB2312"/>
          <w:b w:val="0"/>
          <w:bCs w:val="0"/>
          <w:color w:val="000000"/>
          <w:szCs w:val="24"/>
        </w:rPr>
      </w:pPr>
      <w:r>
        <w:rPr>
          <w:rFonts w:hint="eastAsia" w:ascii="仿宋_GB2312" w:hAnsi="仿宋_GB2312" w:eastAsia="仿宋_GB2312" w:cs="仿宋_GB2312"/>
          <w:b w:val="0"/>
          <w:bCs w:val="0"/>
          <w:color w:val="000000"/>
          <w:szCs w:val="24"/>
        </w:rPr>
        <w:t>4.发展目标</w:t>
      </w:r>
    </w:p>
    <w:p w14:paraId="63B35333">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到二〇三五年建成社会主义现代化幸福强区远景目标</w:t>
      </w:r>
      <w:bookmarkStart w:id="49" w:name="_Hlk59779662"/>
      <w:r>
        <w:rPr>
          <w:rFonts w:hint="eastAsia" w:ascii="仿宋_GB2312" w:hAnsi="仿宋_GB2312" w:eastAsia="仿宋_GB2312" w:cs="仿宋_GB2312"/>
          <w:color w:val="000000"/>
        </w:rPr>
        <w:t>：</w:t>
      </w:r>
      <w:bookmarkEnd w:id="49"/>
      <w:r>
        <w:rPr>
          <w:rFonts w:hint="eastAsia" w:ascii="仿宋_GB2312" w:hAnsi="仿宋_GB2312" w:eastAsia="仿宋_GB2312" w:cs="仿宋_GB2312"/>
          <w:color w:val="000000"/>
        </w:rPr>
        <w:t>在巩固提升全面小康社会的基础上，基本建成与社会主义现代化相适应的经济、社会、文化、生态体系，经济更有质量，环境更加美丽，城市更有品质，文化更加繁荣，社会更加和谐，群众生活更加美好。</w:t>
      </w:r>
      <w:bookmarkStart w:id="50" w:name="_Hlk59779726"/>
      <w:r>
        <w:rPr>
          <w:rFonts w:hint="eastAsia" w:ascii="仿宋_GB2312" w:hAnsi="仿宋_GB2312" w:eastAsia="仿宋_GB2312" w:cs="仿宋_GB2312"/>
          <w:color w:val="000000"/>
        </w:rPr>
        <w:t>高质量发展水平大幅提升</w:t>
      </w:r>
      <w:bookmarkEnd w:id="50"/>
      <w:r>
        <w:rPr>
          <w:rFonts w:hint="eastAsia" w:ascii="仿宋_GB2312" w:hAnsi="仿宋_GB2312" w:eastAsia="仿宋_GB2312" w:cs="仿宋_GB2312"/>
          <w:color w:val="000000"/>
        </w:rPr>
        <w:t>，人均国内生产总值和城区综合实力进入全省同类城区前列；在全市率先实现</w:t>
      </w:r>
      <w:bookmarkStart w:id="51" w:name="_Hlk59779919"/>
      <w:r>
        <w:rPr>
          <w:rFonts w:hint="eastAsia" w:ascii="仿宋_GB2312" w:hAnsi="仿宋_GB2312" w:eastAsia="仿宋_GB2312" w:cs="仿宋_GB2312"/>
          <w:color w:val="000000"/>
        </w:rPr>
        <w:t>区域社会治理体系和治理能力现代化</w:t>
      </w:r>
      <w:bookmarkEnd w:id="51"/>
      <w:r>
        <w:rPr>
          <w:rFonts w:hint="eastAsia" w:ascii="仿宋_GB2312" w:hAnsi="仿宋_GB2312" w:eastAsia="仿宋_GB2312" w:cs="仿宋_GB2312"/>
          <w:color w:val="000000"/>
        </w:rPr>
        <w:t>，法治黄石港基本建成，</w:t>
      </w:r>
      <w:bookmarkStart w:id="52" w:name="_Hlk59779782"/>
      <w:r>
        <w:rPr>
          <w:rFonts w:hint="eastAsia" w:ascii="仿宋_GB2312" w:hAnsi="仿宋_GB2312" w:eastAsia="仿宋_GB2312" w:cs="仿宋_GB2312"/>
          <w:color w:val="000000"/>
        </w:rPr>
        <w:t>平安港区建设达到更高水平</w:t>
      </w:r>
      <w:bookmarkEnd w:id="52"/>
      <w:r>
        <w:rPr>
          <w:rFonts w:hint="eastAsia" w:ascii="仿宋_GB2312" w:hAnsi="仿宋_GB2312" w:eastAsia="仿宋_GB2312" w:cs="仿宋_GB2312"/>
          <w:color w:val="000000"/>
        </w:rPr>
        <w:t>；</w:t>
      </w:r>
      <w:bookmarkStart w:id="53" w:name="_Hlk59779802"/>
      <w:r>
        <w:rPr>
          <w:rFonts w:hint="eastAsia" w:ascii="仿宋_GB2312" w:hAnsi="仿宋_GB2312" w:eastAsia="仿宋_GB2312" w:cs="仿宋_GB2312"/>
          <w:color w:val="000000"/>
        </w:rPr>
        <w:t>城市文明程度达到新高度</w:t>
      </w:r>
      <w:bookmarkEnd w:id="53"/>
      <w:r>
        <w:rPr>
          <w:rFonts w:hint="eastAsia" w:ascii="仿宋_GB2312" w:hAnsi="仿宋_GB2312" w:eastAsia="仿宋_GB2312" w:cs="仿宋_GB2312"/>
          <w:color w:val="000000"/>
        </w:rPr>
        <w:t>，文化软实力显著增强；</w:t>
      </w:r>
      <w:bookmarkStart w:id="54" w:name="_Hlk59779953"/>
      <w:r>
        <w:rPr>
          <w:rFonts w:hint="eastAsia" w:ascii="仿宋_GB2312" w:hAnsi="仿宋_GB2312" w:eastAsia="仿宋_GB2312" w:cs="仿宋_GB2312"/>
          <w:color w:val="000000"/>
        </w:rPr>
        <w:t>生态环境根本好转</w:t>
      </w:r>
      <w:bookmarkEnd w:id="54"/>
      <w:r>
        <w:rPr>
          <w:rFonts w:hint="eastAsia" w:ascii="仿宋_GB2312" w:hAnsi="仿宋_GB2312" w:eastAsia="仿宋_GB2312" w:cs="仿宋_GB2312"/>
          <w:color w:val="000000"/>
        </w:rPr>
        <w:t>，绿色生产生活方式广泛形成；科技、教育、医疗、文化、养老等</w:t>
      </w:r>
      <w:bookmarkStart w:id="55" w:name="_Hlk59779822"/>
      <w:r>
        <w:rPr>
          <w:rFonts w:hint="eastAsia" w:ascii="仿宋_GB2312" w:hAnsi="仿宋_GB2312" w:eastAsia="仿宋_GB2312" w:cs="仿宋_GB2312"/>
          <w:color w:val="000000"/>
        </w:rPr>
        <w:t>社会事业优势充分释放</w:t>
      </w:r>
      <w:bookmarkEnd w:id="55"/>
      <w:r>
        <w:rPr>
          <w:rFonts w:hint="eastAsia" w:ascii="仿宋_GB2312" w:hAnsi="仿宋_GB2312" w:eastAsia="仿宋_GB2312" w:cs="仿宋_GB2312"/>
          <w:color w:val="000000"/>
        </w:rPr>
        <w:t>，基本公共服务均等化水平显著提高。在更高水平上实现幼有所育、学有所教、劳有所得、病有所医、老有所养、住有所居、弱有所扶，全</w:t>
      </w:r>
      <w:bookmarkStart w:id="56" w:name="_Hlk59779979"/>
      <w:r>
        <w:rPr>
          <w:rFonts w:hint="eastAsia" w:ascii="仿宋_GB2312" w:hAnsi="仿宋_GB2312" w:eastAsia="仿宋_GB2312" w:cs="仿宋_GB2312"/>
          <w:color w:val="000000"/>
        </w:rPr>
        <w:t>区人民获得感、幸福感、安全感更加充实、更有保障、更可持续</w:t>
      </w:r>
      <w:bookmarkEnd w:id="56"/>
      <w:r>
        <w:rPr>
          <w:rFonts w:hint="eastAsia" w:ascii="仿宋_GB2312" w:hAnsi="仿宋_GB2312" w:eastAsia="仿宋_GB2312" w:cs="仿宋_GB2312"/>
          <w:color w:val="000000"/>
        </w:rPr>
        <w:t>。</w:t>
      </w:r>
    </w:p>
    <w:p w14:paraId="4EFD4A0C">
      <w:pPr>
        <w:widowControl w:val="0"/>
        <w:spacing w:line="570" w:lineRule="exact"/>
        <w:ind w:firstLine="640"/>
        <w:rPr>
          <w:rFonts w:ascii="仿宋_GB2312" w:hAnsi="仿宋_GB2312" w:eastAsia="仿宋_GB2312" w:cs="仿宋_GB2312"/>
          <w:color w:val="000000"/>
          <w:spacing w:val="6"/>
        </w:rPr>
      </w:pPr>
      <w:r>
        <w:rPr>
          <w:rFonts w:hint="eastAsia" w:ascii="仿宋_GB2312" w:hAnsi="仿宋_GB2312" w:eastAsia="仿宋_GB2312" w:cs="仿宋_GB2312"/>
          <w:color w:val="000000"/>
        </w:rPr>
        <w:t>“十四五”时期经济社会发展主要目标。锚定二〇三五年远景目标，围绕“全域临空、创新引领、区域融合、集聚集约、开放共享”发展理念</w:t>
      </w:r>
      <w:r>
        <w:rPr>
          <w:rFonts w:hint="eastAsia" w:ascii="仿宋_GB2312" w:hAnsi="仿宋_GB2312" w:eastAsia="仿宋_GB2312" w:cs="仿宋_GB2312"/>
          <w:color w:val="000000"/>
          <w:spacing w:val="6"/>
        </w:rPr>
        <w:t>，全区力争实现经济发展水平、城区环境面貌、文化软实力、社会治理效能等全方位新跨越。聚焦聚力高质量发展、高品质生活、高效能治理。重点实现以下主要目标：</w:t>
      </w:r>
    </w:p>
    <w:p w14:paraId="2DA010A3">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w:t>
      </w:r>
      <w:bookmarkStart w:id="57" w:name="_Hlk59780515"/>
      <w:r>
        <w:rPr>
          <w:rFonts w:hint="eastAsia" w:ascii="仿宋_GB2312" w:hAnsi="仿宋_GB2312" w:eastAsia="仿宋_GB2312" w:cs="仿宋_GB2312"/>
          <w:color w:val="000000"/>
        </w:rPr>
        <w:t>经济高质量发展迈上新台阶</w:t>
      </w:r>
      <w:bookmarkEnd w:id="57"/>
      <w:r>
        <w:rPr>
          <w:rFonts w:hint="eastAsia" w:ascii="仿宋_GB2312" w:hAnsi="仿宋_GB2312" w:eastAsia="仿宋_GB2312" w:cs="仿宋_GB2312"/>
          <w:color w:val="000000"/>
        </w:rPr>
        <w:t>。产业基础高级化、产业链现代化水平明显提高，以总部经济、楼宇经济、数字经济为重点的现代产业体系建设取得重大进展，智能制造业与现代服务业融合发展实现突破，全区社会消费品零售总额实现翻番，第三产业占比达85%以上，巩固提升服务业发展在全省城区中的领先地位，争创全国现代服务业试验区。</w:t>
      </w:r>
    </w:p>
    <w:p w14:paraId="3F79C678">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w:t>
      </w:r>
      <w:bookmarkStart w:id="58" w:name="_Hlk59780538"/>
      <w:r>
        <w:rPr>
          <w:rFonts w:hint="eastAsia" w:ascii="仿宋_GB2312" w:hAnsi="仿宋_GB2312" w:eastAsia="仿宋_GB2312" w:cs="仿宋_GB2312"/>
          <w:color w:val="000000"/>
        </w:rPr>
        <w:t>创新发展活力实现新提升</w:t>
      </w:r>
      <w:bookmarkEnd w:id="58"/>
      <w:r>
        <w:rPr>
          <w:rFonts w:hint="eastAsia" w:ascii="仿宋_GB2312" w:hAnsi="仿宋_GB2312" w:eastAsia="仿宋_GB2312" w:cs="仿宋_GB2312"/>
          <w:color w:val="000000"/>
        </w:rPr>
        <w:t>。</w:t>
      </w:r>
      <w:bookmarkStart w:id="59" w:name="_Hlk59780575"/>
      <w:r>
        <w:rPr>
          <w:rFonts w:hint="eastAsia" w:ascii="仿宋_GB2312" w:hAnsi="仿宋_GB2312" w:eastAsia="仿宋_GB2312" w:cs="仿宋_GB2312"/>
          <w:color w:val="000000"/>
        </w:rPr>
        <w:t>创新在发展全局中的核心地位全面凸显</w:t>
      </w:r>
      <w:bookmarkEnd w:id="59"/>
      <w:r>
        <w:rPr>
          <w:rFonts w:hint="eastAsia" w:ascii="仿宋_GB2312" w:hAnsi="仿宋_GB2312" w:eastAsia="仿宋_GB2312" w:cs="仿宋_GB2312"/>
          <w:color w:val="000000"/>
        </w:rPr>
        <w:t>，科技、产业、人才和体制机制创新体系不断完善，企业创新能力显著提升，社会创新活力不断增强，融入区域创新协作取得成效，重点领域和关键环节改革实现新突破，营商环境全面优化。</w:t>
      </w:r>
    </w:p>
    <w:p w14:paraId="7A114666">
      <w:pPr>
        <w:widowControl w:val="0"/>
        <w:spacing w:line="570" w:lineRule="exact"/>
        <w:ind w:firstLine="640"/>
        <w:rPr>
          <w:rStyle w:val="98"/>
        </w:rPr>
      </w:pPr>
      <w:r>
        <w:rPr>
          <w:rFonts w:hint="eastAsia" w:ascii="仿宋_GB2312" w:hAnsi="仿宋_GB2312" w:eastAsia="仿宋_GB2312" w:cs="仿宋_GB2312"/>
          <w:color w:val="000000"/>
        </w:rPr>
        <w:t>——区域功能布局实现新跃升。</w:t>
      </w:r>
      <w:bookmarkStart w:id="60" w:name="_Hlk59780466"/>
      <w:r>
        <w:rPr>
          <w:rStyle w:val="98"/>
          <w:rFonts w:hint="eastAsia"/>
        </w:rPr>
        <w:t>全域临空的功能全面凸显</w:t>
      </w:r>
      <w:bookmarkEnd w:id="60"/>
      <w:r>
        <w:rPr>
          <w:rStyle w:val="98"/>
          <w:rFonts w:hint="eastAsia"/>
        </w:rPr>
        <w:t>，“两园两带</w:t>
      </w:r>
      <w:r>
        <w:rPr>
          <w:rStyle w:val="98"/>
          <w:rFonts w:hint="eastAsia"/>
        </w:rPr>
        <w:endnoteReference w:id="3"/>
      </w:r>
      <w:r>
        <w:rPr>
          <w:rStyle w:val="98"/>
          <w:rFonts w:hint="eastAsia"/>
        </w:rPr>
        <w:t>”的空间布局基本形成，黄石港临空商务产业园核心区建成见效，黄石港临空智造产业园形成规模，临空都市发展带、滨水绿色发展带在全市发展布局中发挥先行引领作用。全区交通路网全面优化，区域经济枢纽、交通枢纽、市场枢纽等功能不断强化，实现内外循环畅通联动，</w:t>
      </w:r>
      <w:bookmarkStart w:id="61" w:name="_Hlk59780697"/>
      <w:r>
        <w:rPr>
          <w:rStyle w:val="98"/>
          <w:rFonts w:hint="eastAsia"/>
        </w:rPr>
        <w:t>建设全域临空先行区</w:t>
      </w:r>
      <w:bookmarkEnd w:id="61"/>
      <w:r>
        <w:rPr>
          <w:rStyle w:val="98"/>
          <w:rFonts w:hint="eastAsia"/>
        </w:rPr>
        <w:t>。</w:t>
      </w:r>
    </w:p>
    <w:p w14:paraId="17BD5059">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w:t>
      </w:r>
      <w:bookmarkStart w:id="62" w:name="_Hlk59780725"/>
      <w:r>
        <w:rPr>
          <w:rFonts w:hint="eastAsia" w:ascii="仿宋_GB2312" w:hAnsi="仿宋_GB2312" w:eastAsia="仿宋_GB2312" w:cs="仿宋_GB2312"/>
          <w:color w:val="000000"/>
        </w:rPr>
        <w:t>生态文明建设取得新成效</w:t>
      </w:r>
      <w:bookmarkEnd w:id="62"/>
      <w:r>
        <w:rPr>
          <w:rFonts w:hint="eastAsia" w:ascii="仿宋_GB2312" w:hAnsi="仿宋_GB2312" w:eastAsia="仿宋_GB2312" w:cs="仿宋_GB2312"/>
          <w:color w:val="000000"/>
        </w:rPr>
        <w:t>。长江岸线治理、修复和保护取得更大成效，区域内山、水、林、湖、草综合治理全面达标，主要污染物排放总量持续减少，区域生态环境持续改善，生态安全屏障更加牢固，</w:t>
      </w:r>
      <w:bookmarkStart w:id="63" w:name="_Hlk59780755"/>
      <w:r>
        <w:rPr>
          <w:rFonts w:hint="eastAsia" w:ascii="仿宋_GB2312" w:hAnsi="仿宋_GB2312" w:eastAsia="仿宋_GB2312" w:cs="仿宋_GB2312"/>
          <w:color w:val="000000"/>
        </w:rPr>
        <w:t>建成国家级生态文明示范城区</w:t>
      </w:r>
      <w:bookmarkEnd w:id="63"/>
      <w:r>
        <w:rPr>
          <w:rFonts w:hint="eastAsia" w:ascii="仿宋_GB2312" w:hAnsi="仿宋_GB2312" w:eastAsia="仿宋_GB2312" w:cs="仿宋_GB2312"/>
          <w:color w:val="000000"/>
        </w:rPr>
        <w:t>，打造长江经济带绿色发展示范区。</w:t>
      </w:r>
    </w:p>
    <w:p w14:paraId="186E40FF">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w:t>
      </w:r>
      <w:bookmarkStart w:id="64" w:name="_Hlk59780802"/>
      <w:r>
        <w:rPr>
          <w:rFonts w:hint="eastAsia" w:ascii="仿宋_GB2312" w:hAnsi="仿宋_GB2312" w:eastAsia="仿宋_GB2312" w:cs="仿宋_GB2312"/>
          <w:color w:val="000000"/>
        </w:rPr>
        <w:t>人民生活品质实现新提高</w:t>
      </w:r>
      <w:bookmarkEnd w:id="64"/>
      <w:r>
        <w:rPr>
          <w:rFonts w:hint="eastAsia" w:ascii="仿宋_GB2312" w:hAnsi="仿宋_GB2312" w:eastAsia="仿宋_GB2312" w:cs="仿宋_GB2312"/>
          <w:color w:val="000000"/>
        </w:rPr>
        <w:t>。全面完成老旧小区改造任务，实现“15分钟生活圈”全覆盖。实现更加充分更高质量就业，居民收入稳步增长，基本公共服务均等化水平明显提高。全民受教育程度不断提升，卫生健康服务体系更加完善，多层次社会保障体系更加健全。公共文化服务体系进一步完善，文旅产业融合发展格局基本形成，社会文明程度显著提升，群众获得感幸福感不断增强，</w:t>
      </w:r>
      <w:bookmarkStart w:id="65" w:name="_Hlk59780814"/>
      <w:r>
        <w:rPr>
          <w:rFonts w:hint="eastAsia" w:ascii="仿宋_GB2312" w:hAnsi="仿宋_GB2312" w:eastAsia="仿宋_GB2312" w:cs="仿宋_GB2312"/>
          <w:color w:val="000000"/>
        </w:rPr>
        <w:t>创造美好生活引领区</w:t>
      </w:r>
      <w:bookmarkEnd w:id="65"/>
      <w:r>
        <w:rPr>
          <w:rFonts w:hint="eastAsia" w:ascii="仿宋_GB2312" w:hAnsi="仿宋_GB2312" w:eastAsia="仿宋_GB2312" w:cs="仿宋_GB2312"/>
          <w:color w:val="000000"/>
        </w:rPr>
        <w:t>。</w:t>
      </w:r>
    </w:p>
    <w:p w14:paraId="4F830F49">
      <w:pPr>
        <w:widowControl w:val="0"/>
        <w:spacing w:line="57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w:t>
      </w:r>
      <w:bookmarkStart w:id="66" w:name="_Hlk59780827"/>
      <w:r>
        <w:rPr>
          <w:rFonts w:hint="eastAsia" w:ascii="仿宋_GB2312" w:hAnsi="仿宋_GB2312" w:eastAsia="仿宋_GB2312" w:cs="仿宋_GB2312"/>
          <w:color w:val="000000"/>
        </w:rPr>
        <w:t>区域治理效能达到新水平</w:t>
      </w:r>
      <w:bookmarkEnd w:id="66"/>
      <w:r>
        <w:rPr>
          <w:rFonts w:hint="eastAsia" w:ascii="仿宋_GB2312" w:hAnsi="仿宋_GB2312" w:eastAsia="仿宋_GB2312" w:cs="仿宋_GB2312"/>
          <w:color w:val="000000"/>
        </w:rPr>
        <w:t>。社会主义民主法治更加健全，社会公平正义进一步彰显。防范化解重大风险、应急处置、反恐维稳、消防救援、救灾减灾能力不断增强，发展安全保障更加有力。社会治理体系更加完善，基层治理水平明显提高，</w:t>
      </w:r>
      <w:bookmarkStart w:id="67" w:name="_Hlk59780955"/>
      <w:r>
        <w:rPr>
          <w:rFonts w:hint="eastAsia" w:ascii="仿宋_GB2312" w:hAnsi="仿宋_GB2312" w:eastAsia="仿宋_GB2312" w:cs="仿宋_GB2312"/>
          <w:color w:val="000000"/>
        </w:rPr>
        <w:t>区域社会治理能力和水平走在全市前列</w:t>
      </w:r>
      <w:bookmarkEnd w:id="67"/>
      <w:r>
        <w:rPr>
          <w:rFonts w:hint="eastAsia" w:ascii="仿宋_GB2312" w:hAnsi="仿宋_GB2312" w:eastAsia="仿宋_GB2312" w:cs="仿宋_GB2312"/>
          <w:color w:val="000000"/>
        </w:rPr>
        <w:t>。</w:t>
      </w:r>
    </w:p>
    <w:p w14:paraId="2F175854">
      <w:pPr>
        <w:widowControl w:val="0"/>
        <w:spacing w:line="540" w:lineRule="exact"/>
        <w:ind w:firstLine="640"/>
        <w:rPr>
          <w:rFonts w:ascii="仿宋_GB2312" w:hAnsi="仿宋_GB2312" w:eastAsia="仿宋_GB2312" w:cs="仿宋_GB2312"/>
          <w:color w:val="000000"/>
        </w:rPr>
      </w:pPr>
    </w:p>
    <w:p w14:paraId="23EE0C0B">
      <w:pPr>
        <w:widowControl w:val="0"/>
        <w:spacing w:line="540" w:lineRule="exact"/>
        <w:ind w:firstLine="640"/>
        <w:rPr>
          <w:rFonts w:ascii="仿宋_GB2312" w:hAnsi="仿宋_GB2312" w:eastAsia="仿宋_GB2312" w:cs="仿宋_GB2312"/>
          <w:color w:val="000000"/>
        </w:rPr>
        <w:sectPr>
          <w:footerReference r:id="rId12" w:type="default"/>
          <w:endnotePr>
            <w:numFmt w:val="decimal"/>
          </w:endnotePr>
          <w:pgSz w:w="11850" w:h="16783"/>
          <w:pgMar w:top="2098" w:right="1531" w:bottom="1985" w:left="1531" w:header="720" w:footer="850" w:gutter="0"/>
          <w:cols w:space="720" w:num="1"/>
          <w:docGrid w:type="lines" w:linePitch="436" w:charSpace="0"/>
        </w:sectPr>
      </w:pPr>
    </w:p>
    <w:bookmarkEnd w:id="41"/>
    <w:p w14:paraId="72A09314">
      <w:pPr>
        <w:widowControl w:val="0"/>
        <w:spacing w:afterLines="50" w:line="570" w:lineRule="exact"/>
        <w:ind w:firstLine="720"/>
        <w:rPr>
          <w:rFonts w:ascii="方正大标宋_GBK" w:hAnsi="方正黑体简体" w:eastAsia="方正大标宋_GBK" w:cs="方正黑体简体"/>
          <w:color w:val="000000" w:themeColor="text1"/>
          <w:sz w:val="36"/>
          <w:szCs w:val="36"/>
          <w14:textFill>
            <w14:solidFill>
              <w14:schemeClr w14:val="tx1"/>
            </w14:solidFill>
          </w14:textFill>
        </w:rPr>
      </w:pPr>
      <w:bookmarkStart w:id="68" w:name="_Toc19515"/>
      <w:bookmarkStart w:id="69" w:name="_Toc20677"/>
      <w:r>
        <w:rPr>
          <w:rFonts w:hint="eastAsia" w:ascii="方正大标宋_GBK" w:hAnsi="方正黑体简体" w:eastAsia="方正大标宋_GBK" w:cs="方正黑体简体"/>
          <w:color w:val="000000" w:themeColor="text1"/>
          <w:sz w:val="36"/>
          <w:szCs w:val="36"/>
          <w14:textFill>
            <w14:solidFill>
              <w14:schemeClr w14:val="tx1"/>
            </w14:solidFill>
          </w14:textFill>
        </w:rPr>
        <w:t>黄石港区“十四五”时期经济社会发展主要指标</w:t>
      </w:r>
      <w:bookmarkEnd w:id="68"/>
      <w:bookmarkEnd w:id="69"/>
    </w:p>
    <w:tbl>
      <w:tblPr>
        <w:tblStyle w:val="29"/>
        <w:tblW w:w="9900" w:type="dxa"/>
        <w:jc w:val="center"/>
        <w:tblLayout w:type="fixed"/>
        <w:tblCellMar>
          <w:top w:w="65" w:type="dxa"/>
          <w:left w:w="14" w:type="dxa"/>
          <w:bottom w:w="0" w:type="dxa"/>
          <w:right w:w="33" w:type="dxa"/>
        </w:tblCellMar>
      </w:tblPr>
      <w:tblGrid>
        <w:gridCol w:w="727"/>
        <w:gridCol w:w="647"/>
        <w:gridCol w:w="3491"/>
        <w:gridCol w:w="682"/>
        <w:gridCol w:w="1058"/>
        <w:gridCol w:w="1520"/>
        <w:gridCol w:w="938"/>
        <w:gridCol w:w="837"/>
      </w:tblGrid>
      <w:tr w14:paraId="1B5CDDA3">
        <w:tblPrEx>
          <w:tblCellMar>
            <w:top w:w="65" w:type="dxa"/>
            <w:left w:w="14" w:type="dxa"/>
            <w:bottom w:w="0" w:type="dxa"/>
            <w:right w:w="33" w:type="dxa"/>
          </w:tblCellMar>
        </w:tblPrEx>
        <w:trPr>
          <w:trHeight w:val="402" w:hRule="atLeast"/>
          <w:jc w:val="center"/>
        </w:trPr>
        <w:tc>
          <w:tcPr>
            <w:tcW w:w="727" w:type="dxa"/>
            <w:vMerge w:val="restart"/>
            <w:tcBorders>
              <w:top w:val="single" w:color="000000" w:sz="8" w:space="0"/>
              <w:left w:val="single" w:color="000000" w:sz="8" w:space="0"/>
              <w:bottom w:val="single" w:color="000000" w:sz="4" w:space="0"/>
              <w:right w:val="single" w:color="000000" w:sz="4" w:space="0"/>
            </w:tcBorders>
            <w:vAlign w:val="center"/>
          </w:tcPr>
          <w:p w14:paraId="59A51FF6">
            <w:pPr>
              <w:widowControl w:val="0"/>
              <w:spacing w:line="300" w:lineRule="exact"/>
              <w:ind w:firstLine="0" w:firstLineChars="0"/>
              <w:jc w:val="center"/>
              <w:rPr>
                <w:rFonts w:ascii="方正黑体_GBK" w:eastAsia="方正黑体_GBK"/>
                <w:color w:val="000000" w:themeColor="text1"/>
                <w:sz w:val="24"/>
                <w14:textFill>
                  <w14:solidFill>
                    <w14:schemeClr w14:val="tx1"/>
                  </w14:solidFill>
                </w14:textFill>
              </w:rPr>
            </w:pPr>
            <w:r>
              <w:rPr>
                <w:rFonts w:hint="eastAsia" w:ascii="方正黑体_GBK" w:eastAsia="方正黑体_GBK"/>
                <w:color w:val="000000" w:themeColor="text1"/>
                <w:sz w:val="24"/>
                <w14:textFill>
                  <w14:solidFill>
                    <w14:schemeClr w14:val="tx1"/>
                  </w14:solidFill>
                </w14:textFill>
              </w:rPr>
              <w:t>类型</w:t>
            </w:r>
          </w:p>
        </w:tc>
        <w:tc>
          <w:tcPr>
            <w:tcW w:w="647" w:type="dxa"/>
            <w:vMerge w:val="restart"/>
            <w:tcBorders>
              <w:top w:val="single" w:color="000000" w:sz="8" w:space="0"/>
              <w:left w:val="single" w:color="000000" w:sz="4" w:space="0"/>
              <w:bottom w:val="single" w:color="000000" w:sz="4" w:space="0"/>
              <w:right w:val="single" w:color="000000" w:sz="4" w:space="0"/>
            </w:tcBorders>
            <w:vAlign w:val="center"/>
          </w:tcPr>
          <w:p w14:paraId="4E9DFFF2">
            <w:pPr>
              <w:widowControl w:val="0"/>
              <w:spacing w:line="300" w:lineRule="exact"/>
              <w:ind w:firstLine="0" w:firstLineChars="0"/>
              <w:jc w:val="center"/>
              <w:rPr>
                <w:rFonts w:ascii="方正黑体_GBK" w:eastAsia="方正黑体_GBK"/>
                <w:color w:val="000000" w:themeColor="text1"/>
                <w:sz w:val="24"/>
                <w14:textFill>
                  <w14:solidFill>
                    <w14:schemeClr w14:val="tx1"/>
                  </w14:solidFill>
                </w14:textFill>
              </w:rPr>
            </w:pPr>
            <w:r>
              <w:rPr>
                <w:rFonts w:hint="eastAsia" w:ascii="方正黑体_GBK" w:eastAsia="方正黑体_GBK"/>
                <w:color w:val="000000" w:themeColor="text1"/>
                <w:sz w:val="24"/>
                <w14:textFill>
                  <w14:solidFill>
                    <w14:schemeClr w14:val="tx1"/>
                  </w14:solidFill>
                </w14:textFill>
              </w:rPr>
              <w:t>序号</w:t>
            </w:r>
          </w:p>
        </w:tc>
        <w:tc>
          <w:tcPr>
            <w:tcW w:w="3491" w:type="dxa"/>
            <w:vMerge w:val="restart"/>
            <w:tcBorders>
              <w:top w:val="single" w:color="000000" w:sz="8" w:space="0"/>
              <w:left w:val="single" w:color="000000" w:sz="4" w:space="0"/>
              <w:bottom w:val="single" w:color="000000" w:sz="4" w:space="0"/>
              <w:right w:val="single" w:color="000000" w:sz="4" w:space="0"/>
            </w:tcBorders>
            <w:vAlign w:val="center"/>
          </w:tcPr>
          <w:p w14:paraId="42E06641">
            <w:pPr>
              <w:widowControl w:val="0"/>
              <w:spacing w:line="300" w:lineRule="exact"/>
              <w:ind w:firstLine="0" w:firstLineChars="0"/>
              <w:jc w:val="center"/>
              <w:rPr>
                <w:rFonts w:ascii="方正黑体_GBK" w:eastAsia="方正黑体_GBK"/>
                <w:color w:val="000000" w:themeColor="text1"/>
                <w:sz w:val="24"/>
                <w14:textFill>
                  <w14:solidFill>
                    <w14:schemeClr w14:val="tx1"/>
                  </w14:solidFill>
                </w14:textFill>
              </w:rPr>
            </w:pPr>
            <w:r>
              <w:rPr>
                <w:rFonts w:hint="eastAsia" w:ascii="方正黑体_GBK" w:eastAsia="方正黑体_GBK"/>
                <w:color w:val="000000" w:themeColor="text1"/>
                <w:sz w:val="24"/>
                <w14:textFill>
                  <w14:solidFill>
                    <w14:schemeClr w14:val="tx1"/>
                  </w14:solidFill>
                </w14:textFill>
              </w:rPr>
              <w:t>指标名称</w:t>
            </w:r>
          </w:p>
        </w:tc>
        <w:tc>
          <w:tcPr>
            <w:tcW w:w="682" w:type="dxa"/>
            <w:vMerge w:val="restart"/>
            <w:tcBorders>
              <w:top w:val="single" w:color="000000" w:sz="8" w:space="0"/>
              <w:left w:val="single" w:color="000000" w:sz="4" w:space="0"/>
              <w:bottom w:val="single" w:color="000000" w:sz="4" w:space="0"/>
              <w:right w:val="single" w:color="000000" w:sz="4" w:space="0"/>
            </w:tcBorders>
            <w:vAlign w:val="center"/>
          </w:tcPr>
          <w:p w14:paraId="0657ABDF">
            <w:pPr>
              <w:widowControl w:val="0"/>
              <w:spacing w:line="300" w:lineRule="exact"/>
              <w:ind w:firstLine="0" w:firstLineChars="0"/>
              <w:jc w:val="center"/>
              <w:rPr>
                <w:rFonts w:ascii="方正黑体_GBK" w:eastAsia="方正黑体_GBK"/>
                <w:color w:val="000000" w:themeColor="text1"/>
                <w:sz w:val="24"/>
                <w14:textFill>
                  <w14:solidFill>
                    <w14:schemeClr w14:val="tx1"/>
                  </w14:solidFill>
                </w14:textFill>
              </w:rPr>
            </w:pPr>
            <w:r>
              <w:rPr>
                <w:rFonts w:hint="eastAsia" w:ascii="方正黑体_GBK" w:eastAsia="方正黑体_GBK"/>
                <w:color w:val="000000" w:themeColor="text1"/>
                <w:sz w:val="24"/>
                <w14:textFill>
                  <w14:solidFill>
                    <w14:schemeClr w14:val="tx1"/>
                  </w14:solidFill>
                </w14:textFill>
              </w:rPr>
              <w:t>指标</w:t>
            </w:r>
          </w:p>
          <w:p w14:paraId="56D4D1EB">
            <w:pPr>
              <w:widowControl w:val="0"/>
              <w:spacing w:line="300" w:lineRule="exact"/>
              <w:ind w:firstLine="0" w:firstLineChars="0"/>
              <w:jc w:val="center"/>
              <w:rPr>
                <w:rFonts w:ascii="方正黑体_GBK" w:eastAsia="方正黑体_GBK"/>
                <w:color w:val="000000" w:themeColor="text1"/>
                <w:sz w:val="24"/>
                <w14:textFill>
                  <w14:solidFill>
                    <w14:schemeClr w14:val="tx1"/>
                  </w14:solidFill>
                </w14:textFill>
              </w:rPr>
            </w:pPr>
            <w:r>
              <w:rPr>
                <w:rFonts w:hint="eastAsia" w:ascii="方正黑体_GBK" w:eastAsia="方正黑体_GBK"/>
                <w:color w:val="000000" w:themeColor="text1"/>
                <w:sz w:val="24"/>
                <w14:textFill>
                  <w14:solidFill>
                    <w14:schemeClr w14:val="tx1"/>
                  </w14:solidFill>
                </w14:textFill>
              </w:rPr>
              <w:t>单位</w:t>
            </w:r>
          </w:p>
        </w:tc>
        <w:tc>
          <w:tcPr>
            <w:tcW w:w="1058" w:type="dxa"/>
            <w:vMerge w:val="restart"/>
            <w:tcBorders>
              <w:top w:val="single" w:color="000000" w:sz="8" w:space="0"/>
              <w:left w:val="single" w:color="000000" w:sz="4" w:space="0"/>
              <w:bottom w:val="single" w:color="000000" w:sz="4" w:space="0"/>
              <w:right w:val="single" w:color="000000" w:sz="4" w:space="0"/>
            </w:tcBorders>
            <w:vAlign w:val="center"/>
          </w:tcPr>
          <w:p w14:paraId="31BB81A4">
            <w:pPr>
              <w:widowControl w:val="0"/>
              <w:spacing w:line="300" w:lineRule="exact"/>
              <w:ind w:firstLine="0" w:firstLineChars="0"/>
              <w:jc w:val="center"/>
              <w:rPr>
                <w:rFonts w:ascii="方正黑体_GBK" w:eastAsia="方正黑体_GBK"/>
                <w:color w:val="000000" w:themeColor="text1"/>
                <w:sz w:val="24"/>
                <w14:textFill>
                  <w14:solidFill>
                    <w14:schemeClr w14:val="tx1"/>
                  </w14:solidFill>
                </w14:textFill>
              </w:rPr>
            </w:pPr>
            <w:r>
              <w:rPr>
                <w:rFonts w:hint="eastAsia" w:ascii="方正黑体_GBK" w:eastAsia="方正黑体_GBK"/>
                <w:color w:val="000000" w:themeColor="text1"/>
                <w:sz w:val="24"/>
                <w14:textFill>
                  <w14:solidFill>
                    <w14:schemeClr w14:val="tx1"/>
                  </w14:solidFill>
                </w14:textFill>
              </w:rPr>
              <w:t>2020年基数</w:t>
            </w:r>
          </w:p>
          <w:p w14:paraId="360997E7">
            <w:pPr>
              <w:widowControl w:val="0"/>
              <w:spacing w:line="300" w:lineRule="exact"/>
              <w:ind w:firstLine="0" w:firstLineChars="0"/>
              <w:jc w:val="center"/>
              <w:rPr>
                <w:rFonts w:ascii="方正黑体_GBK" w:eastAsia="方正黑体_GBK"/>
                <w:color w:val="000000" w:themeColor="text1"/>
                <w:sz w:val="24"/>
                <w14:textFill>
                  <w14:solidFill>
                    <w14:schemeClr w14:val="tx1"/>
                  </w14:solidFill>
                </w14:textFill>
              </w:rPr>
            </w:pPr>
            <w:r>
              <w:rPr>
                <w:rFonts w:hint="eastAsia" w:ascii="方正黑体_GBK" w:eastAsia="方正黑体_GBK"/>
                <w:color w:val="000000" w:themeColor="text1"/>
                <w:sz w:val="24"/>
                <w14:textFill>
                  <w14:solidFill>
                    <w14:schemeClr w14:val="tx1"/>
                  </w14:solidFill>
                </w14:textFill>
              </w:rPr>
              <w:t>（预计）</w:t>
            </w:r>
          </w:p>
        </w:tc>
        <w:tc>
          <w:tcPr>
            <w:tcW w:w="2458" w:type="dxa"/>
            <w:gridSpan w:val="2"/>
            <w:tcBorders>
              <w:top w:val="single" w:color="000000" w:sz="8" w:space="0"/>
              <w:left w:val="single" w:color="000000" w:sz="4" w:space="0"/>
              <w:bottom w:val="single" w:color="000000" w:sz="8" w:space="0"/>
              <w:right w:val="single" w:color="000000" w:sz="4" w:space="0"/>
            </w:tcBorders>
            <w:vAlign w:val="center"/>
          </w:tcPr>
          <w:p w14:paraId="44AD2164">
            <w:pPr>
              <w:widowControl w:val="0"/>
              <w:spacing w:line="300" w:lineRule="exact"/>
              <w:ind w:firstLine="0" w:firstLineChars="0"/>
              <w:jc w:val="center"/>
              <w:rPr>
                <w:rFonts w:ascii="方正黑体_GBK" w:eastAsia="方正黑体_GBK"/>
                <w:color w:val="000000" w:themeColor="text1"/>
                <w:sz w:val="24"/>
                <w14:textFill>
                  <w14:solidFill>
                    <w14:schemeClr w14:val="tx1"/>
                  </w14:solidFill>
                </w14:textFill>
              </w:rPr>
            </w:pPr>
            <w:r>
              <w:rPr>
                <w:rFonts w:hint="eastAsia" w:ascii="方正黑体_GBK" w:eastAsia="方正黑体_GBK"/>
                <w:color w:val="000000" w:themeColor="text1"/>
                <w:sz w:val="24"/>
                <w14:textFill>
                  <w14:solidFill>
                    <w14:schemeClr w14:val="tx1"/>
                  </w14:solidFill>
                </w14:textFill>
              </w:rPr>
              <w:t>2025年目标值</w:t>
            </w:r>
          </w:p>
        </w:tc>
        <w:tc>
          <w:tcPr>
            <w:tcW w:w="837" w:type="dxa"/>
            <w:vMerge w:val="restart"/>
            <w:tcBorders>
              <w:top w:val="single" w:color="000000" w:sz="8" w:space="0"/>
              <w:left w:val="single" w:color="000000" w:sz="4" w:space="0"/>
              <w:bottom w:val="single" w:color="000000" w:sz="4" w:space="0"/>
              <w:right w:val="single" w:color="000000" w:sz="8" w:space="0"/>
            </w:tcBorders>
            <w:vAlign w:val="center"/>
          </w:tcPr>
          <w:p w14:paraId="7CFD0D72">
            <w:pPr>
              <w:widowControl w:val="0"/>
              <w:spacing w:line="300" w:lineRule="exact"/>
              <w:ind w:firstLine="0" w:firstLineChars="0"/>
              <w:jc w:val="center"/>
              <w:rPr>
                <w:rFonts w:ascii="方正黑体_GBK" w:eastAsia="方正黑体_GBK"/>
                <w:color w:val="000000" w:themeColor="text1"/>
                <w:sz w:val="24"/>
                <w14:textFill>
                  <w14:solidFill>
                    <w14:schemeClr w14:val="tx1"/>
                  </w14:solidFill>
                </w14:textFill>
              </w:rPr>
            </w:pPr>
            <w:r>
              <w:rPr>
                <w:rFonts w:hint="eastAsia" w:ascii="方正黑体_GBK" w:eastAsia="方正黑体_GBK"/>
                <w:color w:val="000000" w:themeColor="text1"/>
                <w:sz w:val="24"/>
                <w14:textFill>
                  <w14:solidFill>
                    <w14:schemeClr w14:val="tx1"/>
                  </w14:solidFill>
                </w14:textFill>
              </w:rPr>
              <w:t>属性</w:t>
            </w:r>
          </w:p>
        </w:tc>
      </w:tr>
      <w:tr w14:paraId="5F6B04B6">
        <w:tblPrEx>
          <w:tblCellMar>
            <w:top w:w="65" w:type="dxa"/>
            <w:left w:w="14" w:type="dxa"/>
            <w:bottom w:w="0" w:type="dxa"/>
            <w:right w:w="33" w:type="dxa"/>
          </w:tblCellMar>
        </w:tblPrEx>
        <w:trPr>
          <w:trHeight w:val="402" w:hRule="atLeast"/>
          <w:jc w:val="center"/>
        </w:trPr>
        <w:tc>
          <w:tcPr>
            <w:tcW w:w="727" w:type="dxa"/>
            <w:vMerge w:val="continue"/>
            <w:tcBorders>
              <w:top w:val="nil"/>
              <w:left w:val="single" w:color="000000" w:sz="8" w:space="0"/>
              <w:bottom w:val="single" w:color="000000" w:sz="4" w:space="0"/>
              <w:right w:val="single" w:color="000000" w:sz="4" w:space="0"/>
            </w:tcBorders>
            <w:vAlign w:val="center"/>
          </w:tcPr>
          <w:p w14:paraId="1A68DC79">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47" w:type="dxa"/>
            <w:vMerge w:val="continue"/>
            <w:tcBorders>
              <w:top w:val="nil"/>
              <w:left w:val="single" w:color="000000" w:sz="4" w:space="0"/>
              <w:bottom w:val="single" w:color="000000" w:sz="4" w:space="0"/>
              <w:right w:val="single" w:color="000000" w:sz="4" w:space="0"/>
            </w:tcBorders>
            <w:vAlign w:val="center"/>
          </w:tcPr>
          <w:p w14:paraId="7C151106">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3491" w:type="dxa"/>
            <w:vMerge w:val="continue"/>
            <w:tcBorders>
              <w:top w:val="nil"/>
              <w:left w:val="single" w:color="000000" w:sz="4" w:space="0"/>
              <w:bottom w:val="single" w:color="000000" w:sz="4" w:space="0"/>
              <w:right w:val="single" w:color="000000" w:sz="4" w:space="0"/>
            </w:tcBorders>
            <w:vAlign w:val="center"/>
          </w:tcPr>
          <w:p w14:paraId="3B292E8A">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82" w:type="dxa"/>
            <w:vMerge w:val="continue"/>
            <w:tcBorders>
              <w:top w:val="nil"/>
              <w:left w:val="single" w:color="000000" w:sz="4" w:space="0"/>
              <w:bottom w:val="single" w:color="000000" w:sz="4" w:space="0"/>
              <w:right w:val="single" w:color="000000" w:sz="4" w:space="0"/>
            </w:tcBorders>
            <w:vAlign w:val="center"/>
          </w:tcPr>
          <w:p w14:paraId="3AB2718F">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1058" w:type="dxa"/>
            <w:vMerge w:val="continue"/>
            <w:tcBorders>
              <w:top w:val="nil"/>
              <w:left w:val="single" w:color="000000" w:sz="4" w:space="0"/>
              <w:bottom w:val="single" w:color="000000" w:sz="4" w:space="0"/>
              <w:right w:val="single" w:color="000000" w:sz="4" w:space="0"/>
            </w:tcBorders>
            <w:vAlign w:val="center"/>
          </w:tcPr>
          <w:p w14:paraId="5F7B3144">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1520" w:type="dxa"/>
            <w:tcBorders>
              <w:top w:val="single" w:color="000000" w:sz="8" w:space="0"/>
              <w:left w:val="single" w:color="000000" w:sz="4" w:space="0"/>
              <w:bottom w:val="single" w:color="000000" w:sz="4" w:space="0"/>
              <w:right w:val="single" w:color="000000" w:sz="4" w:space="0"/>
            </w:tcBorders>
            <w:vAlign w:val="center"/>
          </w:tcPr>
          <w:p w14:paraId="658F80F2">
            <w:pPr>
              <w:widowControl w:val="0"/>
              <w:spacing w:line="300" w:lineRule="exact"/>
              <w:ind w:firstLine="0" w:firstLineChars="0"/>
              <w:jc w:val="center"/>
              <w:rPr>
                <w:rFonts w:ascii="方正黑体_GBK" w:eastAsia="方正黑体_GBK"/>
                <w:color w:val="000000" w:themeColor="text1"/>
                <w:sz w:val="24"/>
                <w14:textFill>
                  <w14:solidFill>
                    <w14:schemeClr w14:val="tx1"/>
                  </w14:solidFill>
                </w14:textFill>
              </w:rPr>
            </w:pPr>
            <w:r>
              <w:rPr>
                <w:rFonts w:hint="eastAsia" w:ascii="方正黑体_GBK" w:eastAsia="方正黑体_GBK"/>
                <w:color w:val="000000" w:themeColor="text1"/>
                <w:sz w:val="24"/>
                <w14:textFill>
                  <w14:solidFill>
                    <w14:schemeClr w14:val="tx1"/>
                  </w14:solidFill>
                </w14:textFill>
              </w:rPr>
              <w:t>总量</w:t>
            </w:r>
          </w:p>
        </w:tc>
        <w:tc>
          <w:tcPr>
            <w:tcW w:w="938" w:type="dxa"/>
            <w:tcBorders>
              <w:top w:val="single" w:color="000000" w:sz="8" w:space="0"/>
              <w:left w:val="single" w:color="000000" w:sz="4" w:space="0"/>
              <w:bottom w:val="single" w:color="000000" w:sz="4" w:space="0"/>
              <w:right w:val="single" w:color="000000" w:sz="4" w:space="0"/>
            </w:tcBorders>
            <w:vAlign w:val="center"/>
          </w:tcPr>
          <w:p w14:paraId="01F681FD">
            <w:pPr>
              <w:widowControl w:val="0"/>
              <w:spacing w:line="300" w:lineRule="exact"/>
              <w:ind w:firstLine="0" w:firstLineChars="0"/>
              <w:jc w:val="center"/>
              <w:rPr>
                <w:rFonts w:ascii="方正黑体_GBK" w:eastAsia="方正黑体_GBK"/>
                <w:color w:val="000000" w:themeColor="text1"/>
                <w:sz w:val="24"/>
                <w14:textFill>
                  <w14:solidFill>
                    <w14:schemeClr w14:val="tx1"/>
                  </w14:solidFill>
                </w14:textFill>
              </w:rPr>
            </w:pPr>
            <w:r>
              <w:rPr>
                <w:rFonts w:hint="eastAsia" w:ascii="方正黑体_GBK" w:eastAsia="方正黑体_GBK"/>
                <w:color w:val="000000" w:themeColor="text1"/>
                <w:sz w:val="24"/>
                <w14:textFill>
                  <w14:solidFill>
                    <w14:schemeClr w14:val="tx1"/>
                  </w14:solidFill>
                </w14:textFill>
              </w:rPr>
              <w:t>年均</w:t>
            </w:r>
          </w:p>
          <w:p w14:paraId="7397DE32">
            <w:pPr>
              <w:widowControl w:val="0"/>
              <w:spacing w:line="300" w:lineRule="exact"/>
              <w:ind w:firstLine="0" w:firstLineChars="0"/>
              <w:jc w:val="center"/>
              <w:rPr>
                <w:rFonts w:ascii="方正黑体_GBK" w:eastAsia="方正黑体_GBK"/>
                <w:color w:val="000000" w:themeColor="text1"/>
                <w:sz w:val="24"/>
                <w14:textFill>
                  <w14:solidFill>
                    <w14:schemeClr w14:val="tx1"/>
                  </w14:solidFill>
                </w14:textFill>
              </w:rPr>
            </w:pPr>
            <w:r>
              <w:rPr>
                <w:rFonts w:hint="eastAsia" w:ascii="方正黑体_GBK" w:eastAsia="方正黑体_GBK"/>
                <w:color w:val="000000" w:themeColor="text1"/>
                <w:sz w:val="24"/>
                <w14:textFill>
                  <w14:solidFill>
                    <w14:schemeClr w14:val="tx1"/>
                  </w14:solidFill>
                </w14:textFill>
              </w:rPr>
              <w:t>[累计]</w:t>
            </w:r>
          </w:p>
        </w:tc>
        <w:tc>
          <w:tcPr>
            <w:tcW w:w="837" w:type="dxa"/>
            <w:vMerge w:val="continue"/>
            <w:tcBorders>
              <w:top w:val="nil"/>
              <w:left w:val="single" w:color="000000" w:sz="4" w:space="0"/>
              <w:bottom w:val="single" w:color="000000" w:sz="4" w:space="0"/>
              <w:right w:val="single" w:color="000000" w:sz="8" w:space="0"/>
            </w:tcBorders>
            <w:vAlign w:val="center"/>
          </w:tcPr>
          <w:p w14:paraId="22C406A6">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r>
      <w:tr w14:paraId="0E60C57E">
        <w:tblPrEx>
          <w:tblCellMar>
            <w:top w:w="65" w:type="dxa"/>
            <w:left w:w="14" w:type="dxa"/>
            <w:bottom w:w="0" w:type="dxa"/>
            <w:right w:w="33" w:type="dxa"/>
          </w:tblCellMar>
        </w:tblPrEx>
        <w:trPr>
          <w:trHeight w:val="454" w:hRule="atLeast"/>
          <w:jc w:val="center"/>
        </w:trPr>
        <w:tc>
          <w:tcPr>
            <w:tcW w:w="727" w:type="dxa"/>
            <w:vMerge w:val="restart"/>
            <w:tcBorders>
              <w:top w:val="single" w:color="000000" w:sz="4" w:space="0"/>
              <w:left w:val="single" w:color="000000" w:sz="8" w:space="0"/>
              <w:bottom w:val="single" w:color="000000" w:sz="4" w:space="0"/>
              <w:right w:val="single" w:color="000000" w:sz="4" w:space="0"/>
            </w:tcBorders>
            <w:vAlign w:val="center"/>
          </w:tcPr>
          <w:p w14:paraId="6445F6E6">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经济</w:t>
            </w:r>
          </w:p>
          <w:p w14:paraId="03B17C14">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发展</w:t>
            </w:r>
          </w:p>
        </w:tc>
        <w:tc>
          <w:tcPr>
            <w:tcW w:w="647" w:type="dxa"/>
            <w:tcBorders>
              <w:top w:val="single" w:color="000000" w:sz="4" w:space="0"/>
              <w:left w:val="single" w:color="000000" w:sz="4" w:space="0"/>
              <w:bottom w:val="single" w:color="000000" w:sz="4" w:space="0"/>
              <w:right w:val="single" w:color="000000" w:sz="4" w:space="0"/>
            </w:tcBorders>
            <w:vAlign w:val="center"/>
          </w:tcPr>
          <w:p w14:paraId="1F7DB12D">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p>
        </w:tc>
        <w:tc>
          <w:tcPr>
            <w:tcW w:w="3491" w:type="dxa"/>
            <w:tcBorders>
              <w:top w:val="single" w:color="000000" w:sz="4" w:space="0"/>
              <w:left w:val="single" w:color="000000" w:sz="4" w:space="0"/>
              <w:bottom w:val="single" w:color="000000" w:sz="4" w:space="0"/>
              <w:right w:val="single" w:color="000000" w:sz="4" w:space="0"/>
            </w:tcBorders>
            <w:vAlign w:val="center"/>
          </w:tcPr>
          <w:p w14:paraId="79D954D5">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地区生产总值（GDP）</w:t>
            </w:r>
          </w:p>
        </w:tc>
        <w:tc>
          <w:tcPr>
            <w:tcW w:w="682" w:type="dxa"/>
            <w:tcBorders>
              <w:top w:val="single" w:color="000000" w:sz="4" w:space="0"/>
              <w:left w:val="single" w:color="000000" w:sz="4" w:space="0"/>
              <w:bottom w:val="single" w:color="000000" w:sz="4" w:space="0"/>
              <w:right w:val="single" w:color="000000" w:sz="4" w:space="0"/>
            </w:tcBorders>
            <w:vAlign w:val="center"/>
          </w:tcPr>
          <w:p w14:paraId="736F9ABA">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亿元</w:t>
            </w:r>
          </w:p>
        </w:tc>
        <w:tc>
          <w:tcPr>
            <w:tcW w:w="1058" w:type="dxa"/>
            <w:tcBorders>
              <w:top w:val="single" w:color="000000" w:sz="4" w:space="0"/>
              <w:left w:val="single" w:color="000000" w:sz="4" w:space="0"/>
              <w:bottom w:val="single" w:color="000000" w:sz="4" w:space="0"/>
              <w:right w:val="single" w:color="000000" w:sz="4" w:space="0"/>
            </w:tcBorders>
            <w:vAlign w:val="center"/>
          </w:tcPr>
          <w:p w14:paraId="0F4023F5">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208.59</w:t>
            </w:r>
          </w:p>
        </w:tc>
        <w:tc>
          <w:tcPr>
            <w:tcW w:w="1520" w:type="dxa"/>
            <w:tcBorders>
              <w:top w:val="single" w:color="000000" w:sz="4" w:space="0"/>
              <w:left w:val="single" w:color="000000" w:sz="4" w:space="0"/>
              <w:bottom w:val="single" w:color="000000" w:sz="4" w:space="0"/>
              <w:right w:val="single" w:color="000000" w:sz="4" w:space="0"/>
            </w:tcBorders>
            <w:vAlign w:val="center"/>
          </w:tcPr>
          <w:p w14:paraId="0837EC3D">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334.18</w:t>
            </w:r>
          </w:p>
        </w:tc>
        <w:tc>
          <w:tcPr>
            <w:tcW w:w="938" w:type="dxa"/>
            <w:tcBorders>
              <w:top w:val="single" w:color="000000" w:sz="4" w:space="0"/>
              <w:left w:val="single" w:color="000000" w:sz="4" w:space="0"/>
              <w:bottom w:val="single" w:color="000000" w:sz="4" w:space="0"/>
              <w:right w:val="single" w:color="000000" w:sz="4" w:space="0"/>
            </w:tcBorders>
            <w:vAlign w:val="center"/>
          </w:tcPr>
          <w:p w14:paraId="17200587">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10</w:t>
            </w:r>
          </w:p>
        </w:tc>
        <w:tc>
          <w:tcPr>
            <w:tcW w:w="837" w:type="dxa"/>
            <w:tcBorders>
              <w:top w:val="single" w:color="000000" w:sz="4" w:space="0"/>
              <w:left w:val="single" w:color="000000" w:sz="4" w:space="0"/>
              <w:bottom w:val="single" w:color="000000" w:sz="4" w:space="0"/>
              <w:right w:val="single" w:color="000000" w:sz="8" w:space="0"/>
            </w:tcBorders>
            <w:vAlign w:val="center"/>
          </w:tcPr>
          <w:p w14:paraId="1AE02F41">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预期性</w:t>
            </w:r>
          </w:p>
        </w:tc>
      </w:tr>
      <w:tr w14:paraId="53733AAA">
        <w:tblPrEx>
          <w:tblCellMar>
            <w:top w:w="65" w:type="dxa"/>
            <w:left w:w="14" w:type="dxa"/>
            <w:bottom w:w="0" w:type="dxa"/>
            <w:right w:w="33" w:type="dxa"/>
          </w:tblCellMar>
        </w:tblPrEx>
        <w:trPr>
          <w:trHeight w:val="454" w:hRule="atLeast"/>
          <w:jc w:val="center"/>
        </w:trPr>
        <w:tc>
          <w:tcPr>
            <w:tcW w:w="727" w:type="dxa"/>
            <w:vMerge w:val="continue"/>
            <w:tcBorders>
              <w:top w:val="nil"/>
              <w:left w:val="single" w:color="000000" w:sz="8" w:space="0"/>
              <w:bottom w:val="nil"/>
              <w:right w:val="single" w:color="000000" w:sz="4" w:space="0"/>
            </w:tcBorders>
            <w:vAlign w:val="center"/>
          </w:tcPr>
          <w:p w14:paraId="24C4D0AE">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578E1D44">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w:t>
            </w:r>
          </w:p>
        </w:tc>
        <w:tc>
          <w:tcPr>
            <w:tcW w:w="3491" w:type="dxa"/>
            <w:tcBorders>
              <w:top w:val="single" w:color="000000" w:sz="4" w:space="0"/>
              <w:left w:val="single" w:color="000000" w:sz="4" w:space="0"/>
              <w:bottom w:val="single" w:color="000000" w:sz="4" w:space="0"/>
              <w:right w:val="single" w:color="000000" w:sz="4" w:space="0"/>
            </w:tcBorders>
            <w:vAlign w:val="center"/>
          </w:tcPr>
          <w:p w14:paraId="3F8E23CC">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全员劳动生产率增长</w:t>
            </w:r>
          </w:p>
        </w:tc>
        <w:tc>
          <w:tcPr>
            <w:tcW w:w="682" w:type="dxa"/>
            <w:tcBorders>
              <w:top w:val="single" w:color="000000" w:sz="4" w:space="0"/>
              <w:left w:val="single" w:color="000000" w:sz="4" w:space="0"/>
              <w:bottom w:val="single" w:color="000000" w:sz="4" w:space="0"/>
              <w:right w:val="single" w:color="000000" w:sz="4" w:space="0"/>
            </w:tcBorders>
            <w:vAlign w:val="center"/>
          </w:tcPr>
          <w:p w14:paraId="595BCD60">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1058" w:type="dxa"/>
            <w:tcBorders>
              <w:top w:val="single" w:color="000000" w:sz="4" w:space="0"/>
              <w:left w:val="single" w:color="000000" w:sz="4" w:space="0"/>
              <w:bottom w:val="single" w:color="000000" w:sz="4" w:space="0"/>
              <w:right w:val="single" w:color="000000" w:sz="4" w:space="0"/>
            </w:tcBorders>
            <w:vAlign w:val="center"/>
          </w:tcPr>
          <w:p w14:paraId="27D1E1D1">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1520" w:type="dxa"/>
            <w:tcBorders>
              <w:top w:val="single" w:color="000000" w:sz="4" w:space="0"/>
              <w:left w:val="single" w:color="000000" w:sz="4" w:space="0"/>
              <w:bottom w:val="single" w:color="000000" w:sz="4" w:space="0"/>
              <w:right w:val="single" w:color="000000" w:sz="4" w:space="0"/>
            </w:tcBorders>
            <w:vAlign w:val="center"/>
          </w:tcPr>
          <w:p w14:paraId="5345B1D0">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vAlign w:val="center"/>
          </w:tcPr>
          <w:p w14:paraId="1E86F8B3">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&gt;7</w:t>
            </w:r>
          </w:p>
        </w:tc>
        <w:tc>
          <w:tcPr>
            <w:tcW w:w="837" w:type="dxa"/>
            <w:tcBorders>
              <w:top w:val="single" w:color="000000" w:sz="4" w:space="0"/>
              <w:left w:val="single" w:color="000000" w:sz="4" w:space="0"/>
              <w:bottom w:val="single" w:color="000000" w:sz="4" w:space="0"/>
              <w:right w:val="single" w:color="000000" w:sz="8" w:space="0"/>
            </w:tcBorders>
            <w:vAlign w:val="center"/>
          </w:tcPr>
          <w:p w14:paraId="58C31B65">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预期性</w:t>
            </w:r>
          </w:p>
        </w:tc>
      </w:tr>
      <w:tr w14:paraId="03CE9FAB">
        <w:tblPrEx>
          <w:tblCellMar>
            <w:top w:w="65" w:type="dxa"/>
            <w:left w:w="14" w:type="dxa"/>
            <w:bottom w:w="0" w:type="dxa"/>
            <w:right w:w="33" w:type="dxa"/>
          </w:tblCellMar>
        </w:tblPrEx>
        <w:trPr>
          <w:trHeight w:val="454" w:hRule="atLeast"/>
          <w:jc w:val="center"/>
        </w:trPr>
        <w:tc>
          <w:tcPr>
            <w:tcW w:w="727" w:type="dxa"/>
            <w:vMerge w:val="restart"/>
            <w:tcBorders>
              <w:top w:val="single" w:color="000000" w:sz="4" w:space="0"/>
              <w:left w:val="single" w:color="000000" w:sz="8" w:space="0"/>
              <w:bottom w:val="single" w:color="000000" w:sz="4" w:space="0"/>
              <w:right w:val="single" w:color="000000" w:sz="4" w:space="0"/>
            </w:tcBorders>
            <w:vAlign w:val="center"/>
          </w:tcPr>
          <w:p w14:paraId="6F4E9D73">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创新</w:t>
            </w:r>
          </w:p>
          <w:p w14:paraId="2009BB18">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能力</w:t>
            </w:r>
          </w:p>
        </w:tc>
        <w:tc>
          <w:tcPr>
            <w:tcW w:w="647" w:type="dxa"/>
            <w:tcBorders>
              <w:top w:val="single" w:color="000000" w:sz="4" w:space="0"/>
              <w:left w:val="single" w:color="000000" w:sz="4" w:space="0"/>
              <w:bottom w:val="single" w:color="000000" w:sz="4" w:space="0"/>
              <w:right w:val="single" w:color="000000" w:sz="4" w:space="0"/>
            </w:tcBorders>
            <w:vAlign w:val="center"/>
          </w:tcPr>
          <w:p w14:paraId="59E34B1A">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p>
        </w:tc>
        <w:tc>
          <w:tcPr>
            <w:tcW w:w="3491" w:type="dxa"/>
            <w:tcBorders>
              <w:top w:val="single" w:color="000000" w:sz="4" w:space="0"/>
              <w:left w:val="single" w:color="000000" w:sz="4" w:space="0"/>
              <w:bottom w:val="single" w:color="000000" w:sz="4" w:space="0"/>
              <w:right w:val="single" w:color="000000" w:sz="4" w:space="0"/>
            </w:tcBorders>
            <w:vAlign w:val="center"/>
          </w:tcPr>
          <w:p w14:paraId="35434397">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研发经费投入增长</w:t>
            </w:r>
          </w:p>
        </w:tc>
        <w:tc>
          <w:tcPr>
            <w:tcW w:w="682" w:type="dxa"/>
            <w:tcBorders>
              <w:top w:val="single" w:color="000000" w:sz="4" w:space="0"/>
              <w:left w:val="single" w:color="000000" w:sz="4" w:space="0"/>
              <w:bottom w:val="single" w:color="000000" w:sz="4" w:space="0"/>
              <w:right w:val="single" w:color="000000" w:sz="4" w:space="0"/>
            </w:tcBorders>
            <w:vAlign w:val="center"/>
          </w:tcPr>
          <w:p w14:paraId="08884516">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1058" w:type="dxa"/>
            <w:tcBorders>
              <w:top w:val="single" w:color="000000" w:sz="4" w:space="0"/>
              <w:left w:val="single" w:color="000000" w:sz="4" w:space="0"/>
              <w:bottom w:val="single" w:color="000000" w:sz="4" w:space="0"/>
              <w:right w:val="single" w:color="000000" w:sz="4" w:space="0"/>
            </w:tcBorders>
            <w:vAlign w:val="center"/>
          </w:tcPr>
          <w:p w14:paraId="216F5D6C">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1520" w:type="dxa"/>
            <w:tcBorders>
              <w:top w:val="single" w:color="000000" w:sz="4" w:space="0"/>
              <w:left w:val="single" w:color="000000" w:sz="4" w:space="0"/>
              <w:bottom w:val="single" w:color="000000" w:sz="4" w:space="0"/>
              <w:right w:val="single" w:color="000000" w:sz="4" w:space="0"/>
            </w:tcBorders>
            <w:vAlign w:val="center"/>
          </w:tcPr>
          <w:p w14:paraId="1F476D80">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vAlign w:val="center"/>
          </w:tcPr>
          <w:p w14:paraId="44C065DA">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8</w:t>
            </w:r>
          </w:p>
        </w:tc>
        <w:tc>
          <w:tcPr>
            <w:tcW w:w="837" w:type="dxa"/>
            <w:tcBorders>
              <w:top w:val="single" w:color="000000" w:sz="4" w:space="0"/>
              <w:left w:val="single" w:color="000000" w:sz="4" w:space="0"/>
              <w:bottom w:val="single" w:color="000000" w:sz="4" w:space="0"/>
              <w:right w:val="single" w:color="000000" w:sz="8" w:space="0"/>
            </w:tcBorders>
            <w:vAlign w:val="center"/>
          </w:tcPr>
          <w:p w14:paraId="2B99C8D5">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预期性</w:t>
            </w:r>
          </w:p>
        </w:tc>
      </w:tr>
      <w:tr w14:paraId="7239D31E">
        <w:tblPrEx>
          <w:tblCellMar>
            <w:top w:w="65" w:type="dxa"/>
            <w:left w:w="14" w:type="dxa"/>
            <w:bottom w:w="0" w:type="dxa"/>
            <w:right w:w="33" w:type="dxa"/>
          </w:tblCellMar>
        </w:tblPrEx>
        <w:trPr>
          <w:trHeight w:val="454" w:hRule="atLeast"/>
          <w:jc w:val="center"/>
        </w:trPr>
        <w:tc>
          <w:tcPr>
            <w:tcW w:w="727" w:type="dxa"/>
            <w:vMerge w:val="continue"/>
            <w:tcBorders>
              <w:top w:val="nil"/>
              <w:left w:val="single" w:color="000000" w:sz="8" w:space="0"/>
              <w:bottom w:val="nil"/>
              <w:right w:val="single" w:color="000000" w:sz="4" w:space="0"/>
            </w:tcBorders>
            <w:vAlign w:val="center"/>
          </w:tcPr>
          <w:p w14:paraId="1A51EA8C">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13F01127">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p>
        </w:tc>
        <w:tc>
          <w:tcPr>
            <w:tcW w:w="3491" w:type="dxa"/>
            <w:tcBorders>
              <w:top w:val="single" w:color="000000" w:sz="4" w:space="0"/>
              <w:left w:val="single" w:color="000000" w:sz="4" w:space="0"/>
              <w:bottom w:val="single" w:color="000000" w:sz="4" w:space="0"/>
              <w:right w:val="single" w:color="000000" w:sz="4" w:space="0"/>
            </w:tcBorders>
            <w:vAlign w:val="center"/>
          </w:tcPr>
          <w:p w14:paraId="586B81A1">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每万人高价值发明专利拥有量</w:t>
            </w:r>
          </w:p>
        </w:tc>
        <w:tc>
          <w:tcPr>
            <w:tcW w:w="682" w:type="dxa"/>
            <w:tcBorders>
              <w:top w:val="single" w:color="000000" w:sz="4" w:space="0"/>
              <w:left w:val="single" w:color="000000" w:sz="4" w:space="0"/>
              <w:bottom w:val="single" w:color="000000" w:sz="4" w:space="0"/>
              <w:right w:val="single" w:color="000000" w:sz="4" w:space="0"/>
            </w:tcBorders>
            <w:vAlign w:val="center"/>
          </w:tcPr>
          <w:p w14:paraId="3B884C20">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件</w:t>
            </w:r>
          </w:p>
        </w:tc>
        <w:tc>
          <w:tcPr>
            <w:tcW w:w="1058" w:type="dxa"/>
            <w:tcBorders>
              <w:top w:val="single" w:color="000000" w:sz="4" w:space="0"/>
              <w:left w:val="single" w:color="000000" w:sz="4" w:space="0"/>
              <w:bottom w:val="single" w:color="000000" w:sz="4" w:space="0"/>
              <w:right w:val="single" w:color="000000" w:sz="4" w:space="0"/>
            </w:tcBorders>
            <w:vAlign w:val="center"/>
          </w:tcPr>
          <w:p w14:paraId="63592DAC">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3.5</w:t>
            </w:r>
          </w:p>
        </w:tc>
        <w:tc>
          <w:tcPr>
            <w:tcW w:w="1520" w:type="dxa"/>
            <w:tcBorders>
              <w:top w:val="single" w:color="000000" w:sz="4" w:space="0"/>
              <w:left w:val="single" w:color="000000" w:sz="4" w:space="0"/>
              <w:bottom w:val="single" w:color="000000" w:sz="4" w:space="0"/>
              <w:right w:val="single" w:color="000000" w:sz="4" w:space="0"/>
            </w:tcBorders>
            <w:vAlign w:val="center"/>
          </w:tcPr>
          <w:p w14:paraId="49CFC6EC">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6</w:t>
            </w:r>
          </w:p>
        </w:tc>
        <w:tc>
          <w:tcPr>
            <w:tcW w:w="938" w:type="dxa"/>
            <w:tcBorders>
              <w:top w:val="single" w:color="000000" w:sz="4" w:space="0"/>
              <w:left w:val="single" w:color="000000" w:sz="4" w:space="0"/>
              <w:bottom w:val="single" w:color="000000" w:sz="4" w:space="0"/>
              <w:right w:val="single" w:color="000000" w:sz="4" w:space="0"/>
            </w:tcBorders>
            <w:vAlign w:val="center"/>
          </w:tcPr>
          <w:p w14:paraId="5484031A">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837" w:type="dxa"/>
            <w:tcBorders>
              <w:top w:val="single" w:color="000000" w:sz="4" w:space="0"/>
              <w:left w:val="single" w:color="000000" w:sz="4" w:space="0"/>
              <w:bottom w:val="single" w:color="000000" w:sz="4" w:space="0"/>
              <w:right w:val="single" w:color="000000" w:sz="8" w:space="0"/>
            </w:tcBorders>
            <w:vAlign w:val="center"/>
          </w:tcPr>
          <w:p w14:paraId="0C35862F">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预期性</w:t>
            </w:r>
          </w:p>
        </w:tc>
      </w:tr>
      <w:tr w14:paraId="12F670F6">
        <w:tblPrEx>
          <w:tblCellMar>
            <w:top w:w="65" w:type="dxa"/>
            <w:left w:w="14" w:type="dxa"/>
            <w:bottom w:w="0" w:type="dxa"/>
            <w:right w:w="33" w:type="dxa"/>
          </w:tblCellMar>
        </w:tblPrEx>
        <w:trPr>
          <w:trHeight w:val="454" w:hRule="atLeast"/>
          <w:jc w:val="center"/>
        </w:trPr>
        <w:tc>
          <w:tcPr>
            <w:tcW w:w="727" w:type="dxa"/>
            <w:vMerge w:val="continue"/>
            <w:tcBorders>
              <w:top w:val="nil"/>
              <w:left w:val="single" w:color="000000" w:sz="8" w:space="0"/>
              <w:bottom w:val="single" w:color="000000" w:sz="4" w:space="0"/>
              <w:right w:val="single" w:color="000000" w:sz="4" w:space="0"/>
            </w:tcBorders>
            <w:vAlign w:val="center"/>
          </w:tcPr>
          <w:p w14:paraId="7E90C21C">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7F38EC86">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w:t>
            </w:r>
          </w:p>
        </w:tc>
        <w:tc>
          <w:tcPr>
            <w:tcW w:w="3491" w:type="dxa"/>
            <w:tcBorders>
              <w:top w:val="single" w:color="000000" w:sz="4" w:space="0"/>
              <w:left w:val="single" w:color="000000" w:sz="4" w:space="0"/>
              <w:bottom w:val="single" w:color="000000" w:sz="4" w:space="0"/>
              <w:right w:val="single" w:color="000000" w:sz="4" w:space="0"/>
            </w:tcBorders>
            <w:vAlign w:val="center"/>
          </w:tcPr>
          <w:p w14:paraId="75E70A99">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数字经济核心产业增加值占</w:t>
            </w:r>
          </w:p>
          <w:p w14:paraId="56F994EE">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GDP比重</w:t>
            </w:r>
          </w:p>
        </w:tc>
        <w:tc>
          <w:tcPr>
            <w:tcW w:w="682" w:type="dxa"/>
            <w:tcBorders>
              <w:top w:val="single" w:color="000000" w:sz="4" w:space="0"/>
              <w:left w:val="single" w:color="000000" w:sz="4" w:space="0"/>
              <w:bottom w:val="single" w:color="000000" w:sz="4" w:space="0"/>
              <w:right w:val="single" w:color="000000" w:sz="4" w:space="0"/>
            </w:tcBorders>
            <w:vAlign w:val="center"/>
          </w:tcPr>
          <w:p w14:paraId="269B68C8">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1058" w:type="dxa"/>
            <w:tcBorders>
              <w:top w:val="single" w:color="000000" w:sz="4" w:space="0"/>
              <w:left w:val="single" w:color="000000" w:sz="4" w:space="0"/>
              <w:bottom w:val="single" w:color="000000" w:sz="4" w:space="0"/>
              <w:right w:val="single" w:color="000000" w:sz="4" w:space="0"/>
            </w:tcBorders>
            <w:vAlign w:val="center"/>
          </w:tcPr>
          <w:p w14:paraId="7D5D67AD">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1520" w:type="dxa"/>
            <w:tcBorders>
              <w:top w:val="single" w:color="000000" w:sz="4" w:space="0"/>
              <w:left w:val="single" w:color="000000" w:sz="4" w:space="0"/>
              <w:bottom w:val="single" w:color="000000" w:sz="4" w:space="0"/>
              <w:right w:val="single" w:color="000000" w:sz="4" w:space="0"/>
            </w:tcBorders>
            <w:vAlign w:val="center"/>
          </w:tcPr>
          <w:p w14:paraId="3002C463">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10</w:t>
            </w:r>
          </w:p>
        </w:tc>
        <w:tc>
          <w:tcPr>
            <w:tcW w:w="938" w:type="dxa"/>
            <w:tcBorders>
              <w:top w:val="single" w:color="000000" w:sz="4" w:space="0"/>
              <w:left w:val="single" w:color="000000" w:sz="4" w:space="0"/>
              <w:bottom w:val="single" w:color="000000" w:sz="4" w:space="0"/>
              <w:right w:val="single" w:color="000000" w:sz="4" w:space="0"/>
            </w:tcBorders>
            <w:vAlign w:val="center"/>
          </w:tcPr>
          <w:p w14:paraId="2FDCC9AE">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837" w:type="dxa"/>
            <w:tcBorders>
              <w:top w:val="single" w:color="000000" w:sz="4" w:space="0"/>
              <w:left w:val="single" w:color="000000" w:sz="4" w:space="0"/>
              <w:bottom w:val="single" w:color="000000" w:sz="4" w:space="0"/>
              <w:right w:val="single" w:color="000000" w:sz="8" w:space="0"/>
            </w:tcBorders>
            <w:vAlign w:val="center"/>
          </w:tcPr>
          <w:p w14:paraId="6F4A3A28">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预期性</w:t>
            </w:r>
          </w:p>
        </w:tc>
      </w:tr>
      <w:tr w14:paraId="2E815CBD">
        <w:tblPrEx>
          <w:tblCellMar>
            <w:top w:w="65" w:type="dxa"/>
            <w:left w:w="14" w:type="dxa"/>
            <w:bottom w:w="0" w:type="dxa"/>
            <w:right w:w="33" w:type="dxa"/>
          </w:tblCellMar>
        </w:tblPrEx>
        <w:trPr>
          <w:trHeight w:val="454" w:hRule="atLeast"/>
          <w:jc w:val="center"/>
        </w:trPr>
        <w:tc>
          <w:tcPr>
            <w:tcW w:w="727" w:type="dxa"/>
            <w:vMerge w:val="restart"/>
            <w:tcBorders>
              <w:top w:val="single" w:color="000000" w:sz="4" w:space="0"/>
              <w:left w:val="single" w:color="000000" w:sz="8" w:space="0"/>
              <w:bottom w:val="single" w:color="000000" w:sz="4" w:space="0"/>
              <w:right w:val="single" w:color="000000" w:sz="4" w:space="0"/>
            </w:tcBorders>
            <w:vAlign w:val="center"/>
          </w:tcPr>
          <w:p w14:paraId="7265FCFC">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民生</w:t>
            </w:r>
          </w:p>
          <w:p w14:paraId="17EC4D17">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福祉</w:t>
            </w:r>
          </w:p>
        </w:tc>
        <w:tc>
          <w:tcPr>
            <w:tcW w:w="647" w:type="dxa"/>
            <w:tcBorders>
              <w:top w:val="single" w:color="000000" w:sz="4" w:space="0"/>
              <w:left w:val="single" w:color="000000" w:sz="4" w:space="0"/>
              <w:bottom w:val="single" w:color="000000" w:sz="4" w:space="0"/>
              <w:right w:val="single" w:color="000000" w:sz="4" w:space="0"/>
            </w:tcBorders>
            <w:vAlign w:val="center"/>
          </w:tcPr>
          <w:p w14:paraId="6F5ABE5C">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w:t>
            </w:r>
          </w:p>
        </w:tc>
        <w:tc>
          <w:tcPr>
            <w:tcW w:w="3491" w:type="dxa"/>
            <w:tcBorders>
              <w:top w:val="single" w:color="000000" w:sz="4" w:space="0"/>
              <w:left w:val="single" w:color="000000" w:sz="4" w:space="0"/>
              <w:bottom w:val="single" w:color="000000" w:sz="4" w:space="0"/>
              <w:right w:val="single" w:color="000000" w:sz="4" w:space="0"/>
            </w:tcBorders>
            <w:vAlign w:val="center"/>
          </w:tcPr>
          <w:p w14:paraId="7F2330EC">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居民人均可支配收入增长</w:t>
            </w:r>
          </w:p>
        </w:tc>
        <w:tc>
          <w:tcPr>
            <w:tcW w:w="682" w:type="dxa"/>
            <w:tcBorders>
              <w:top w:val="single" w:color="000000" w:sz="4" w:space="0"/>
              <w:left w:val="single" w:color="000000" w:sz="4" w:space="0"/>
              <w:bottom w:val="single" w:color="000000" w:sz="4" w:space="0"/>
              <w:right w:val="single" w:color="000000" w:sz="4" w:space="0"/>
            </w:tcBorders>
            <w:vAlign w:val="center"/>
          </w:tcPr>
          <w:p w14:paraId="4DFEDF70">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1058" w:type="dxa"/>
            <w:tcBorders>
              <w:top w:val="single" w:color="000000" w:sz="4" w:space="0"/>
              <w:left w:val="single" w:color="000000" w:sz="4" w:space="0"/>
              <w:bottom w:val="single" w:color="000000" w:sz="4" w:space="0"/>
              <w:right w:val="single" w:color="000000" w:sz="4" w:space="0"/>
            </w:tcBorders>
            <w:vAlign w:val="center"/>
          </w:tcPr>
          <w:p w14:paraId="3D01B729">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1520" w:type="dxa"/>
            <w:tcBorders>
              <w:top w:val="single" w:color="000000" w:sz="4" w:space="0"/>
              <w:left w:val="single" w:color="000000" w:sz="4" w:space="0"/>
              <w:bottom w:val="single" w:color="000000" w:sz="4" w:space="0"/>
              <w:right w:val="single" w:color="000000" w:sz="4" w:space="0"/>
            </w:tcBorders>
            <w:vAlign w:val="center"/>
          </w:tcPr>
          <w:p w14:paraId="21EFCE9D">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vAlign w:val="center"/>
          </w:tcPr>
          <w:p w14:paraId="721F0008">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10</w:t>
            </w:r>
          </w:p>
        </w:tc>
        <w:tc>
          <w:tcPr>
            <w:tcW w:w="837" w:type="dxa"/>
            <w:tcBorders>
              <w:top w:val="single" w:color="000000" w:sz="4" w:space="0"/>
              <w:left w:val="single" w:color="000000" w:sz="4" w:space="0"/>
              <w:bottom w:val="single" w:color="000000" w:sz="4" w:space="0"/>
              <w:right w:val="single" w:color="000000" w:sz="8" w:space="0"/>
            </w:tcBorders>
            <w:vAlign w:val="center"/>
          </w:tcPr>
          <w:p w14:paraId="7E5AB6AF">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预期性</w:t>
            </w:r>
          </w:p>
        </w:tc>
      </w:tr>
      <w:tr w14:paraId="5B274E49">
        <w:tblPrEx>
          <w:tblCellMar>
            <w:top w:w="65" w:type="dxa"/>
            <w:left w:w="14" w:type="dxa"/>
            <w:bottom w:w="0" w:type="dxa"/>
            <w:right w:w="33" w:type="dxa"/>
          </w:tblCellMar>
        </w:tblPrEx>
        <w:trPr>
          <w:trHeight w:val="454" w:hRule="atLeast"/>
          <w:jc w:val="center"/>
        </w:trPr>
        <w:tc>
          <w:tcPr>
            <w:tcW w:w="727" w:type="dxa"/>
            <w:vMerge w:val="continue"/>
            <w:tcBorders>
              <w:top w:val="nil"/>
              <w:left w:val="single" w:color="000000" w:sz="8" w:space="0"/>
              <w:bottom w:val="nil"/>
              <w:right w:val="single" w:color="000000" w:sz="4" w:space="0"/>
            </w:tcBorders>
            <w:vAlign w:val="center"/>
          </w:tcPr>
          <w:p w14:paraId="7C59DCD3">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46C91A0A">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7</w:t>
            </w:r>
          </w:p>
        </w:tc>
        <w:tc>
          <w:tcPr>
            <w:tcW w:w="3491" w:type="dxa"/>
            <w:tcBorders>
              <w:top w:val="single" w:color="000000" w:sz="4" w:space="0"/>
              <w:left w:val="single" w:color="000000" w:sz="4" w:space="0"/>
              <w:bottom w:val="single" w:color="000000" w:sz="4" w:space="0"/>
              <w:right w:val="single" w:color="000000" w:sz="4" w:space="0"/>
            </w:tcBorders>
            <w:vAlign w:val="center"/>
          </w:tcPr>
          <w:p w14:paraId="1BE7DAE6">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城镇登记失业率</w:t>
            </w:r>
          </w:p>
        </w:tc>
        <w:tc>
          <w:tcPr>
            <w:tcW w:w="682" w:type="dxa"/>
            <w:tcBorders>
              <w:top w:val="single" w:color="000000" w:sz="4" w:space="0"/>
              <w:left w:val="single" w:color="000000" w:sz="4" w:space="0"/>
              <w:bottom w:val="single" w:color="000000" w:sz="4" w:space="0"/>
              <w:right w:val="single" w:color="000000" w:sz="4" w:space="0"/>
            </w:tcBorders>
            <w:vAlign w:val="center"/>
          </w:tcPr>
          <w:p w14:paraId="71F594F6">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1058" w:type="dxa"/>
            <w:tcBorders>
              <w:top w:val="single" w:color="000000" w:sz="4" w:space="0"/>
              <w:left w:val="single" w:color="000000" w:sz="4" w:space="0"/>
              <w:bottom w:val="single" w:color="000000" w:sz="4" w:space="0"/>
              <w:right w:val="single" w:color="000000" w:sz="4" w:space="0"/>
            </w:tcBorders>
            <w:vAlign w:val="center"/>
          </w:tcPr>
          <w:p w14:paraId="339A76D7">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4.5以内</w:t>
            </w:r>
          </w:p>
        </w:tc>
        <w:tc>
          <w:tcPr>
            <w:tcW w:w="1520" w:type="dxa"/>
            <w:tcBorders>
              <w:top w:val="single" w:color="000000" w:sz="4" w:space="0"/>
              <w:left w:val="single" w:color="000000" w:sz="4" w:space="0"/>
              <w:bottom w:val="single" w:color="000000" w:sz="4" w:space="0"/>
              <w:right w:val="single" w:color="000000" w:sz="4" w:space="0"/>
            </w:tcBorders>
            <w:vAlign w:val="center"/>
          </w:tcPr>
          <w:p w14:paraId="1E66278D">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4.2以内</w:t>
            </w:r>
          </w:p>
        </w:tc>
        <w:tc>
          <w:tcPr>
            <w:tcW w:w="938" w:type="dxa"/>
            <w:tcBorders>
              <w:top w:val="single" w:color="000000" w:sz="4" w:space="0"/>
              <w:left w:val="single" w:color="000000" w:sz="4" w:space="0"/>
              <w:bottom w:val="single" w:color="000000" w:sz="4" w:space="0"/>
              <w:right w:val="single" w:color="000000" w:sz="4" w:space="0"/>
            </w:tcBorders>
            <w:vAlign w:val="center"/>
          </w:tcPr>
          <w:p w14:paraId="286E4CE4">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837" w:type="dxa"/>
            <w:tcBorders>
              <w:top w:val="single" w:color="000000" w:sz="4" w:space="0"/>
              <w:left w:val="single" w:color="000000" w:sz="4" w:space="0"/>
              <w:bottom w:val="single" w:color="000000" w:sz="4" w:space="0"/>
              <w:right w:val="single" w:color="000000" w:sz="8" w:space="0"/>
            </w:tcBorders>
            <w:vAlign w:val="center"/>
          </w:tcPr>
          <w:p w14:paraId="1C7B1C32">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预期性</w:t>
            </w:r>
          </w:p>
        </w:tc>
      </w:tr>
      <w:tr w14:paraId="7A424C82">
        <w:tblPrEx>
          <w:tblCellMar>
            <w:top w:w="65" w:type="dxa"/>
            <w:left w:w="14" w:type="dxa"/>
            <w:bottom w:w="0" w:type="dxa"/>
            <w:right w:w="33" w:type="dxa"/>
          </w:tblCellMar>
        </w:tblPrEx>
        <w:trPr>
          <w:trHeight w:val="454" w:hRule="atLeast"/>
          <w:jc w:val="center"/>
        </w:trPr>
        <w:tc>
          <w:tcPr>
            <w:tcW w:w="727" w:type="dxa"/>
            <w:vMerge w:val="continue"/>
            <w:tcBorders>
              <w:top w:val="nil"/>
              <w:left w:val="single" w:color="000000" w:sz="8" w:space="0"/>
              <w:bottom w:val="nil"/>
              <w:right w:val="single" w:color="000000" w:sz="4" w:space="0"/>
            </w:tcBorders>
            <w:vAlign w:val="center"/>
          </w:tcPr>
          <w:p w14:paraId="015C5425">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10F428E4">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w:t>
            </w:r>
          </w:p>
        </w:tc>
        <w:tc>
          <w:tcPr>
            <w:tcW w:w="3491" w:type="dxa"/>
            <w:tcBorders>
              <w:top w:val="single" w:color="000000" w:sz="4" w:space="0"/>
              <w:left w:val="single" w:color="000000" w:sz="4" w:space="0"/>
              <w:bottom w:val="single" w:color="000000" w:sz="4" w:space="0"/>
              <w:right w:val="single" w:color="000000" w:sz="4" w:space="0"/>
            </w:tcBorders>
            <w:vAlign w:val="center"/>
          </w:tcPr>
          <w:p w14:paraId="69CA3D16">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劳动年龄人口平均受教育年限</w:t>
            </w:r>
          </w:p>
        </w:tc>
        <w:tc>
          <w:tcPr>
            <w:tcW w:w="682" w:type="dxa"/>
            <w:tcBorders>
              <w:top w:val="single" w:color="000000" w:sz="4" w:space="0"/>
              <w:left w:val="single" w:color="000000" w:sz="4" w:space="0"/>
              <w:bottom w:val="single" w:color="000000" w:sz="4" w:space="0"/>
              <w:right w:val="single" w:color="000000" w:sz="4" w:space="0"/>
            </w:tcBorders>
            <w:vAlign w:val="center"/>
          </w:tcPr>
          <w:p w14:paraId="19A919C8">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年</w:t>
            </w:r>
          </w:p>
        </w:tc>
        <w:tc>
          <w:tcPr>
            <w:tcW w:w="1058" w:type="dxa"/>
            <w:tcBorders>
              <w:top w:val="single" w:color="000000" w:sz="4" w:space="0"/>
              <w:left w:val="single" w:color="000000" w:sz="4" w:space="0"/>
              <w:bottom w:val="single" w:color="000000" w:sz="4" w:space="0"/>
              <w:right w:val="single" w:color="000000" w:sz="4" w:space="0"/>
            </w:tcBorders>
            <w:vAlign w:val="center"/>
          </w:tcPr>
          <w:p w14:paraId="3E03A58C">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11.2</w:t>
            </w:r>
          </w:p>
        </w:tc>
        <w:tc>
          <w:tcPr>
            <w:tcW w:w="1520" w:type="dxa"/>
            <w:tcBorders>
              <w:top w:val="single" w:color="000000" w:sz="4" w:space="0"/>
              <w:left w:val="single" w:color="000000" w:sz="4" w:space="0"/>
              <w:bottom w:val="single" w:color="000000" w:sz="4" w:space="0"/>
              <w:right w:val="single" w:color="000000" w:sz="4" w:space="0"/>
            </w:tcBorders>
            <w:vAlign w:val="center"/>
          </w:tcPr>
          <w:p w14:paraId="00116503">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11.4</w:t>
            </w:r>
          </w:p>
        </w:tc>
        <w:tc>
          <w:tcPr>
            <w:tcW w:w="938" w:type="dxa"/>
            <w:tcBorders>
              <w:top w:val="single" w:color="000000" w:sz="4" w:space="0"/>
              <w:left w:val="single" w:color="000000" w:sz="4" w:space="0"/>
              <w:bottom w:val="single" w:color="000000" w:sz="4" w:space="0"/>
              <w:right w:val="single" w:color="000000" w:sz="4" w:space="0"/>
            </w:tcBorders>
            <w:vAlign w:val="center"/>
          </w:tcPr>
          <w:p w14:paraId="622C1CB9">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837" w:type="dxa"/>
            <w:tcBorders>
              <w:top w:val="single" w:color="000000" w:sz="4" w:space="0"/>
              <w:left w:val="single" w:color="000000" w:sz="4" w:space="0"/>
              <w:bottom w:val="single" w:color="000000" w:sz="4" w:space="0"/>
              <w:right w:val="single" w:color="000000" w:sz="8" w:space="0"/>
            </w:tcBorders>
            <w:vAlign w:val="center"/>
          </w:tcPr>
          <w:p w14:paraId="68869182">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约束性</w:t>
            </w:r>
          </w:p>
        </w:tc>
      </w:tr>
      <w:tr w14:paraId="0D088CA3">
        <w:tblPrEx>
          <w:tblCellMar>
            <w:top w:w="65" w:type="dxa"/>
            <w:left w:w="14" w:type="dxa"/>
            <w:bottom w:w="0" w:type="dxa"/>
            <w:right w:w="33" w:type="dxa"/>
          </w:tblCellMar>
        </w:tblPrEx>
        <w:trPr>
          <w:trHeight w:val="454" w:hRule="atLeast"/>
          <w:jc w:val="center"/>
        </w:trPr>
        <w:tc>
          <w:tcPr>
            <w:tcW w:w="727" w:type="dxa"/>
            <w:vMerge w:val="continue"/>
            <w:tcBorders>
              <w:top w:val="nil"/>
              <w:left w:val="single" w:color="000000" w:sz="8" w:space="0"/>
              <w:bottom w:val="nil"/>
              <w:right w:val="single" w:color="000000" w:sz="4" w:space="0"/>
            </w:tcBorders>
            <w:vAlign w:val="center"/>
          </w:tcPr>
          <w:p w14:paraId="54C63F48">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3F4C3505">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9</w:t>
            </w:r>
          </w:p>
        </w:tc>
        <w:tc>
          <w:tcPr>
            <w:tcW w:w="3491" w:type="dxa"/>
            <w:tcBorders>
              <w:top w:val="single" w:color="000000" w:sz="4" w:space="0"/>
              <w:left w:val="single" w:color="000000" w:sz="4" w:space="0"/>
              <w:bottom w:val="single" w:color="000000" w:sz="4" w:space="0"/>
              <w:right w:val="single" w:color="000000" w:sz="4" w:space="0"/>
            </w:tcBorders>
            <w:vAlign w:val="center"/>
          </w:tcPr>
          <w:p w14:paraId="79E27C67">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每千人拥有执业（助理）医生数</w:t>
            </w:r>
          </w:p>
        </w:tc>
        <w:tc>
          <w:tcPr>
            <w:tcW w:w="682" w:type="dxa"/>
            <w:tcBorders>
              <w:top w:val="single" w:color="000000" w:sz="4" w:space="0"/>
              <w:left w:val="single" w:color="000000" w:sz="4" w:space="0"/>
              <w:bottom w:val="single" w:color="000000" w:sz="4" w:space="0"/>
              <w:right w:val="single" w:color="000000" w:sz="4" w:space="0"/>
            </w:tcBorders>
            <w:vAlign w:val="center"/>
          </w:tcPr>
          <w:p w14:paraId="5816A1BF">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人</w:t>
            </w:r>
          </w:p>
        </w:tc>
        <w:tc>
          <w:tcPr>
            <w:tcW w:w="1058" w:type="dxa"/>
            <w:tcBorders>
              <w:top w:val="single" w:color="000000" w:sz="4" w:space="0"/>
              <w:left w:val="single" w:color="000000" w:sz="4" w:space="0"/>
              <w:bottom w:val="single" w:color="000000" w:sz="4" w:space="0"/>
              <w:right w:val="single" w:color="000000" w:sz="4" w:space="0"/>
            </w:tcBorders>
            <w:vAlign w:val="center"/>
          </w:tcPr>
          <w:p w14:paraId="2393DB58">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7</w:t>
            </w:r>
          </w:p>
        </w:tc>
        <w:tc>
          <w:tcPr>
            <w:tcW w:w="1520" w:type="dxa"/>
            <w:tcBorders>
              <w:top w:val="single" w:color="000000" w:sz="4" w:space="0"/>
              <w:left w:val="single" w:color="000000" w:sz="4" w:space="0"/>
              <w:bottom w:val="single" w:color="000000" w:sz="4" w:space="0"/>
              <w:right w:val="single" w:color="000000" w:sz="4" w:space="0"/>
            </w:tcBorders>
            <w:vAlign w:val="center"/>
          </w:tcPr>
          <w:p w14:paraId="5A3CA43A">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9</w:t>
            </w:r>
          </w:p>
        </w:tc>
        <w:tc>
          <w:tcPr>
            <w:tcW w:w="938" w:type="dxa"/>
            <w:tcBorders>
              <w:top w:val="single" w:color="000000" w:sz="4" w:space="0"/>
              <w:left w:val="single" w:color="000000" w:sz="4" w:space="0"/>
              <w:bottom w:val="single" w:color="000000" w:sz="4" w:space="0"/>
              <w:right w:val="single" w:color="000000" w:sz="4" w:space="0"/>
            </w:tcBorders>
            <w:vAlign w:val="center"/>
          </w:tcPr>
          <w:p w14:paraId="36E280CF">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837" w:type="dxa"/>
            <w:tcBorders>
              <w:top w:val="single" w:color="000000" w:sz="4" w:space="0"/>
              <w:left w:val="single" w:color="000000" w:sz="4" w:space="0"/>
              <w:bottom w:val="single" w:color="000000" w:sz="4" w:space="0"/>
              <w:right w:val="single" w:color="000000" w:sz="8" w:space="0"/>
            </w:tcBorders>
            <w:vAlign w:val="center"/>
          </w:tcPr>
          <w:p w14:paraId="6E8EB16F">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预期性</w:t>
            </w:r>
          </w:p>
        </w:tc>
      </w:tr>
      <w:tr w14:paraId="29A39A3F">
        <w:tblPrEx>
          <w:tblCellMar>
            <w:top w:w="65" w:type="dxa"/>
            <w:left w:w="14" w:type="dxa"/>
            <w:bottom w:w="0" w:type="dxa"/>
            <w:right w:w="33" w:type="dxa"/>
          </w:tblCellMar>
        </w:tblPrEx>
        <w:trPr>
          <w:trHeight w:val="454" w:hRule="atLeast"/>
          <w:jc w:val="center"/>
        </w:trPr>
        <w:tc>
          <w:tcPr>
            <w:tcW w:w="727" w:type="dxa"/>
            <w:vMerge w:val="continue"/>
            <w:tcBorders>
              <w:top w:val="nil"/>
              <w:left w:val="single" w:color="000000" w:sz="8" w:space="0"/>
              <w:bottom w:val="nil"/>
              <w:right w:val="single" w:color="000000" w:sz="4" w:space="0"/>
            </w:tcBorders>
            <w:vAlign w:val="center"/>
          </w:tcPr>
          <w:p w14:paraId="678B06F6">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2B5A52C5">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10</w:t>
            </w:r>
          </w:p>
        </w:tc>
        <w:tc>
          <w:tcPr>
            <w:tcW w:w="3491" w:type="dxa"/>
            <w:tcBorders>
              <w:top w:val="single" w:color="000000" w:sz="4" w:space="0"/>
              <w:left w:val="single" w:color="000000" w:sz="4" w:space="0"/>
              <w:bottom w:val="single" w:color="000000" w:sz="4" w:space="0"/>
              <w:right w:val="single" w:color="000000" w:sz="4" w:space="0"/>
            </w:tcBorders>
            <w:vAlign w:val="center"/>
          </w:tcPr>
          <w:p w14:paraId="1B1CB098">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基本养老保险参保率</w:t>
            </w:r>
          </w:p>
        </w:tc>
        <w:tc>
          <w:tcPr>
            <w:tcW w:w="682" w:type="dxa"/>
            <w:tcBorders>
              <w:top w:val="single" w:color="000000" w:sz="4" w:space="0"/>
              <w:left w:val="single" w:color="000000" w:sz="4" w:space="0"/>
              <w:bottom w:val="single" w:color="000000" w:sz="4" w:space="0"/>
              <w:right w:val="single" w:color="000000" w:sz="4" w:space="0"/>
            </w:tcBorders>
            <w:vAlign w:val="center"/>
          </w:tcPr>
          <w:p w14:paraId="7B5DDF5E">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1058" w:type="dxa"/>
            <w:tcBorders>
              <w:top w:val="single" w:color="000000" w:sz="4" w:space="0"/>
              <w:left w:val="single" w:color="000000" w:sz="4" w:space="0"/>
              <w:bottom w:val="single" w:color="000000" w:sz="4" w:space="0"/>
              <w:right w:val="single" w:color="000000" w:sz="4" w:space="0"/>
            </w:tcBorders>
            <w:vAlign w:val="center"/>
          </w:tcPr>
          <w:p w14:paraId="3B11159C">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96</w:t>
            </w:r>
          </w:p>
        </w:tc>
        <w:tc>
          <w:tcPr>
            <w:tcW w:w="1520" w:type="dxa"/>
            <w:tcBorders>
              <w:top w:val="single" w:color="000000" w:sz="4" w:space="0"/>
              <w:left w:val="single" w:color="000000" w:sz="4" w:space="0"/>
              <w:bottom w:val="single" w:color="000000" w:sz="4" w:space="0"/>
              <w:right w:val="single" w:color="000000" w:sz="4" w:space="0"/>
            </w:tcBorders>
            <w:vAlign w:val="center"/>
          </w:tcPr>
          <w:p w14:paraId="2DD7091F">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97.52</w:t>
            </w:r>
          </w:p>
        </w:tc>
        <w:tc>
          <w:tcPr>
            <w:tcW w:w="938" w:type="dxa"/>
            <w:tcBorders>
              <w:top w:val="single" w:color="000000" w:sz="4" w:space="0"/>
              <w:left w:val="single" w:color="000000" w:sz="4" w:space="0"/>
              <w:bottom w:val="single" w:color="000000" w:sz="4" w:space="0"/>
              <w:right w:val="single" w:color="000000" w:sz="4" w:space="0"/>
            </w:tcBorders>
            <w:vAlign w:val="center"/>
          </w:tcPr>
          <w:p w14:paraId="4A9BAB48">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837" w:type="dxa"/>
            <w:tcBorders>
              <w:top w:val="single" w:color="000000" w:sz="4" w:space="0"/>
              <w:left w:val="single" w:color="000000" w:sz="4" w:space="0"/>
              <w:bottom w:val="single" w:color="000000" w:sz="4" w:space="0"/>
              <w:right w:val="single" w:color="000000" w:sz="8" w:space="0"/>
            </w:tcBorders>
            <w:vAlign w:val="center"/>
          </w:tcPr>
          <w:p w14:paraId="1EF60D14">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约束性</w:t>
            </w:r>
          </w:p>
        </w:tc>
      </w:tr>
      <w:tr w14:paraId="6170F0EE">
        <w:tblPrEx>
          <w:tblCellMar>
            <w:top w:w="65" w:type="dxa"/>
            <w:left w:w="14" w:type="dxa"/>
            <w:bottom w:w="0" w:type="dxa"/>
            <w:right w:w="33" w:type="dxa"/>
          </w:tblCellMar>
        </w:tblPrEx>
        <w:trPr>
          <w:trHeight w:val="454" w:hRule="atLeast"/>
          <w:jc w:val="center"/>
        </w:trPr>
        <w:tc>
          <w:tcPr>
            <w:tcW w:w="727" w:type="dxa"/>
            <w:vMerge w:val="continue"/>
            <w:tcBorders>
              <w:top w:val="nil"/>
              <w:left w:val="single" w:color="000000" w:sz="8" w:space="0"/>
              <w:bottom w:val="nil"/>
              <w:right w:val="single" w:color="000000" w:sz="4" w:space="0"/>
            </w:tcBorders>
            <w:vAlign w:val="center"/>
          </w:tcPr>
          <w:p w14:paraId="581A4336">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64FF4EFF">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11</w:t>
            </w:r>
          </w:p>
        </w:tc>
        <w:tc>
          <w:tcPr>
            <w:tcW w:w="3491" w:type="dxa"/>
            <w:tcBorders>
              <w:top w:val="single" w:color="000000" w:sz="4" w:space="0"/>
              <w:left w:val="single" w:color="000000" w:sz="4" w:space="0"/>
              <w:bottom w:val="single" w:color="000000" w:sz="4" w:space="0"/>
              <w:right w:val="single" w:color="000000" w:sz="4" w:space="0"/>
            </w:tcBorders>
            <w:vAlign w:val="center"/>
          </w:tcPr>
          <w:p w14:paraId="4E7D6C3A">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每千人拥有0—3岁婴幼儿托位数</w:t>
            </w:r>
          </w:p>
        </w:tc>
        <w:tc>
          <w:tcPr>
            <w:tcW w:w="682" w:type="dxa"/>
            <w:tcBorders>
              <w:top w:val="single" w:color="000000" w:sz="4" w:space="0"/>
              <w:left w:val="single" w:color="000000" w:sz="4" w:space="0"/>
              <w:bottom w:val="single" w:color="000000" w:sz="4" w:space="0"/>
              <w:right w:val="single" w:color="000000" w:sz="4" w:space="0"/>
            </w:tcBorders>
            <w:vAlign w:val="center"/>
          </w:tcPr>
          <w:p w14:paraId="62E0EB60">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1058" w:type="dxa"/>
            <w:tcBorders>
              <w:top w:val="single" w:color="000000" w:sz="4" w:space="0"/>
              <w:left w:val="single" w:color="000000" w:sz="4" w:space="0"/>
              <w:bottom w:val="single" w:color="000000" w:sz="4" w:space="0"/>
              <w:right w:val="single" w:color="000000" w:sz="4" w:space="0"/>
            </w:tcBorders>
            <w:vAlign w:val="center"/>
          </w:tcPr>
          <w:p w14:paraId="0C7F68D8">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1520" w:type="dxa"/>
            <w:tcBorders>
              <w:top w:val="single" w:color="000000" w:sz="4" w:space="0"/>
              <w:left w:val="single" w:color="000000" w:sz="4" w:space="0"/>
              <w:bottom w:val="single" w:color="000000" w:sz="4" w:space="0"/>
              <w:right w:val="single" w:color="000000" w:sz="4" w:space="0"/>
            </w:tcBorders>
            <w:vAlign w:val="center"/>
          </w:tcPr>
          <w:p w14:paraId="31C2D8C2">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4.6</w:t>
            </w:r>
          </w:p>
        </w:tc>
        <w:tc>
          <w:tcPr>
            <w:tcW w:w="938" w:type="dxa"/>
            <w:tcBorders>
              <w:top w:val="single" w:color="000000" w:sz="4" w:space="0"/>
              <w:left w:val="single" w:color="000000" w:sz="4" w:space="0"/>
              <w:bottom w:val="single" w:color="000000" w:sz="4" w:space="0"/>
              <w:right w:val="single" w:color="000000" w:sz="4" w:space="0"/>
            </w:tcBorders>
            <w:vAlign w:val="center"/>
          </w:tcPr>
          <w:p w14:paraId="0A4C5255">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837" w:type="dxa"/>
            <w:tcBorders>
              <w:top w:val="single" w:color="000000" w:sz="4" w:space="0"/>
              <w:left w:val="single" w:color="000000" w:sz="4" w:space="0"/>
              <w:bottom w:val="single" w:color="000000" w:sz="4" w:space="0"/>
              <w:right w:val="single" w:color="000000" w:sz="8" w:space="0"/>
            </w:tcBorders>
            <w:vAlign w:val="center"/>
          </w:tcPr>
          <w:p w14:paraId="0EE4A667">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预期性</w:t>
            </w:r>
          </w:p>
        </w:tc>
      </w:tr>
      <w:tr w14:paraId="162D48E2">
        <w:tblPrEx>
          <w:tblCellMar>
            <w:top w:w="65" w:type="dxa"/>
            <w:left w:w="14" w:type="dxa"/>
            <w:bottom w:w="0" w:type="dxa"/>
            <w:right w:w="33" w:type="dxa"/>
          </w:tblCellMar>
        </w:tblPrEx>
        <w:trPr>
          <w:trHeight w:val="454" w:hRule="atLeast"/>
          <w:jc w:val="center"/>
        </w:trPr>
        <w:tc>
          <w:tcPr>
            <w:tcW w:w="727" w:type="dxa"/>
            <w:vMerge w:val="continue"/>
            <w:tcBorders>
              <w:top w:val="nil"/>
              <w:left w:val="single" w:color="000000" w:sz="8" w:space="0"/>
              <w:bottom w:val="single" w:color="000000" w:sz="4" w:space="0"/>
              <w:right w:val="single" w:color="000000" w:sz="4" w:space="0"/>
            </w:tcBorders>
            <w:vAlign w:val="center"/>
          </w:tcPr>
          <w:p w14:paraId="72B72EB5">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111B66F4">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12</w:t>
            </w:r>
          </w:p>
        </w:tc>
        <w:tc>
          <w:tcPr>
            <w:tcW w:w="3491" w:type="dxa"/>
            <w:tcBorders>
              <w:top w:val="single" w:color="000000" w:sz="4" w:space="0"/>
              <w:left w:val="single" w:color="000000" w:sz="4" w:space="0"/>
              <w:bottom w:val="single" w:color="000000" w:sz="4" w:space="0"/>
              <w:right w:val="single" w:color="000000" w:sz="4" w:space="0"/>
            </w:tcBorders>
            <w:vAlign w:val="center"/>
          </w:tcPr>
          <w:p w14:paraId="68656A2A">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人均预期寿命</w:t>
            </w:r>
          </w:p>
        </w:tc>
        <w:tc>
          <w:tcPr>
            <w:tcW w:w="682" w:type="dxa"/>
            <w:tcBorders>
              <w:top w:val="single" w:color="000000" w:sz="4" w:space="0"/>
              <w:left w:val="single" w:color="000000" w:sz="4" w:space="0"/>
              <w:bottom w:val="single" w:color="000000" w:sz="4" w:space="0"/>
              <w:right w:val="single" w:color="000000" w:sz="4" w:space="0"/>
            </w:tcBorders>
            <w:vAlign w:val="center"/>
          </w:tcPr>
          <w:p w14:paraId="32309CCF">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1058" w:type="dxa"/>
            <w:tcBorders>
              <w:top w:val="single" w:color="000000" w:sz="4" w:space="0"/>
              <w:left w:val="single" w:color="000000" w:sz="4" w:space="0"/>
              <w:bottom w:val="single" w:color="000000" w:sz="4" w:space="0"/>
              <w:right w:val="single" w:color="000000" w:sz="4" w:space="0"/>
            </w:tcBorders>
            <w:vAlign w:val="center"/>
          </w:tcPr>
          <w:p w14:paraId="26C16EFD">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78</w:t>
            </w:r>
          </w:p>
        </w:tc>
        <w:tc>
          <w:tcPr>
            <w:tcW w:w="1520" w:type="dxa"/>
            <w:tcBorders>
              <w:top w:val="single" w:color="000000" w:sz="4" w:space="0"/>
              <w:left w:val="single" w:color="000000" w:sz="4" w:space="0"/>
              <w:bottom w:val="single" w:color="000000" w:sz="4" w:space="0"/>
              <w:right w:val="single" w:color="000000" w:sz="4" w:space="0"/>
            </w:tcBorders>
            <w:vAlign w:val="center"/>
          </w:tcPr>
          <w:p w14:paraId="520F3C73">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79</w:t>
            </w:r>
          </w:p>
        </w:tc>
        <w:tc>
          <w:tcPr>
            <w:tcW w:w="938" w:type="dxa"/>
            <w:tcBorders>
              <w:top w:val="single" w:color="000000" w:sz="4" w:space="0"/>
              <w:left w:val="single" w:color="000000" w:sz="4" w:space="0"/>
              <w:bottom w:val="single" w:color="000000" w:sz="4" w:space="0"/>
              <w:right w:val="single" w:color="000000" w:sz="4" w:space="0"/>
            </w:tcBorders>
            <w:vAlign w:val="center"/>
          </w:tcPr>
          <w:p w14:paraId="458E97D2">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[1]</w:t>
            </w:r>
          </w:p>
        </w:tc>
        <w:tc>
          <w:tcPr>
            <w:tcW w:w="837" w:type="dxa"/>
            <w:tcBorders>
              <w:top w:val="single" w:color="000000" w:sz="4" w:space="0"/>
              <w:left w:val="single" w:color="000000" w:sz="4" w:space="0"/>
              <w:bottom w:val="single" w:color="000000" w:sz="4" w:space="0"/>
              <w:right w:val="single" w:color="000000" w:sz="8" w:space="0"/>
            </w:tcBorders>
            <w:vAlign w:val="center"/>
          </w:tcPr>
          <w:p w14:paraId="75527CFD">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预期性</w:t>
            </w:r>
          </w:p>
        </w:tc>
      </w:tr>
      <w:tr w14:paraId="4A55DAFC">
        <w:tblPrEx>
          <w:tblCellMar>
            <w:top w:w="65" w:type="dxa"/>
            <w:left w:w="14" w:type="dxa"/>
            <w:bottom w:w="0" w:type="dxa"/>
            <w:right w:w="33" w:type="dxa"/>
          </w:tblCellMar>
        </w:tblPrEx>
        <w:trPr>
          <w:trHeight w:val="454" w:hRule="atLeast"/>
          <w:jc w:val="center"/>
        </w:trPr>
        <w:tc>
          <w:tcPr>
            <w:tcW w:w="727" w:type="dxa"/>
            <w:vMerge w:val="restart"/>
            <w:tcBorders>
              <w:top w:val="single" w:color="000000" w:sz="4" w:space="0"/>
              <w:left w:val="single" w:color="000000" w:sz="8" w:space="0"/>
              <w:bottom w:val="single" w:color="000000" w:sz="4" w:space="0"/>
              <w:right w:val="single" w:color="000000" w:sz="4" w:space="0"/>
            </w:tcBorders>
            <w:vAlign w:val="center"/>
          </w:tcPr>
          <w:p w14:paraId="60F7EFFF">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生态</w:t>
            </w:r>
          </w:p>
          <w:p w14:paraId="715FAA21">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环境</w:t>
            </w:r>
          </w:p>
        </w:tc>
        <w:tc>
          <w:tcPr>
            <w:tcW w:w="647" w:type="dxa"/>
            <w:tcBorders>
              <w:top w:val="single" w:color="000000" w:sz="4" w:space="0"/>
              <w:left w:val="single" w:color="000000" w:sz="4" w:space="0"/>
              <w:bottom w:val="single" w:color="000000" w:sz="4" w:space="0"/>
              <w:right w:val="single" w:color="000000" w:sz="4" w:space="0"/>
            </w:tcBorders>
            <w:vAlign w:val="center"/>
          </w:tcPr>
          <w:p w14:paraId="5793FFD6">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13</w:t>
            </w:r>
          </w:p>
        </w:tc>
        <w:tc>
          <w:tcPr>
            <w:tcW w:w="3491" w:type="dxa"/>
            <w:tcBorders>
              <w:top w:val="single" w:color="000000" w:sz="4" w:space="0"/>
              <w:left w:val="single" w:color="000000" w:sz="4" w:space="0"/>
              <w:bottom w:val="single" w:color="000000" w:sz="4" w:space="0"/>
              <w:right w:val="single" w:color="000000" w:sz="4" w:space="0"/>
            </w:tcBorders>
            <w:vAlign w:val="center"/>
          </w:tcPr>
          <w:p w14:paraId="168CB6C8">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单位生产总值能耗降幅</w:t>
            </w:r>
          </w:p>
        </w:tc>
        <w:tc>
          <w:tcPr>
            <w:tcW w:w="682" w:type="dxa"/>
            <w:tcBorders>
              <w:top w:val="single" w:color="000000" w:sz="4" w:space="0"/>
              <w:left w:val="single" w:color="000000" w:sz="4" w:space="0"/>
              <w:bottom w:val="single" w:color="000000" w:sz="4" w:space="0"/>
              <w:right w:val="single" w:color="000000" w:sz="4" w:space="0"/>
            </w:tcBorders>
            <w:vAlign w:val="center"/>
          </w:tcPr>
          <w:p w14:paraId="48810A8F">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1058" w:type="dxa"/>
            <w:tcBorders>
              <w:top w:val="single" w:color="000000" w:sz="4" w:space="0"/>
              <w:left w:val="single" w:color="000000" w:sz="4" w:space="0"/>
              <w:bottom w:val="single" w:color="000000" w:sz="4" w:space="0"/>
              <w:right w:val="single" w:color="000000" w:sz="4" w:space="0"/>
            </w:tcBorders>
            <w:vAlign w:val="center"/>
          </w:tcPr>
          <w:p w14:paraId="36F5C739">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1520" w:type="dxa"/>
            <w:tcBorders>
              <w:top w:val="single" w:color="000000" w:sz="4" w:space="0"/>
              <w:left w:val="single" w:color="000000" w:sz="4" w:space="0"/>
              <w:bottom w:val="single" w:color="000000" w:sz="4" w:space="0"/>
              <w:right w:val="single" w:color="000000" w:sz="4" w:space="0"/>
            </w:tcBorders>
            <w:vAlign w:val="center"/>
          </w:tcPr>
          <w:p w14:paraId="142C15B4">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vAlign w:val="center"/>
          </w:tcPr>
          <w:p w14:paraId="3CB84C9D">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完成市定目标</w:t>
            </w:r>
          </w:p>
        </w:tc>
        <w:tc>
          <w:tcPr>
            <w:tcW w:w="837" w:type="dxa"/>
            <w:tcBorders>
              <w:top w:val="single" w:color="000000" w:sz="4" w:space="0"/>
              <w:left w:val="single" w:color="000000" w:sz="4" w:space="0"/>
              <w:bottom w:val="single" w:color="000000" w:sz="4" w:space="0"/>
              <w:right w:val="single" w:color="000000" w:sz="8" w:space="0"/>
            </w:tcBorders>
            <w:vAlign w:val="center"/>
          </w:tcPr>
          <w:p w14:paraId="1EEE6C02">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约束性</w:t>
            </w:r>
          </w:p>
        </w:tc>
      </w:tr>
      <w:tr w14:paraId="371838EF">
        <w:tblPrEx>
          <w:tblCellMar>
            <w:top w:w="65" w:type="dxa"/>
            <w:left w:w="14" w:type="dxa"/>
            <w:bottom w:w="0" w:type="dxa"/>
            <w:right w:w="33" w:type="dxa"/>
          </w:tblCellMar>
        </w:tblPrEx>
        <w:trPr>
          <w:trHeight w:val="454" w:hRule="atLeast"/>
          <w:jc w:val="center"/>
        </w:trPr>
        <w:tc>
          <w:tcPr>
            <w:tcW w:w="727" w:type="dxa"/>
            <w:vMerge w:val="continue"/>
            <w:tcBorders>
              <w:top w:val="nil"/>
              <w:left w:val="single" w:color="000000" w:sz="8" w:space="0"/>
              <w:bottom w:val="nil"/>
              <w:right w:val="single" w:color="000000" w:sz="4" w:space="0"/>
            </w:tcBorders>
            <w:vAlign w:val="center"/>
          </w:tcPr>
          <w:p w14:paraId="414734FD">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2DD04BD1">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14</w:t>
            </w:r>
          </w:p>
        </w:tc>
        <w:tc>
          <w:tcPr>
            <w:tcW w:w="3491" w:type="dxa"/>
            <w:tcBorders>
              <w:top w:val="single" w:color="000000" w:sz="4" w:space="0"/>
              <w:left w:val="single" w:color="000000" w:sz="4" w:space="0"/>
              <w:bottom w:val="single" w:color="000000" w:sz="4" w:space="0"/>
              <w:right w:val="single" w:color="000000" w:sz="4" w:space="0"/>
            </w:tcBorders>
            <w:vAlign w:val="center"/>
          </w:tcPr>
          <w:p w14:paraId="6F49B06D">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单位GDP二氧化碳排放降低</w:t>
            </w:r>
          </w:p>
        </w:tc>
        <w:tc>
          <w:tcPr>
            <w:tcW w:w="682" w:type="dxa"/>
            <w:tcBorders>
              <w:top w:val="single" w:color="000000" w:sz="4" w:space="0"/>
              <w:left w:val="single" w:color="000000" w:sz="4" w:space="0"/>
              <w:bottom w:val="single" w:color="000000" w:sz="4" w:space="0"/>
              <w:right w:val="single" w:color="000000" w:sz="4" w:space="0"/>
            </w:tcBorders>
            <w:vAlign w:val="center"/>
          </w:tcPr>
          <w:p w14:paraId="097C27A0">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1058" w:type="dxa"/>
            <w:tcBorders>
              <w:top w:val="single" w:color="000000" w:sz="4" w:space="0"/>
              <w:left w:val="single" w:color="000000" w:sz="4" w:space="0"/>
              <w:bottom w:val="single" w:color="000000" w:sz="4" w:space="0"/>
              <w:right w:val="single" w:color="000000" w:sz="4" w:space="0"/>
            </w:tcBorders>
            <w:vAlign w:val="center"/>
          </w:tcPr>
          <w:p w14:paraId="12353A86">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1520" w:type="dxa"/>
            <w:tcBorders>
              <w:top w:val="single" w:color="000000" w:sz="4" w:space="0"/>
              <w:left w:val="single" w:color="000000" w:sz="4" w:space="0"/>
              <w:bottom w:val="single" w:color="000000" w:sz="4" w:space="0"/>
              <w:right w:val="single" w:color="000000" w:sz="4" w:space="0"/>
            </w:tcBorders>
            <w:vAlign w:val="center"/>
          </w:tcPr>
          <w:p w14:paraId="06C42DDC">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vAlign w:val="center"/>
          </w:tcPr>
          <w:p w14:paraId="6F8EFF5F">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完成市定目标</w:t>
            </w:r>
          </w:p>
        </w:tc>
        <w:tc>
          <w:tcPr>
            <w:tcW w:w="837" w:type="dxa"/>
            <w:tcBorders>
              <w:top w:val="single" w:color="000000" w:sz="4" w:space="0"/>
              <w:left w:val="single" w:color="000000" w:sz="4" w:space="0"/>
              <w:bottom w:val="single" w:color="000000" w:sz="4" w:space="0"/>
              <w:right w:val="single" w:color="000000" w:sz="8" w:space="0"/>
            </w:tcBorders>
            <w:vAlign w:val="center"/>
          </w:tcPr>
          <w:p w14:paraId="14205337">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约束性</w:t>
            </w:r>
          </w:p>
        </w:tc>
      </w:tr>
      <w:tr w14:paraId="1DA46821">
        <w:tblPrEx>
          <w:tblCellMar>
            <w:top w:w="65" w:type="dxa"/>
            <w:left w:w="14" w:type="dxa"/>
            <w:bottom w:w="0" w:type="dxa"/>
            <w:right w:w="33" w:type="dxa"/>
          </w:tblCellMar>
        </w:tblPrEx>
        <w:trPr>
          <w:trHeight w:val="454" w:hRule="atLeast"/>
          <w:jc w:val="center"/>
        </w:trPr>
        <w:tc>
          <w:tcPr>
            <w:tcW w:w="727" w:type="dxa"/>
            <w:vMerge w:val="continue"/>
            <w:tcBorders>
              <w:top w:val="nil"/>
              <w:left w:val="single" w:color="000000" w:sz="8" w:space="0"/>
              <w:bottom w:val="nil"/>
              <w:right w:val="single" w:color="000000" w:sz="4" w:space="0"/>
            </w:tcBorders>
            <w:vAlign w:val="center"/>
          </w:tcPr>
          <w:p w14:paraId="06C6840A">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26BE9C76">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15</w:t>
            </w:r>
          </w:p>
        </w:tc>
        <w:tc>
          <w:tcPr>
            <w:tcW w:w="3491" w:type="dxa"/>
            <w:tcBorders>
              <w:top w:val="single" w:color="000000" w:sz="4" w:space="0"/>
              <w:left w:val="single" w:color="000000" w:sz="4" w:space="0"/>
              <w:bottom w:val="single" w:color="000000" w:sz="4" w:space="0"/>
              <w:right w:val="single" w:color="000000" w:sz="4" w:space="0"/>
            </w:tcBorders>
            <w:vAlign w:val="center"/>
          </w:tcPr>
          <w:p w14:paraId="09E3610C">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地表水达到或好于Ш类水体比例</w:t>
            </w:r>
          </w:p>
        </w:tc>
        <w:tc>
          <w:tcPr>
            <w:tcW w:w="682" w:type="dxa"/>
            <w:tcBorders>
              <w:top w:val="single" w:color="000000" w:sz="4" w:space="0"/>
              <w:left w:val="single" w:color="000000" w:sz="4" w:space="0"/>
              <w:bottom w:val="single" w:color="000000" w:sz="4" w:space="0"/>
              <w:right w:val="single" w:color="000000" w:sz="4" w:space="0"/>
            </w:tcBorders>
            <w:vAlign w:val="center"/>
          </w:tcPr>
          <w:p w14:paraId="7A2CBCBE">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1058" w:type="dxa"/>
            <w:tcBorders>
              <w:top w:val="single" w:color="000000" w:sz="4" w:space="0"/>
              <w:left w:val="single" w:color="000000" w:sz="4" w:space="0"/>
              <w:bottom w:val="single" w:color="000000" w:sz="4" w:space="0"/>
              <w:right w:val="single" w:color="000000" w:sz="4" w:space="0"/>
            </w:tcBorders>
            <w:vAlign w:val="center"/>
          </w:tcPr>
          <w:p w14:paraId="13941159">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100%</w:t>
            </w:r>
          </w:p>
        </w:tc>
        <w:tc>
          <w:tcPr>
            <w:tcW w:w="1520" w:type="dxa"/>
            <w:tcBorders>
              <w:top w:val="single" w:color="000000" w:sz="4" w:space="0"/>
              <w:left w:val="single" w:color="000000" w:sz="4" w:space="0"/>
              <w:bottom w:val="single" w:color="000000" w:sz="4" w:space="0"/>
              <w:right w:val="single" w:color="000000" w:sz="4" w:space="0"/>
            </w:tcBorders>
            <w:vAlign w:val="center"/>
          </w:tcPr>
          <w:p w14:paraId="6A5F5FEA">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100%</w:t>
            </w:r>
          </w:p>
        </w:tc>
        <w:tc>
          <w:tcPr>
            <w:tcW w:w="938" w:type="dxa"/>
            <w:tcBorders>
              <w:top w:val="single" w:color="000000" w:sz="4" w:space="0"/>
              <w:left w:val="single" w:color="000000" w:sz="4" w:space="0"/>
              <w:bottom w:val="single" w:color="000000" w:sz="4" w:space="0"/>
              <w:right w:val="single" w:color="000000" w:sz="4" w:space="0"/>
            </w:tcBorders>
            <w:vAlign w:val="center"/>
          </w:tcPr>
          <w:p w14:paraId="6C09C280">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837" w:type="dxa"/>
            <w:tcBorders>
              <w:top w:val="single" w:color="000000" w:sz="4" w:space="0"/>
              <w:left w:val="single" w:color="000000" w:sz="4" w:space="0"/>
              <w:bottom w:val="single" w:color="000000" w:sz="4" w:space="0"/>
              <w:right w:val="single" w:color="000000" w:sz="8" w:space="0"/>
            </w:tcBorders>
            <w:vAlign w:val="center"/>
          </w:tcPr>
          <w:p w14:paraId="242A86E5">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约束性</w:t>
            </w:r>
          </w:p>
        </w:tc>
      </w:tr>
      <w:tr w14:paraId="7FB724FD">
        <w:tblPrEx>
          <w:tblCellMar>
            <w:top w:w="65" w:type="dxa"/>
            <w:left w:w="14" w:type="dxa"/>
            <w:bottom w:w="0" w:type="dxa"/>
            <w:right w:w="33" w:type="dxa"/>
          </w:tblCellMar>
        </w:tblPrEx>
        <w:trPr>
          <w:trHeight w:val="454" w:hRule="atLeast"/>
          <w:jc w:val="center"/>
        </w:trPr>
        <w:tc>
          <w:tcPr>
            <w:tcW w:w="727" w:type="dxa"/>
            <w:vMerge w:val="continue"/>
            <w:tcBorders>
              <w:top w:val="nil"/>
              <w:left w:val="single" w:color="000000" w:sz="8" w:space="0"/>
              <w:bottom w:val="nil"/>
              <w:right w:val="single" w:color="000000" w:sz="4" w:space="0"/>
            </w:tcBorders>
            <w:vAlign w:val="center"/>
          </w:tcPr>
          <w:p w14:paraId="3E88343D">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23C50E51">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16</w:t>
            </w:r>
          </w:p>
        </w:tc>
        <w:tc>
          <w:tcPr>
            <w:tcW w:w="3491" w:type="dxa"/>
            <w:tcBorders>
              <w:top w:val="single" w:color="000000" w:sz="4" w:space="0"/>
              <w:left w:val="single" w:color="000000" w:sz="4" w:space="0"/>
              <w:bottom w:val="single" w:color="000000" w:sz="4" w:space="0"/>
              <w:right w:val="single" w:color="000000" w:sz="4" w:space="0"/>
            </w:tcBorders>
            <w:vAlign w:val="center"/>
          </w:tcPr>
          <w:p w14:paraId="37360B35">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城市空气质量优良天数比率</w:t>
            </w:r>
          </w:p>
        </w:tc>
        <w:tc>
          <w:tcPr>
            <w:tcW w:w="682" w:type="dxa"/>
            <w:tcBorders>
              <w:top w:val="single" w:color="000000" w:sz="4" w:space="0"/>
              <w:left w:val="single" w:color="000000" w:sz="4" w:space="0"/>
              <w:bottom w:val="single" w:color="000000" w:sz="4" w:space="0"/>
              <w:right w:val="single" w:color="000000" w:sz="4" w:space="0"/>
            </w:tcBorders>
            <w:vAlign w:val="center"/>
          </w:tcPr>
          <w:p w14:paraId="0C1EBEA1">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1058" w:type="dxa"/>
            <w:tcBorders>
              <w:top w:val="single" w:color="000000" w:sz="4" w:space="0"/>
              <w:left w:val="single" w:color="000000" w:sz="4" w:space="0"/>
              <w:bottom w:val="single" w:color="000000" w:sz="4" w:space="0"/>
              <w:right w:val="single" w:color="000000" w:sz="4" w:space="0"/>
            </w:tcBorders>
            <w:vAlign w:val="center"/>
          </w:tcPr>
          <w:p w14:paraId="10B86746">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90.2</w:t>
            </w:r>
          </w:p>
        </w:tc>
        <w:tc>
          <w:tcPr>
            <w:tcW w:w="1520" w:type="dxa"/>
            <w:tcBorders>
              <w:top w:val="single" w:color="000000" w:sz="4" w:space="0"/>
              <w:left w:val="single" w:color="000000" w:sz="4" w:space="0"/>
              <w:bottom w:val="single" w:color="000000" w:sz="4" w:space="0"/>
              <w:right w:val="single" w:color="000000" w:sz="4" w:space="0"/>
            </w:tcBorders>
            <w:vAlign w:val="center"/>
          </w:tcPr>
          <w:p w14:paraId="1C7B2A46">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完成市定目标</w:t>
            </w:r>
          </w:p>
        </w:tc>
        <w:tc>
          <w:tcPr>
            <w:tcW w:w="938" w:type="dxa"/>
            <w:tcBorders>
              <w:top w:val="single" w:color="000000" w:sz="4" w:space="0"/>
              <w:left w:val="single" w:color="000000" w:sz="4" w:space="0"/>
              <w:bottom w:val="single" w:color="000000" w:sz="4" w:space="0"/>
              <w:right w:val="single" w:color="000000" w:sz="4" w:space="0"/>
            </w:tcBorders>
            <w:vAlign w:val="center"/>
          </w:tcPr>
          <w:p w14:paraId="6EBD53E0">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837" w:type="dxa"/>
            <w:tcBorders>
              <w:top w:val="single" w:color="000000" w:sz="4" w:space="0"/>
              <w:left w:val="single" w:color="000000" w:sz="4" w:space="0"/>
              <w:bottom w:val="single" w:color="000000" w:sz="4" w:space="0"/>
              <w:right w:val="single" w:color="000000" w:sz="8" w:space="0"/>
            </w:tcBorders>
            <w:vAlign w:val="center"/>
          </w:tcPr>
          <w:p w14:paraId="46EE75E0">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约束性</w:t>
            </w:r>
          </w:p>
        </w:tc>
      </w:tr>
      <w:tr w14:paraId="08E15BA8">
        <w:tblPrEx>
          <w:tblCellMar>
            <w:top w:w="65" w:type="dxa"/>
            <w:left w:w="14" w:type="dxa"/>
            <w:bottom w:w="0" w:type="dxa"/>
            <w:right w:w="33" w:type="dxa"/>
          </w:tblCellMar>
        </w:tblPrEx>
        <w:trPr>
          <w:trHeight w:val="454" w:hRule="atLeast"/>
          <w:jc w:val="center"/>
        </w:trPr>
        <w:tc>
          <w:tcPr>
            <w:tcW w:w="727" w:type="dxa"/>
            <w:vMerge w:val="continue"/>
            <w:tcBorders>
              <w:top w:val="nil"/>
              <w:left w:val="single" w:color="000000" w:sz="8" w:space="0"/>
              <w:bottom w:val="nil"/>
              <w:right w:val="single" w:color="000000" w:sz="4" w:space="0"/>
            </w:tcBorders>
            <w:vAlign w:val="center"/>
          </w:tcPr>
          <w:p w14:paraId="1F6FFE56">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72067ADD">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17</w:t>
            </w:r>
          </w:p>
        </w:tc>
        <w:tc>
          <w:tcPr>
            <w:tcW w:w="3491" w:type="dxa"/>
            <w:tcBorders>
              <w:top w:val="single" w:color="000000" w:sz="4" w:space="0"/>
              <w:left w:val="single" w:color="000000" w:sz="4" w:space="0"/>
              <w:bottom w:val="single" w:color="000000" w:sz="4" w:space="0"/>
              <w:right w:val="single" w:color="000000" w:sz="4" w:space="0"/>
            </w:tcBorders>
            <w:vAlign w:val="center"/>
          </w:tcPr>
          <w:p w14:paraId="4E4BAB55">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森林覆盖率</w:t>
            </w:r>
          </w:p>
        </w:tc>
        <w:tc>
          <w:tcPr>
            <w:tcW w:w="682" w:type="dxa"/>
            <w:tcBorders>
              <w:top w:val="single" w:color="000000" w:sz="4" w:space="0"/>
              <w:left w:val="single" w:color="000000" w:sz="4" w:space="0"/>
              <w:bottom w:val="single" w:color="000000" w:sz="4" w:space="0"/>
              <w:right w:val="single" w:color="000000" w:sz="4" w:space="0"/>
            </w:tcBorders>
            <w:vAlign w:val="center"/>
          </w:tcPr>
          <w:p w14:paraId="3D6AFCEB">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p>
        </w:tc>
        <w:tc>
          <w:tcPr>
            <w:tcW w:w="1058" w:type="dxa"/>
            <w:tcBorders>
              <w:top w:val="single" w:color="000000" w:sz="4" w:space="0"/>
              <w:left w:val="single" w:color="000000" w:sz="4" w:space="0"/>
              <w:bottom w:val="single" w:color="000000" w:sz="4" w:space="0"/>
              <w:right w:val="single" w:color="000000" w:sz="4" w:space="0"/>
            </w:tcBorders>
            <w:vAlign w:val="center"/>
          </w:tcPr>
          <w:p w14:paraId="3EFB1F43">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10.53</w:t>
            </w:r>
          </w:p>
        </w:tc>
        <w:tc>
          <w:tcPr>
            <w:tcW w:w="1520" w:type="dxa"/>
            <w:tcBorders>
              <w:top w:val="single" w:color="000000" w:sz="4" w:space="0"/>
              <w:left w:val="single" w:color="000000" w:sz="4" w:space="0"/>
              <w:bottom w:val="single" w:color="000000" w:sz="4" w:space="0"/>
              <w:right w:val="single" w:color="000000" w:sz="4" w:space="0"/>
            </w:tcBorders>
            <w:vAlign w:val="center"/>
          </w:tcPr>
          <w:p w14:paraId="3CCEE13B">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10.53</w:t>
            </w:r>
          </w:p>
        </w:tc>
        <w:tc>
          <w:tcPr>
            <w:tcW w:w="938" w:type="dxa"/>
            <w:tcBorders>
              <w:top w:val="single" w:color="000000" w:sz="4" w:space="0"/>
              <w:left w:val="single" w:color="000000" w:sz="4" w:space="0"/>
              <w:bottom w:val="single" w:color="000000" w:sz="4" w:space="0"/>
              <w:right w:val="single" w:color="000000" w:sz="4" w:space="0"/>
            </w:tcBorders>
            <w:vAlign w:val="center"/>
          </w:tcPr>
          <w:p w14:paraId="7DD25D30">
            <w:pPr>
              <w:widowControl w:val="0"/>
              <w:spacing w:line="300" w:lineRule="exact"/>
              <w:ind w:firstLine="0" w:firstLineChars="0"/>
              <w:jc w:val="center"/>
              <w:rPr>
                <w:rFonts w:ascii="仿宋_GB2312" w:eastAsia="仿宋_GB2312"/>
                <w:color w:val="000000" w:themeColor="text1"/>
                <w:w w:val="90"/>
                <w:sz w:val="24"/>
                <w14:textFill>
                  <w14:solidFill>
                    <w14:schemeClr w14:val="tx1"/>
                  </w14:solidFill>
                </w14:textFill>
              </w:rPr>
            </w:pPr>
            <w:r>
              <w:rPr>
                <w:rFonts w:hint="eastAsia" w:ascii="仿宋_GB2312" w:eastAsia="仿宋_GB2312"/>
                <w:color w:val="000000" w:themeColor="text1"/>
                <w:w w:val="90"/>
                <w:sz w:val="24"/>
                <w14:textFill>
                  <w14:solidFill>
                    <w14:schemeClr w14:val="tx1"/>
                  </w14:solidFill>
                </w14:textFill>
              </w:rPr>
              <w:t>-</w:t>
            </w:r>
          </w:p>
        </w:tc>
        <w:tc>
          <w:tcPr>
            <w:tcW w:w="837" w:type="dxa"/>
            <w:tcBorders>
              <w:top w:val="single" w:color="000000" w:sz="4" w:space="0"/>
              <w:left w:val="single" w:color="000000" w:sz="4" w:space="0"/>
              <w:bottom w:val="single" w:color="000000" w:sz="4" w:space="0"/>
              <w:right w:val="single" w:color="000000" w:sz="8" w:space="0"/>
            </w:tcBorders>
            <w:vAlign w:val="center"/>
          </w:tcPr>
          <w:p w14:paraId="387D10C4">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约束性</w:t>
            </w:r>
          </w:p>
        </w:tc>
      </w:tr>
      <w:tr w14:paraId="612B2BFB">
        <w:tblPrEx>
          <w:tblCellMar>
            <w:top w:w="65" w:type="dxa"/>
            <w:left w:w="14" w:type="dxa"/>
            <w:bottom w:w="0" w:type="dxa"/>
            <w:right w:w="33" w:type="dxa"/>
          </w:tblCellMar>
        </w:tblPrEx>
        <w:trPr>
          <w:trHeight w:val="389" w:hRule="atLeast"/>
          <w:jc w:val="center"/>
        </w:trPr>
        <w:tc>
          <w:tcPr>
            <w:tcW w:w="9900" w:type="dxa"/>
            <w:gridSpan w:val="8"/>
            <w:tcBorders>
              <w:top w:val="single" w:color="auto" w:sz="4" w:space="0"/>
              <w:left w:val="single" w:color="000000" w:sz="8" w:space="0"/>
              <w:bottom w:val="single" w:color="000000" w:sz="4" w:space="0"/>
              <w:right w:val="single" w:color="000000" w:sz="8" w:space="0"/>
            </w:tcBorders>
            <w:vAlign w:val="center"/>
          </w:tcPr>
          <w:p w14:paraId="43EFD699">
            <w:pPr>
              <w:widowControl w:val="0"/>
              <w:spacing w:line="300" w:lineRule="exact"/>
              <w:ind w:firstLine="0" w:firstLineChars="0"/>
              <w:jc w:val="center"/>
              <w:rPr>
                <w:rFonts w:ascii="仿宋_GB2312" w:eastAsia="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说明：带[　]为五年累计完成数</w:t>
            </w:r>
          </w:p>
        </w:tc>
      </w:tr>
    </w:tbl>
    <w:p w14:paraId="3DF1B7A3">
      <w:pPr>
        <w:widowControl w:val="0"/>
        <w:spacing w:line="570" w:lineRule="exact"/>
        <w:ind w:firstLine="640"/>
        <w:rPr>
          <w:rFonts w:ascii="方正黑体_GBK" w:eastAsia="方正黑体_GBK"/>
          <w:bCs/>
          <w:color w:val="000000"/>
          <w:szCs w:val="32"/>
        </w:rPr>
      </w:pPr>
      <w:r>
        <w:rPr>
          <w:rFonts w:hint="eastAsia" w:cs="黑体"/>
          <w:bCs/>
          <w:color w:val="000000"/>
        </w:rPr>
        <w:br w:type="page"/>
      </w:r>
      <w:bookmarkStart w:id="70" w:name="_Toc2972"/>
      <w:bookmarkStart w:id="71" w:name="_Toc26862"/>
      <w:bookmarkStart w:id="72" w:name="_Toc12362"/>
      <w:bookmarkStart w:id="73" w:name="_Toc32254"/>
      <w:bookmarkStart w:id="74" w:name="_Toc18038"/>
      <w:r>
        <w:rPr>
          <w:rFonts w:hint="eastAsia" w:ascii="方正黑体_GBK" w:eastAsia="方正黑体_GBK"/>
          <w:bCs/>
          <w:color w:val="000000"/>
          <w:szCs w:val="32"/>
        </w:rPr>
        <w:t>二、</w:t>
      </w:r>
      <w:bookmarkEnd w:id="70"/>
      <w:r>
        <w:rPr>
          <w:rFonts w:hint="eastAsia" w:ascii="方正黑体_GBK" w:eastAsia="方正黑体_GBK"/>
          <w:bCs/>
          <w:color w:val="000000"/>
          <w:szCs w:val="32"/>
        </w:rPr>
        <w:t>优化区域布局，建设全域临空先行区</w:t>
      </w:r>
    </w:p>
    <w:p w14:paraId="6FE6C684">
      <w:pPr>
        <w:pStyle w:val="4"/>
        <w:widowControl w:val="0"/>
        <w:spacing w:line="570" w:lineRule="exact"/>
        <w:ind w:firstLine="640"/>
        <w:rPr>
          <w:rFonts w:ascii="仿宋_GB2312" w:hAnsi="宋体" w:eastAsia="仿宋_GB2312"/>
          <w:b w:val="0"/>
          <w:bCs w:val="0"/>
          <w:color w:val="000000"/>
        </w:rPr>
      </w:pPr>
      <w:r>
        <w:rPr>
          <w:rFonts w:hint="eastAsia" w:ascii="仿宋_GB2312" w:hAnsi="仿宋_GB2312" w:eastAsia="仿宋_GB2312" w:cs="仿宋_GB2312"/>
          <w:b w:val="0"/>
          <w:bCs w:val="0"/>
          <w:color w:val="000000"/>
        </w:rPr>
        <w:t>按照建设“临空黄石港”的战略定位，把全域临空理念贯穿全区经济发展全领域各方面，重点推进空间布局调整、要素资源配置、城市功能再造，重塑优化高质量发展的区域布局。</w:t>
      </w:r>
    </w:p>
    <w:p w14:paraId="799401F4">
      <w:pPr>
        <w:pStyle w:val="4"/>
        <w:widowControl w:val="0"/>
        <w:spacing w:line="570" w:lineRule="exact"/>
        <w:ind w:firstLine="640"/>
        <w:rPr>
          <w:rFonts w:ascii="楷体_GB2312"/>
          <w:b w:val="0"/>
          <w:bCs w:val="0"/>
          <w:color w:val="000000"/>
        </w:rPr>
      </w:pPr>
      <w:r>
        <w:rPr>
          <w:rFonts w:hint="eastAsia" w:ascii="楷体_GB2312"/>
          <w:b w:val="0"/>
          <w:bCs w:val="0"/>
          <w:color w:val="000000"/>
        </w:rPr>
        <w:t>（一）融入区域一体化发展格局</w:t>
      </w:r>
    </w:p>
    <w:p w14:paraId="26155FF0">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坚持开放、协调发展，以区域合作为导向，以产业竞合为关键，以产城融合为内核，优化城市发展布局，加快形成区域协调发展新格局，打造区域要素聚集洼地，为“四区”建设提供有力支撑。主动对接长三角、光谷科创大走廊，积极融入长江经济带、武汉城市圈和黄石发展布局，全面打通对接湖北国际物流核心枢纽路网，促进与鄂州、黄冈的联动合作，加快形成路网畅通、产业融合、要素流动的大临空发展格局，在黄石建设长江中游城市群区域性中心城市中发挥枢纽作用。</w:t>
      </w:r>
    </w:p>
    <w:p w14:paraId="07F4C022">
      <w:pPr>
        <w:pStyle w:val="4"/>
        <w:widowControl w:val="0"/>
        <w:spacing w:line="570" w:lineRule="exact"/>
        <w:ind w:firstLine="640"/>
        <w:rPr>
          <w:rFonts w:ascii="楷体_GB2312"/>
          <w:b w:val="0"/>
          <w:bCs w:val="0"/>
          <w:color w:val="000000"/>
        </w:rPr>
      </w:pPr>
      <w:bookmarkStart w:id="75" w:name="_Toc25459"/>
      <w:bookmarkStart w:id="76" w:name="_Toc2956"/>
      <w:bookmarkStart w:id="77" w:name="_Toc27850"/>
      <w:bookmarkStart w:id="78" w:name="_Toc5619"/>
      <w:r>
        <w:rPr>
          <w:rFonts w:hint="eastAsia" w:ascii="楷体_GB2312"/>
          <w:b w:val="0"/>
          <w:bCs w:val="0"/>
          <w:color w:val="000000"/>
        </w:rPr>
        <w:t>（二）构建“两园两带”发展布局</w:t>
      </w:r>
      <w:bookmarkEnd w:id="75"/>
      <w:bookmarkEnd w:id="76"/>
      <w:bookmarkEnd w:id="77"/>
      <w:bookmarkEnd w:id="78"/>
    </w:p>
    <w:p w14:paraId="16404070">
      <w:pPr>
        <w:widowControl w:val="0"/>
        <w:spacing w:line="570" w:lineRule="exact"/>
        <w:ind w:firstLine="640"/>
        <w:rPr>
          <w:rFonts w:ascii="仿宋_GB2312" w:hAnsi="仿宋_GB2312" w:eastAsia="仿宋_GB2312" w:cs="仿宋_GB2312"/>
          <w:color w:val="000000"/>
          <w:szCs w:val="32"/>
        </w:rPr>
      </w:pPr>
      <w:bookmarkStart w:id="79" w:name="_Hlk59781524"/>
      <w:bookmarkStart w:id="80" w:name="_Hlk59781450"/>
      <w:r>
        <w:rPr>
          <w:rFonts w:hint="eastAsia" w:ascii="仿宋_GB2312" w:hAnsi="仿宋_GB2312" w:eastAsia="仿宋_GB2312" w:cs="仿宋_GB2312"/>
          <w:color w:val="000000"/>
          <w:szCs w:val="32"/>
        </w:rPr>
        <w:t>顺应区域经济一体化发展大势</w:t>
      </w:r>
      <w:bookmarkEnd w:id="79"/>
      <w:r>
        <w:rPr>
          <w:rFonts w:hint="eastAsia" w:ascii="仿宋_GB2312" w:hAnsi="仿宋_GB2312" w:eastAsia="仿宋_GB2312" w:cs="仿宋_GB2312"/>
          <w:color w:val="000000"/>
          <w:szCs w:val="32"/>
        </w:rPr>
        <w:t>，着眼黄石“一心两带、多点支撑、全域一体”发展布局，重塑再造区域空间布局，加快构建“两园两带”为主要骨架的空间布局。</w:t>
      </w:r>
      <w:bookmarkEnd w:id="80"/>
    </w:p>
    <w:p w14:paraId="4AD3DFD2">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——黄石港临空商务产业园，是黄石“四区N园</w:t>
      </w:r>
      <w:r>
        <w:rPr>
          <w:rStyle w:val="33"/>
          <w:rFonts w:hint="eastAsia" w:ascii="仿宋_GB2312" w:hAnsi="仿宋_GB2312" w:eastAsia="仿宋_GB2312" w:cs="仿宋_GB2312"/>
          <w:color w:val="000000"/>
          <w:szCs w:val="32"/>
        </w:rPr>
        <w:endnoteReference w:id="4"/>
      </w:r>
      <w:r>
        <w:rPr>
          <w:rFonts w:hint="eastAsia" w:ascii="仿宋_GB2312" w:hAnsi="仿宋_GB2312" w:eastAsia="仿宋_GB2312" w:cs="仿宋_GB2312"/>
          <w:color w:val="000000"/>
          <w:szCs w:val="32"/>
        </w:rPr>
        <w:t>”布局中的重要支撑，核心区由花湖街道办事处全域和黄石港街道办事处部分区域组成，重点发展临空商务产业，着力打造临空总部商务、临空商贸会展、临空未来科技、临空科创文旅四个产业集群。</w:t>
      </w:r>
    </w:p>
    <w:p w14:paraId="0D412B36">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——黄石港临空智造产业园，是江北工业园的升级版，重点发展临空智造业和临空服务业衍生的制造业。</w:t>
      </w:r>
    </w:p>
    <w:p w14:paraId="264CEFE4">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临空都市发展带，是黄石临空创新发展带的重要节点，以迎宾大道为主轴，由花湖街道办事处、黄石港街道办事处地带组成，主要连接武汉光谷科创大走廊和湖北国际物流核心枢纽，重点发展临空高端配套服务业。</w:t>
      </w:r>
    </w:p>
    <w:p w14:paraId="49B2A662">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——滨水绿色发展带，是黄石沿江高质量发展带的起点地带，由沿江环湖地带组成，重点发展科创文旅产业。</w:t>
      </w:r>
    </w:p>
    <w:p w14:paraId="276AAA9F">
      <w:pPr>
        <w:pStyle w:val="4"/>
        <w:widowControl w:val="0"/>
        <w:spacing w:line="570" w:lineRule="exact"/>
        <w:ind w:firstLine="640"/>
        <w:rPr>
          <w:rFonts w:ascii="楷体_GB2312"/>
          <w:b w:val="0"/>
          <w:bCs w:val="0"/>
          <w:color w:val="000000"/>
        </w:rPr>
      </w:pPr>
      <w:r>
        <w:rPr>
          <w:rFonts w:hint="eastAsia" w:ascii="楷体_GB2312"/>
          <w:b w:val="0"/>
          <w:bCs w:val="0"/>
          <w:color w:val="000000"/>
        </w:rPr>
        <w:t>（三）打造全域临空体系</w:t>
      </w:r>
    </w:p>
    <w:p w14:paraId="7E779C6C">
      <w:pPr>
        <w:widowControl w:val="0"/>
        <w:spacing w:line="570" w:lineRule="exact"/>
        <w:ind w:firstLine="640"/>
        <w:rPr>
          <w:rFonts w:ascii="仿宋_GB2312" w:hAnsi="仿宋_GB2312" w:eastAsia="仿宋_GB2312" w:cs="仿宋_GB2312"/>
          <w:color w:val="000000"/>
          <w:szCs w:val="32"/>
        </w:rPr>
      </w:pPr>
      <w:bookmarkStart w:id="81" w:name="_Toc18604"/>
      <w:bookmarkStart w:id="82" w:name="_Toc8815"/>
      <w:bookmarkStart w:id="83" w:name="_Toc27431"/>
      <w:bookmarkStart w:id="84" w:name="_Toc2399"/>
      <w:r>
        <w:rPr>
          <w:rFonts w:hint="eastAsia" w:ascii="仿宋_GB2312" w:hAnsi="仿宋_GB2312" w:eastAsia="仿宋_GB2312" w:cs="仿宋_GB2312"/>
          <w:color w:val="000000"/>
          <w:szCs w:val="32"/>
        </w:rPr>
        <w:t>全面对接湖北国际物流核心枢纽，进一步建立完善黄石港临空商务产业园发展体制和运行机制。充分利用城发集团等市级平台和服务业引导资金支持，建立合作开发运行机制，确保园区建设各项工作稳步实施。</w:t>
      </w:r>
      <w:bookmarkEnd w:id="81"/>
      <w:bookmarkEnd w:id="82"/>
      <w:bookmarkEnd w:id="83"/>
      <w:bookmarkEnd w:id="84"/>
      <w:r>
        <w:rPr>
          <w:rFonts w:hint="eastAsia" w:ascii="仿宋_GB2312" w:hAnsi="仿宋_GB2312" w:eastAsia="仿宋_GB2312" w:cs="仿宋_GB2312"/>
          <w:color w:val="000000"/>
          <w:szCs w:val="32"/>
        </w:rPr>
        <w:t>锚定一年规划起步（完成全域临空规划、核心区规划、起步区规划及启动区规划），启动拆迁还建，实施独栋总部建设。两年连片开发，开发建设青港湖片2400亩起步区。三年核心区建设全面展开，开发建设方家墩、华新、黄棉等地块及沿江、沿湖、沿山区域，盘活核心区各类存量资源，推动传统商贸业转型升级。五年全域临空先行区初具模样，四大产业组团基本形成，四大商圈实现提档升级，十大临空标志性工程全面建成。</w:t>
      </w:r>
    </w:p>
    <w:p w14:paraId="7B360D78">
      <w:pPr>
        <w:pStyle w:val="4"/>
        <w:widowControl w:val="0"/>
        <w:spacing w:line="570" w:lineRule="exact"/>
        <w:ind w:firstLine="640"/>
        <w:rPr>
          <w:rFonts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1、打造四大临空产业组团</w:t>
      </w:r>
    </w:p>
    <w:p w14:paraId="781B3EE3">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优先发展临空总部商务组团。依托西面磨石山和东南面青港湖的优质生态资源，以筲箕窝片、锁后片、黄家湾等地块为核心，首期整合土地约1329.6亩，大力发展总部经济、航空文旅、高端商业等产业，配备总部办公、航空主题乐园、商务信息中心、人才社区等项目，吸引企业员工、湖北国际物流核心枢纽员工等产业人群置业安居。</w:t>
      </w:r>
    </w:p>
    <w:p w14:paraId="6C755E22">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努力建设临空商贸会展组团。依托与湖北国际物流核心枢纽最近的区位优势，以方家墩地块为核心，首期整合土地约742.5亩，大力发展会展会议、供应链服务、商贸物流等产业，配备会展中心、商务办公中心、大型商业综合体等项目，为商旅人士、企业高层等高消费人群提供办公、休闲场所。</w:t>
      </w:r>
    </w:p>
    <w:p w14:paraId="5B809DD6">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积极打造临空未来科技组团。依托南面大众山生态资源，以花径路以南地块、明家墩片等地块为核心，首期整合土地约1025.6亩，大力发展数字创意、科技研发、文化教育等产业，配备创新孵化中心、高新技术运营中心、健康社区等项目，满足以科研技术人才为主的人群的工作生活需求。</w:t>
      </w:r>
    </w:p>
    <w:p w14:paraId="5A08E7B9">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着力发展临空科创文旅组团。依托湖北师范大学的人才资源及我市工业文化遗产资源，首期整合土地约570.8亩，大力发展虚拟产业园、青年众创、休闲文旅等产业，配备创意工坊、文创街区、工业展览馆等项目，支持创客创业，吸引旅客聚集。</w:t>
      </w:r>
    </w:p>
    <w:p w14:paraId="77DBAF7C">
      <w:pPr>
        <w:widowControl w:val="0"/>
        <w:spacing w:line="570" w:lineRule="exact"/>
        <w:ind w:firstLine="640"/>
        <w:rPr>
          <w:rFonts w:ascii="仿宋_GB2312" w:hAnsi="仿宋_GB2312" w:eastAsia="仿宋_GB2312" w:cs="仿宋_GB2312"/>
          <w:color w:val="000000"/>
          <w:szCs w:val="32"/>
        </w:rPr>
      </w:pPr>
      <w:bookmarkStart w:id="85" w:name="_Toc21647"/>
      <w:bookmarkStart w:id="86" w:name="_Toc20753"/>
      <w:bookmarkStart w:id="87" w:name="_Toc30041"/>
      <w:bookmarkStart w:id="88" w:name="_Toc2376"/>
      <w:r>
        <w:rPr>
          <w:rFonts w:hint="eastAsia" w:ascii="仿宋_GB2312" w:hAnsi="仿宋_GB2312" w:eastAsia="仿宋_GB2312" w:cs="仿宋_GB2312"/>
          <w:color w:val="000000"/>
          <w:szCs w:val="32"/>
        </w:rPr>
        <w:t>2、推动四大商圈提档升级</w:t>
      </w:r>
      <w:bookmarkStart w:id="89" w:name="_Hlk59781612"/>
    </w:p>
    <w:p w14:paraId="6BCDCA08">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坚持强增量、优存量并举</w:t>
      </w:r>
      <w:bookmarkEnd w:id="89"/>
      <w:r>
        <w:rPr>
          <w:rFonts w:hint="eastAsia" w:ascii="仿宋_GB2312" w:hAnsi="仿宋_GB2312" w:eastAsia="仿宋_GB2312" w:cs="仿宋_GB2312"/>
          <w:color w:val="000000"/>
          <w:szCs w:val="32"/>
        </w:rPr>
        <w:t>，在构建“两园两带”新布局、打造四大临空功能组团的同时，统筹推进钟楼、文化宫商圈提档升级，盘活闲置空间，激活存量资源，重振老商圈繁荣和辉煌;放大万达、摩尔城商圈产业优势</w:t>
      </w:r>
      <w:bookmarkStart w:id="90" w:name="_Hlk59781832"/>
      <w:r>
        <w:rPr>
          <w:rFonts w:hint="eastAsia" w:ascii="仿宋_GB2312" w:hAnsi="仿宋_GB2312" w:eastAsia="仿宋_GB2312" w:cs="仿宋_GB2312"/>
          <w:color w:val="000000"/>
          <w:szCs w:val="32"/>
        </w:rPr>
        <w:t>,增强辐射力、影响力。形成园带、组团、商圈之间功能互补、特色突出，产业之间错位融合、相互支撑的全域临空发展格局。</w:t>
      </w:r>
      <w:bookmarkEnd w:id="90"/>
    </w:p>
    <w:p w14:paraId="728B90A8">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3、全面启动十大临空标志性工程</w:t>
      </w:r>
    </w:p>
    <w:p w14:paraId="66EF0DA5">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在锁前地块建设临空独栋总部、围绕青港湖及大众山周边规划建设航空主题公园，依托方家墩等地块启动国际在岸和离岸金融中心、国际精英人才交流中心、临空标志性建筑、会展中心等项目、培育临空特色街区、建设临空主题酒店、餐厅、青年创意园，推动二医院建设临空紧急救援中心等十大临空标志性工程。</w:t>
      </w:r>
    </w:p>
    <w:p w14:paraId="75B1C3C4">
      <w:pPr>
        <w:pStyle w:val="95"/>
      </w:pPr>
      <w:r>
        <mc:AlternateContent>
          <mc:Choice Requires="wps">
            <w:drawing>
              <wp:anchor distT="0" distB="0" distL="114300" distR="114300" simplePos="0" relativeHeight="251662336" behindDoc="0" locked="0" layoutInCell="1" allowOverlap="1">
                <wp:simplePos x="0" y="0"/>
                <wp:positionH relativeFrom="column">
                  <wp:posOffset>52705</wp:posOffset>
                </wp:positionH>
                <wp:positionV relativeFrom="paragraph">
                  <wp:posOffset>401320</wp:posOffset>
                </wp:positionV>
                <wp:extent cx="5507990" cy="2199640"/>
                <wp:effectExtent l="4445" t="4445" r="12065" b="5715"/>
                <wp:wrapSquare wrapText="bothSides"/>
                <wp:docPr id="7" name="文本框 7"/>
                <wp:cNvGraphicFramePr/>
                <a:graphic xmlns:a="http://schemas.openxmlformats.org/drawingml/2006/main">
                  <a:graphicData uri="http://schemas.microsoft.com/office/word/2010/wordprocessingShape">
                    <wps:wsp>
                      <wps:cNvSpPr txBox="1">
                        <a:spLocks noRot="1" noChangeArrowheads="1"/>
                      </wps:cNvSpPr>
                      <wps:spPr bwMode="auto">
                        <a:xfrm>
                          <a:off x="0" y="0"/>
                          <a:ext cx="5842000" cy="2197735"/>
                        </a:xfrm>
                        <a:prstGeom prst="rect">
                          <a:avLst/>
                        </a:prstGeom>
                        <a:solidFill>
                          <a:srgbClr val="FFFFFF"/>
                        </a:solidFill>
                        <a:ln w="9525">
                          <a:solidFill>
                            <a:srgbClr val="000000"/>
                          </a:solidFill>
                          <a:miter lim="800000"/>
                        </a:ln>
                        <a:effectLst/>
                      </wps:spPr>
                      <wps:txbx>
                        <w:txbxContent>
                          <w:p w14:paraId="36146791">
                            <w:pPr>
                              <w:spacing w:line="54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黄石港临空国际商务产业园起步区、港湖智谷总部园区(独栋企业总部)、临空国际商务总部经济园、商贸服务业及商业文化园区、未来科技与数字物流园区、航天主题文旅园区、临空商务宜居生活服务区、花湖临空物流园配套基础设施建设工程、黄石港临空智造产业园、国际在岸和离岸金融中心、国际精英人才交流中心、临空紧急救援中心、航空主题公园</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15pt;margin-top:31.6pt;height:173.2pt;width:433.7pt;mso-wrap-distance-bottom:0pt;mso-wrap-distance-left:9pt;mso-wrap-distance-right:9pt;mso-wrap-distance-top:0pt;z-index:251662336;mso-width-relative:page;mso-height-relative:page;" fillcolor="#FFFFFF" filled="t" stroked="t" coordsize="21600,21600" o:gfxdata="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SAmctgAAAAIAQAA&#10;DwAAAAAAAAABACAAAAAiAAAAZHJzL2Rvd25yZXYueG1sUEsBAhQAFAAAAAgAh07iQOE4JC5SAgAA&#10;oAQAAA4AAAAAAAAAAQAgAAAAJwEAAGRycy9lMm9Eb2MueG1sUEsFBgAAAAAGAAYAWQEAAOsFAAAA&#10;AA==&#10;">
                <v:fill on="t" focussize="0,0"/>
                <v:stroke color="#000000" miterlimit="8" joinstyle="miter"/>
                <v:imagedata o:title=""/>
                <o:lock v:ext="edit" rotation="t" aspectratio="f"/>
                <v:textbox>
                  <w:txbxContent>
                    <w:p w14:paraId="36146791">
                      <w:pPr>
                        <w:spacing w:line="54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黄石港临空国际商务产业园起步区、港湖智谷总部园区(独栋企业总部)、临空国际商务总部经济园、商贸服务业及商业文化园区、未来科技与数字物流园区、航天主题文旅园区、临空商务宜居生活服务区、花湖临空物流园配套基础设施建设工程、黄石港临空智造产业园、国际在岸和离岸金融中心、国际精英人才交流中心、临空紧急救援中心、航空主题公园</w:t>
                      </w:r>
                    </w:p>
                  </w:txbxContent>
                </v:textbox>
                <w10:wrap type="square"/>
              </v:shape>
            </w:pict>
          </mc:Fallback>
        </mc:AlternateContent>
      </w:r>
      <w:r>
        <w:rPr>
          <w:rFonts w:hint="eastAsia"/>
        </w:rPr>
        <w:t>专栏1　临空重点工程</w:t>
      </w:r>
    </w:p>
    <w:p w14:paraId="6160AE2F">
      <w:pPr>
        <w:pStyle w:val="95"/>
      </w:pPr>
    </w:p>
    <w:bookmarkEnd w:id="85"/>
    <w:bookmarkEnd w:id="86"/>
    <w:bookmarkEnd w:id="87"/>
    <w:bookmarkEnd w:id="88"/>
    <w:p w14:paraId="70E71613">
      <w:pPr>
        <w:pStyle w:val="2"/>
        <w:widowControl w:val="0"/>
        <w:spacing w:before="0" w:after="0" w:line="570" w:lineRule="exact"/>
        <w:ind w:firstLine="640"/>
        <w:rPr>
          <w:rFonts w:ascii="方正黑体_GBK" w:eastAsia="方正黑体_GBK"/>
          <w:bCs w:val="0"/>
          <w:color w:val="000000"/>
          <w:szCs w:val="32"/>
        </w:rPr>
      </w:pPr>
      <w:r>
        <w:rPr>
          <w:rFonts w:hint="eastAsia" w:ascii="方正黑体_GBK" w:eastAsia="方正黑体_GBK"/>
          <w:bCs w:val="0"/>
          <w:color w:val="000000"/>
          <w:szCs w:val="32"/>
        </w:rPr>
        <w:t>三、</w:t>
      </w:r>
      <w:bookmarkEnd w:id="71"/>
      <w:bookmarkEnd w:id="72"/>
      <w:bookmarkEnd w:id="73"/>
      <w:r>
        <w:rPr>
          <w:rFonts w:hint="eastAsia" w:ascii="方正黑体_GBK" w:eastAsia="方正黑体_GBK"/>
          <w:bCs w:val="0"/>
          <w:color w:val="000000"/>
          <w:szCs w:val="32"/>
        </w:rPr>
        <w:t>推进科创临空，塑造高质量发展强大动能</w:t>
      </w:r>
    </w:p>
    <w:p w14:paraId="335EC9FF">
      <w:pPr>
        <w:widowControl w:val="0"/>
        <w:spacing w:line="570" w:lineRule="exact"/>
        <w:ind w:firstLine="640"/>
        <w:rPr>
          <w:rFonts w:ascii="仿宋_GB2312" w:eastAsia="仿宋_GB2312"/>
          <w:color w:val="000000"/>
          <w:szCs w:val="32"/>
        </w:rPr>
      </w:pPr>
      <w:r>
        <w:rPr>
          <w:rFonts w:hint="eastAsia" w:ascii="仿宋_GB2312" w:hAnsi="仿宋_GB2312" w:eastAsia="仿宋_GB2312" w:cs="仿宋_GB2312"/>
          <w:color w:val="000000"/>
          <w:szCs w:val="32"/>
        </w:rPr>
        <w:t>坚持把创新摆在全域临空的核心地位，全力推进科技创新、产业创新、体制机制创新，大力培育创新创业人才，着力构建创新创业平台，积极促进科技成果转化，进一步提升创新创造能力，做强高质量发展的科创引擎。</w:t>
      </w:r>
    </w:p>
    <w:p w14:paraId="5DDAF090">
      <w:pPr>
        <w:pStyle w:val="4"/>
        <w:widowControl w:val="0"/>
        <w:spacing w:line="570" w:lineRule="exact"/>
        <w:ind w:firstLine="640"/>
        <w:rPr>
          <w:rFonts w:ascii="楷体_GB2312"/>
          <w:b w:val="0"/>
          <w:bCs w:val="0"/>
          <w:color w:val="000000"/>
        </w:rPr>
      </w:pPr>
      <w:r>
        <w:rPr>
          <w:rFonts w:hint="eastAsia" w:ascii="楷体_GB2312"/>
          <w:b w:val="0"/>
          <w:bCs w:val="0"/>
          <w:color w:val="000000"/>
        </w:rPr>
        <w:t>（一）加强对接光谷科创大走廊</w:t>
      </w:r>
    </w:p>
    <w:p w14:paraId="7D011DEF">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以大走廊为纽带，融入“武汉-鄂州-黄石”支线发展。</w:t>
      </w:r>
      <w:r>
        <w:rPr>
          <w:rFonts w:hint="eastAsia" w:ascii="仿宋_GB2312" w:eastAsia="仿宋_GB2312"/>
          <w:color w:val="000000"/>
          <w:szCs w:val="32"/>
        </w:rPr>
        <w:t>依托湖北师范大学科技产业园、校企创业孵化示范基地，建设黄石港环湖大学科技园科教创新产业带，加快民生科技集成应用示范。</w:t>
      </w:r>
      <w:bookmarkStart w:id="91" w:name="_Hlk59784467"/>
      <w:r>
        <w:rPr>
          <w:rFonts w:hint="eastAsia" w:ascii="仿宋_GB2312" w:eastAsia="仿宋_GB2312"/>
          <w:color w:val="000000"/>
          <w:szCs w:val="32"/>
        </w:rPr>
        <w:t>主动对接黄石（武汉）离岸科创中心、武汉光谷科技创新大走廊、武汉留学生创业园、未来科技城和武大华科等区域性创新资源</w:t>
      </w:r>
      <w:bookmarkEnd w:id="91"/>
      <w:r>
        <w:rPr>
          <w:rFonts w:hint="eastAsia" w:ascii="仿宋_GB2312" w:eastAsia="仿宋_GB2312"/>
          <w:color w:val="000000"/>
          <w:szCs w:val="32"/>
        </w:rPr>
        <w:t>，</w:t>
      </w:r>
      <w:r>
        <w:rPr>
          <w:rFonts w:hint="eastAsia" w:ascii="仿宋_GB2312" w:hAnsi="仿宋_GB2312" w:eastAsia="仿宋_GB2312" w:cs="仿宋_GB2312"/>
          <w:color w:val="000000"/>
          <w:szCs w:val="32"/>
        </w:rPr>
        <w:t>为加强与长江中游城市群一体化发展、长三角G50科创走廊的交流与合作打下坚实基础。</w:t>
      </w:r>
    </w:p>
    <w:p w14:paraId="75BA366F">
      <w:pPr>
        <w:pStyle w:val="4"/>
        <w:widowControl w:val="0"/>
        <w:spacing w:line="570" w:lineRule="exact"/>
        <w:ind w:firstLine="640"/>
        <w:rPr>
          <w:rFonts w:ascii="楷体_GB2312"/>
          <w:b w:val="0"/>
          <w:bCs w:val="0"/>
          <w:color w:val="000000"/>
        </w:rPr>
      </w:pPr>
      <w:r>
        <w:rPr>
          <w:rFonts w:hint="eastAsia" w:ascii="楷体_GB2312"/>
          <w:b w:val="0"/>
          <w:bCs w:val="0"/>
          <w:color w:val="000000"/>
        </w:rPr>
        <w:t>（二）激发人才创新创业活力</w:t>
      </w:r>
    </w:p>
    <w:p w14:paraId="3F8264B9">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创新引才用才机制，坚持行政与市场、应急与谋远相结合，引进培育高层次人才围绕产业链打造人才链，深入落实“新黄石人”计划，创新“岗位+、项目+、平台+”等柔性引才方式，完善相关配套人才政策，围绕京津冀、长三角、珠三角等重点区域，精准引进一批产业发展急缺的“高精尖缺”和“卡脖子”领域人才和创新团队，进一步打破户籍、地域、身份、档案、人事关系等制约，跟踪培育一批优秀双创战略团队。建立健全“人才绿卡”制度，对引进的创新创业人才提供职称评审、社保优待、医疗保健、配偶就业、子女入学等全方位服务。</w:t>
      </w:r>
    </w:p>
    <w:p w14:paraId="403EF682">
      <w:pPr>
        <w:widowControl w:val="0"/>
        <w:spacing w:line="570" w:lineRule="exact"/>
        <w:ind w:firstLine="640"/>
        <w:rPr>
          <w:rFonts w:ascii="仿宋_GB2312" w:hAnsi="仿宋_GB2312" w:eastAsia="仿宋_GB2312" w:cs="仿宋_GB2312"/>
          <w:color w:val="000000"/>
          <w:szCs w:val="32"/>
        </w:rPr>
      </w:pPr>
    </w:p>
    <w:p w14:paraId="318CFE02">
      <w:pPr>
        <w:widowControl w:val="0"/>
        <w:numPr>
          <w:ilvl w:val="0"/>
          <w:numId w:val="1"/>
        </w:numPr>
        <w:spacing w:line="570" w:lineRule="exact"/>
        <w:ind w:firstLine="640"/>
        <w:rPr>
          <w:rFonts w:ascii="楷体_GB2312" w:eastAsia="楷体_GB2312"/>
          <w:color w:val="000000"/>
          <w:szCs w:val="32"/>
        </w:rPr>
      </w:pPr>
      <w:r>
        <w:rPr>
          <w:rFonts w:hint="eastAsia" w:ascii="楷体_GB2312" w:eastAsia="楷体_GB2312"/>
          <w:color w:val="000000"/>
          <w:szCs w:val="32"/>
        </w:rPr>
        <w:t>推进创新创业平台建设</w:t>
      </w:r>
    </w:p>
    <w:p w14:paraId="08EB8828">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围绕临空经济发展新布局，引导区内孵化器、众创空间向专业化、精细化、特色化转型，推动孵化服务由“企业集聚”向“产业培育”转变，打造孵化与创业投资结合、线上线下结合的开放式服务载体。积极打造创业咖啡、创客梦工厂、创业部落等新型“双创</w:t>
      </w:r>
      <w:r>
        <w:rPr>
          <w:rStyle w:val="33"/>
          <w:rFonts w:hint="eastAsia" w:ascii="仿宋_GB2312" w:hAnsi="仿宋_GB2312" w:eastAsia="仿宋_GB2312" w:cs="仿宋_GB2312"/>
          <w:color w:val="000000"/>
          <w:szCs w:val="32"/>
        </w:rPr>
        <w:endnoteReference w:id="5"/>
      </w:r>
      <w:r>
        <w:rPr>
          <w:rFonts w:hint="eastAsia" w:ascii="仿宋_GB2312" w:hAnsi="仿宋_GB2312" w:eastAsia="仿宋_GB2312" w:cs="仿宋_GB2312"/>
          <w:color w:val="000000"/>
          <w:szCs w:val="32"/>
        </w:rPr>
        <w:t>”平台，重点扶持湖师双创基地、湖北鄂东人力资源服务产业园等众创空间升级发展。深入实施“湖北省科技成果大转化工程”，建立市场导向、企业主体、产学研资中介结合的科技成果转化体系和技术转移长效机制。促进企业自建或与高校院所共建工程（技术）研究中心、企业技术中心、院士专家工作站等研发平台，推动全产业链、全要素、全地域创新。建立创新扶持基金及短期引导基金，集中扶持一批带动能力强的重点创新平台，创新企业创新产品。</w:t>
      </w:r>
    </w:p>
    <w:p w14:paraId="37CAC2F5">
      <w:pPr>
        <w:widowControl w:val="0"/>
        <w:spacing w:line="570" w:lineRule="exact"/>
        <w:ind w:firstLine="640"/>
        <w:rPr>
          <w:rFonts w:ascii="楷体_GB2312" w:hAnsi="Times New Roman" w:eastAsia="楷体_GB2312"/>
          <w:color w:val="000000"/>
          <w:szCs w:val="32"/>
        </w:rPr>
      </w:pPr>
      <w:r>
        <w:rPr>
          <w:rFonts w:hint="eastAsia" w:ascii="楷体_GB2312" w:hAnsi="Times New Roman" w:eastAsia="楷体_GB2312"/>
          <w:color w:val="000000"/>
          <w:szCs w:val="32"/>
        </w:rPr>
        <w:t>（四）强化企业创新主体地位</w:t>
      </w:r>
    </w:p>
    <w:p w14:paraId="6D02A688">
      <w:pPr>
        <w:widowControl w:val="0"/>
        <w:spacing w:line="570" w:lineRule="exact"/>
        <w:ind w:firstLine="640"/>
        <w:rPr>
          <w:rFonts w:ascii="仿宋_GB2312" w:eastAsia="仿宋_GB2312"/>
          <w:color w:val="000000"/>
          <w:szCs w:val="32"/>
        </w:rPr>
      </w:pPr>
      <w:r>
        <w:rPr>
          <w:rFonts w:hint="eastAsia" w:ascii="仿宋_GB2312" w:eastAsia="仿宋_GB2312"/>
          <w:color w:val="000000"/>
          <w:szCs w:val="32"/>
        </w:rPr>
        <w:t>促进技术、人才、资金等各类创新要素向企业集聚，加快培育高新技术企业。鼓励各类市场主体依托互联网、云计算等技术，盘活闲置资源，自主推进生产资料共享，充分挖掘闲置存量资源的应用潜力。</w:t>
      </w:r>
    </w:p>
    <w:p w14:paraId="425363F7">
      <w:pPr>
        <w:widowControl w:val="0"/>
        <w:numPr>
          <w:ilvl w:val="0"/>
          <w:numId w:val="2"/>
        </w:numPr>
        <w:spacing w:line="570" w:lineRule="exact"/>
        <w:ind w:firstLine="640"/>
        <w:rPr>
          <w:rFonts w:ascii="楷体_GB2312" w:hAnsi="Times New Roman" w:eastAsia="楷体_GB2312"/>
          <w:color w:val="000000"/>
          <w:szCs w:val="32"/>
        </w:rPr>
      </w:pPr>
      <w:r>
        <w:rPr>
          <w:rFonts w:hint="eastAsia" w:ascii="楷体_GB2312" w:hAnsi="Times New Roman" w:eastAsia="楷体_GB2312"/>
          <w:color w:val="000000"/>
          <w:szCs w:val="32"/>
        </w:rPr>
        <w:t>强化知识产权保护</w:t>
      </w:r>
    </w:p>
    <w:p w14:paraId="18A5BA5B">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引导支持市场主体创造和运用知识产权，以知识产权利益分享机制为纽带，促进创新成果知识产权化。培育知识产权密集型产业和知识产权示范企业。组织优秀专利项目参加专利技术对外交流活动，推动专利技术转化交易。加强知识产权保护，建立专利预警和侵权快速处理机制。</w:t>
      </w:r>
    </w:p>
    <w:p w14:paraId="74B57047">
      <w:pPr>
        <w:widowControl w:val="0"/>
        <w:numPr>
          <w:ilvl w:val="0"/>
          <w:numId w:val="2"/>
        </w:numPr>
        <w:spacing w:line="570" w:lineRule="exact"/>
        <w:ind w:firstLine="640"/>
        <w:rPr>
          <w:rStyle w:val="43"/>
          <w:rFonts w:ascii="楷体_GB2312"/>
          <w:b w:val="0"/>
          <w:bCs w:val="0"/>
          <w:color w:val="000000"/>
        </w:rPr>
      </w:pPr>
      <w:r>
        <w:rPr>
          <w:rStyle w:val="43"/>
          <w:rFonts w:hint="eastAsia" w:ascii="楷体_GB2312"/>
          <w:b w:val="0"/>
          <w:bCs w:val="0"/>
          <w:color w:val="000000"/>
        </w:rPr>
        <w:t>营造良好创新氛围。</w:t>
      </w:r>
    </w:p>
    <w:p w14:paraId="27358EE8">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弘扬科学精神和工匠精神，培育尊重知识、崇尚创造、追求卓越的企业家精神和创新文化。加强科普基础设施建设，大力推动科普信息化，发展科普产业，提高公众科技素养，引导公众参与科技创新，在全社会塑造科学理性精神。推动高等学校和企业各类科研设施向社会公众开放。</w:t>
      </w:r>
    </w:p>
    <w:bookmarkEnd w:id="74"/>
    <w:p w14:paraId="2C1D26A5">
      <w:pPr>
        <w:pStyle w:val="2"/>
        <w:widowControl w:val="0"/>
        <w:spacing w:before="0" w:after="0" w:line="570" w:lineRule="exact"/>
        <w:ind w:firstLine="640"/>
        <w:rPr>
          <w:rFonts w:ascii="方正黑体_GBK" w:eastAsia="方正黑体_GBK"/>
          <w:bCs w:val="0"/>
          <w:color w:val="000000"/>
          <w:szCs w:val="32"/>
        </w:rPr>
      </w:pPr>
      <w:r>
        <w:rPr>
          <w:rFonts w:hint="eastAsia" w:ascii="方正黑体_GBK" w:eastAsia="方正黑体_GBK"/>
          <w:bCs w:val="0"/>
          <w:color w:val="000000"/>
          <w:szCs w:val="32"/>
        </w:rPr>
        <w:t>四、推进产业临空，争创全国现代服务业试验区</w:t>
      </w:r>
    </w:p>
    <w:p w14:paraId="644EF3D5">
      <w:pPr>
        <w:pStyle w:val="4"/>
        <w:widowControl w:val="0"/>
        <w:spacing w:line="570" w:lineRule="exact"/>
        <w:ind w:firstLine="640"/>
        <w:rPr>
          <w:rFonts w:ascii="楷体_GB2312"/>
          <w:b w:val="0"/>
          <w:bCs w:val="0"/>
          <w:color w:val="000000"/>
        </w:rPr>
      </w:pPr>
      <w:r>
        <w:rPr>
          <w:rFonts w:hint="eastAsia" w:ascii="楷体_GB2312"/>
          <w:b w:val="0"/>
          <w:bCs w:val="0"/>
          <w:color w:val="000000"/>
        </w:rPr>
        <w:t>（一）努力构建临空现代服务业新业态</w:t>
      </w:r>
    </w:p>
    <w:p w14:paraId="609DDB16">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抓“强增量”，以黄石港临空商务产业园为核心，加快征地拆迁，腾退发展空间，实施开发建设，加大招商引资力度；加快发展“互联网+”信息、物流、科技服务、人力资源、跨境电商等生产性服务业，抢注临空商标。立足释放“互联网+”对服务业发展的叠加融合、倍增效应，承担黄石市现代服务业的区域级服务功能，打造“黄石服务品牌”，拓展生产性服务业服务半径。建设具有全国辐射能力的信息服务中心、具有华中影响力的流通中心与设计创意中心，建设成为鄂东总部经济汇聚新高地。</w:t>
      </w:r>
    </w:p>
    <w:p w14:paraId="78C2AAB9">
      <w:pPr>
        <w:pStyle w:val="4"/>
        <w:widowControl w:val="0"/>
        <w:spacing w:line="570" w:lineRule="exact"/>
        <w:ind w:firstLine="640"/>
        <w:rPr>
          <w:rFonts w:ascii="楷体_GB2312"/>
          <w:b w:val="0"/>
          <w:bCs w:val="0"/>
          <w:color w:val="000000"/>
        </w:rPr>
      </w:pPr>
      <w:r>
        <w:rPr>
          <w:rFonts w:hint="eastAsia" w:ascii="楷体_GB2312"/>
          <w:b w:val="0"/>
          <w:bCs w:val="0"/>
          <w:color w:val="000000"/>
        </w:rPr>
        <w:t>（二）大力促进传统服务业转型升级</w:t>
      </w:r>
    </w:p>
    <w:p w14:paraId="7ACD9A2F">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抓“优存量”，加快解决商业城历史遗留问题，盘活闲置资产，加快传统商贸服务业转型升级。加快生活性服务业数字化转型，牢牢把握消费升级的新趋势，依托现有发展基础，优化服务供给水平。以钟楼商圈、文化宫商圈、摩尔城商圈和万达商圈四大商圈为核心，紧盯中高端消费品和现代服务产业，大力发展线上线下融合的业务发展模式，发展体验式、综合式的新消费体验。进一步完善周边商业配套措施，力争建成30家以上便民式肉菜店。提升综合交通、公共安全、环境卫生等公共设施与公共空间服务水平，保障商业发展空间，进一步活跃夜间商业和市场，打造夜间消费场景和集聚区，为经济发展聚集人气吸引客流，让黄石港区成为留得住产业、留得住企业、留得住人才的富集地。</w:t>
      </w:r>
    </w:p>
    <w:p w14:paraId="7746B920">
      <w:pPr>
        <w:pStyle w:val="4"/>
        <w:widowControl w:val="0"/>
        <w:spacing w:line="570" w:lineRule="exact"/>
        <w:ind w:firstLine="640"/>
        <w:rPr>
          <w:rFonts w:ascii="楷体_GB2312"/>
          <w:b w:val="0"/>
          <w:bCs w:val="0"/>
          <w:color w:val="000000"/>
        </w:rPr>
      </w:pPr>
      <w:r>
        <w:rPr>
          <w:rFonts w:hint="eastAsia" w:ascii="楷体_GB2312"/>
          <w:b w:val="0"/>
          <w:bCs w:val="0"/>
          <w:color w:val="000000"/>
        </w:rPr>
        <w:t>（三）重点发展十大产业</w:t>
      </w:r>
    </w:p>
    <w:p w14:paraId="11AE6091">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以合理定位、高端业态、高品质的城市综合服务和良好的产业发展政策，壮大十大大临空产业集群，完善临空产业发展软环境，抢占城市发展先机。</w:t>
      </w:r>
    </w:p>
    <w:p w14:paraId="1D4E2488">
      <w:pPr>
        <w:widowControl w:val="0"/>
        <w:spacing w:line="570" w:lineRule="exact"/>
        <w:ind w:firstLine="640"/>
        <w:rPr>
          <w:rFonts w:ascii="仿宋_GB2312" w:hAnsi="仿宋_GB2312" w:eastAsia="仿宋_GB2312" w:cs="仿宋_GB2312"/>
          <w:color w:val="000000"/>
          <w:szCs w:val="32"/>
        </w:rPr>
      </w:pPr>
      <w:bookmarkStart w:id="92" w:name="_Toc8464"/>
      <w:bookmarkStart w:id="93" w:name="_Toc24313"/>
      <w:bookmarkStart w:id="94" w:name="_Toc8073"/>
      <w:bookmarkStart w:id="95" w:name="_Toc30235"/>
      <w:r>
        <w:rPr>
          <w:rStyle w:val="73"/>
          <w:rFonts w:hint="eastAsia" w:ascii="仿宋_GB2312" w:hAnsi="方正仿宋_GBK" w:eastAsia="仿宋_GB2312" w:cs="方正仿宋_GBK"/>
          <w:b w:val="0"/>
          <w:bCs w:val="0"/>
          <w:color w:val="000000"/>
        </w:rPr>
        <w:t>1、总部经济。</w:t>
      </w:r>
      <w:bookmarkEnd w:id="92"/>
      <w:bookmarkEnd w:id="93"/>
      <w:bookmarkEnd w:id="94"/>
      <w:bookmarkEnd w:id="95"/>
      <w:r>
        <w:rPr>
          <w:rFonts w:hint="eastAsia" w:ascii="仿宋_GB2312" w:hAnsi="仿宋_GB2312" w:eastAsia="仿宋_GB2312" w:cs="仿宋_GB2312"/>
          <w:color w:val="000000"/>
          <w:szCs w:val="32"/>
        </w:rPr>
        <w:t>充分发挥临空区位优势，依托区域性高水平的城市服务职能发展总部经济。加快推进花湖街道办事处锁前及周边地块开发，带动以青港湖周边城市旧改地块为载体的总部园区规模化发展，构建总部经济核心生态圈。加快推进湖北西有新经济产业园、跨境电商综合服务平台、金划算互联网人力资源产业园等新经济服务业项目建设，吸引国内外知名企业总部集聚发展。支持发展“互联网+职业教育”模式，推动教育集团总部与高端教育业态聚集。</w:t>
      </w:r>
    </w:p>
    <w:p w14:paraId="65B65F3A">
      <w:pPr>
        <w:widowControl w:val="0"/>
        <w:spacing w:line="570" w:lineRule="exact"/>
        <w:ind w:firstLine="640"/>
        <w:rPr>
          <w:rFonts w:ascii="仿宋_GB2312" w:hAnsi="仿宋_GB2312" w:eastAsia="仿宋_GB2312" w:cs="仿宋_GB2312"/>
          <w:color w:val="000000"/>
          <w:szCs w:val="32"/>
        </w:rPr>
      </w:pPr>
      <w:bookmarkStart w:id="96" w:name="_Toc29370"/>
      <w:bookmarkStart w:id="97" w:name="_Toc18259"/>
      <w:bookmarkStart w:id="98" w:name="_Toc132"/>
      <w:bookmarkStart w:id="99" w:name="_Toc25363"/>
      <w:r>
        <w:rPr>
          <w:rStyle w:val="73"/>
          <w:rFonts w:hint="eastAsia" w:ascii="仿宋_GB2312" w:hAnsi="方正仿宋_GBK" w:eastAsia="仿宋_GB2312" w:cs="方正仿宋_GBK"/>
          <w:b w:val="0"/>
          <w:bCs w:val="0"/>
          <w:color w:val="000000"/>
        </w:rPr>
        <w:t>2、会展经济。</w:t>
      </w:r>
      <w:bookmarkEnd w:id="96"/>
      <w:bookmarkEnd w:id="97"/>
      <w:bookmarkEnd w:id="98"/>
      <w:bookmarkEnd w:id="99"/>
      <w:r>
        <w:rPr>
          <w:rFonts w:hint="eastAsia" w:ascii="仿宋_GB2312" w:hAnsi="仿宋_GB2312" w:eastAsia="仿宋_GB2312" w:cs="仿宋_GB2312"/>
          <w:color w:val="000000"/>
          <w:szCs w:val="32"/>
        </w:rPr>
        <w:t>瞄准航空枢纽配套服务功能错位发展，以建设鄂东区域性会展中心为目标，将方家墩地块作为基础起步区，建设会展经济产业园，引进会展行业龙头企业，优化会展经济专业配套服务，形成会展经济商圈、产业链和生态链。</w:t>
      </w:r>
    </w:p>
    <w:p w14:paraId="78D01EA2">
      <w:pPr>
        <w:widowControl w:val="0"/>
        <w:spacing w:line="570" w:lineRule="exact"/>
        <w:ind w:firstLine="640"/>
        <w:rPr>
          <w:rFonts w:ascii="仿宋_GB2312" w:hAnsi="仿宋_GB2312" w:eastAsia="仿宋_GB2312" w:cs="仿宋_GB2312"/>
          <w:color w:val="000000"/>
          <w:szCs w:val="32"/>
        </w:rPr>
      </w:pPr>
      <w:bookmarkStart w:id="100" w:name="_Toc5956"/>
      <w:bookmarkStart w:id="101" w:name="_Toc30285"/>
      <w:bookmarkStart w:id="102" w:name="_Toc26150"/>
      <w:bookmarkStart w:id="103" w:name="_Toc14216"/>
      <w:r>
        <w:rPr>
          <w:rStyle w:val="73"/>
          <w:rFonts w:hint="eastAsia" w:ascii="仿宋_GB2312" w:hAnsi="方正仿宋_GBK" w:eastAsia="仿宋_GB2312" w:cs="方正仿宋_GBK"/>
          <w:b w:val="0"/>
          <w:bCs w:val="0"/>
          <w:color w:val="000000"/>
        </w:rPr>
        <w:t>3、数字经济。</w:t>
      </w:r>
      <w:bookmarkEnd w:id="100"/>
      <w:bookmarkEnd w:id="101"/>
      <w:bookmarkEnd w:id="102"/>
      <w:bookmarkEnd w:id="103"/>
      <w:r>
        <w:rPr>
          <w:rFonts w:hint="eastAsia" w:ascii="仿宋_GB2312" w:hAnsi="仿宋_GB2312" w:eastAsia="仿宋_GB2312" w:cs="仿宋_GB2312"/>
          <w:color w:val="000000"/>
          <w:szCs w:val="32"/>
        </w:rPr>
        <w:t>大力发展互联网金融、人工智能应用、物联网等数字经济，加大新型基础设施投资力度，落实国家战略性新兴产业发展规划，推进数字创意产业作为黄石港区发展现代服务业的重要产业链条与发展方向，</w:t>
      </w:r>
      <w:r>
        <w:t>加快黄石港区数字档案馆建设</w:t>
      </w:r>
      <w:r>
        <w:rPr>
          <w:rFonts w:hint="eastAsia"/>
        </w:rPr>
        <w:t>,</w:t>
      </w:r>
      <w:r>
        <w:rPr>
          <w:rFonts w:hint="eastAsia" w:ascii="仿宋_GB2312" w:hAnsi="仿宋_GB2312" w:eastAsia="仿宋_GB2312" w:cs="仿宋_GB2312"/>
          <w:color w:val="000000"/>
          <w:szCs w:val="32"/>
        </w:rPr>
        <w:t>推动内容创作、文化创意、版权利用作为数字创意产业的核心发展方向，推动体育、影视与传媒业、旅游业与健康业等传统产业数字化融合。推进中南文化创意产业园发展壮大，打造磁湖文化创意产业基地。</w:t>
      </w:r>
    </w:p>
    <w:p w14:paraId="2D8689A9">
      <w:pPr>
        <w:widowControl w:val="0"/>
        <w:spacing w:line="570" w:lineRule="exact"/>
        <w:ind w:firstLine="640"/>
        <w:rPr>
          <w:rFonts w:ascii="仿宋_GB2312" w:hAnsi="仿宋_GB2312" w:eastAsia="仿宋_GB2312" w:cs="仿宋_GB2312"/>
          <w:color w:val="000000"/>
          <w:szCs w:val="32"/>
        </w:rPr>
      </w:pPr>
      <w:bookmarkStart w:id="104" w:name="_Toc29430"/>
      <w:bookmarkStart w:id="105" w:name="_Toc17777"/>
      <w:bookmarkStart w:id="106" w:name="_Toc23975"/>
      <w:bookmarkStart w:id="107" w:name="_Toc21612"/>
      <w:r>
        <w:rPr>
          <w:rStyle w:val="73"/>
          <w:rFonts w:hint="eastAsia" w:ascii="仿宋_GB2312" w:hAnsi="方正仿宋_GBK" w:eastAsia="仿宋_GB2312" w:cs="方正仿宋_GBK"/>
          <w:b w:val="0"/>
          <w:bCs w:val="0"/>
          <w:color w:val="000000"/>
        </w:rPr>
        <w:t>4、智慧供应链。</w:t>
      </w:r>
      <w:bookmarkEnd w:id="104"/>
      <w:bookmarkEnd w:id="105"/>
      <w:bookmarkEnd w:id="106"/>
      <w:bookmarkEnd w:id="107"/>
      <w:r>
        <w:rPr>
          <w:rFonts w:hint="eastAsia" w:ascii="仿宋_GB2312" w:hAnsi="仿宋_GB2312" w:eastAsia="仿宋_GB2312" w:cs="仿宋_GB2312"/>
          <w:color w:val="000000"/>
          <w:szCs w:val="32"/>
        </w:rPr>
        <w:t>以供应链与互联网、物联网深度融合为路径，打造大数据支撑、网络化共享、智能化协作的智慧供应链体系。围绕物流龙头企业，综合布局现代物流产业。瞄准航空物流产业补链和功能配套，发展高附加值区域性产品物流、城市配送、绿色物流、逆向物流等服务。鼓励和支持龙头企业发展，建设九州网等物流平台。规划建设“互联网+物流”智慧产业园等项目，做实做优义乌电商产业园等专业楼宇。</w:t>
      </w:r>
    </w:p>
    <w:p w14:paraId="75AEFA3C">
      <w:pPr>
        <w:widowControl w:val="0"/>
        <w:spacing w:line="570" w:lineRule="exact"/>
        <w:ind w:firstLine="640"/>
        <w:rPr>
          <w:rFonts w:ascii="仿宋_GB2312" w:hAnsi="仿宋_GB2312" w:eastAsia="仿宋_GB2312" w:cs="仿宋_GB2312"/>
          <w:color w:val="000000"/>
          <w:szCs w:val="32"/>
        </w:rPr>
      </w:pPr>
      <w:bookmarkStart w:id="108" w:name="_Toc109"/>
      <w:bookmarkStart w:id="109" w:name="_Toc13390"/>
      <w:bookmarkStart w:id="110" w:name="_Toc21405"/>
      <w:bookmarkStart w:id="111" w:name="_Toc25290"/>
      <w:r>
        <w:rPr>
          <w:rStyle w:val="73"/>
          <w:rFonts w:hint="eastAsia" w:ascii="仿宋_GB2312" w:hAnsi="方正仿宋_GBK" w:eastAsia="仿宋_GB2312" w:cs="方正仿宋_GBK"/>
          <w:b w:val="0"/>
          <w:bCs w:val="0"/>
          <w:color w:val="000000"/>
        </w:rPr>
        <w:t>5、生物医药。</w:t>
      </w:r>
      <w:bookmarkEnd w:id="108"/>
      <w:bookmarkEnd w:id="109"/>
      <w:bookmarkEnd w:id="110"/>
      <w:bookmarkEnd w:id="111"/>
      <w:r>
        <w:rPr>
          <w:rFonts w:hint="eastAsia" w:ascii="仿宋_GB2312" w:hAnsi="仿宋_GB2312" w:eastAsia="仿宋_GB2312" w:cs="仿宋_GB2312"/>
          <w:color w:val="000000"/>
          <w:szCs w:val="32"/>
        </w:rPr>
        <w:t>围绕现代中药、医药中间体、医疗设备、干细胞生产制备和储存等领域关键技术，重大产品的创新和产业化，以创新药物品种及诊疗智能化为发展方向，紧密对接高品质医疗与医药研发资源，加大企业技术研发力度，大幅提高生物医药领域及其上下游环节的核心竞争力。</w:t>
      </w:r>
    </w:p>
    <w:p w14:paraId="544710DD">
      <w:pPr>
        <w:widowControl w:val="0"/>
        <w:spacing w:line="570" w:lineRule="exact"/>
        <w:ind w:firstLine="640"/>
        <w:rPr>
          <w:rFonts w:ascii="仿宋_GB2312" w:hAnsi="仿宋_GB2312" w:eastAsia="仿宋_GB2312" w:cs="仿宋_GB2312"/>
          <w:color w:val="000000"/>
          <w:szCs w:val="32"/>
        </w:rPr>
      </w:pPr>
      <w:bookmarkStart w:id="112" w:name="_Toc29762"/>
      <w:bookmarkStart w:id="113" w:name="_Toc16333"/>
      <w:bookmarkStart w:id="114" w:name="_Toc7089"/>
      <w:bookmarkStart w:id="115" w:name="_Toc31445"/>
      <w:r>
        <w:rPr>
          <w:rStyle w:val="73"/>
          <w:rFonts w:hint="eastAsia" w:ascii="仿宋_GB2312" w:hAnsi="方正仿宋_GBK" w:eastAsia="仿宋_GB2312" w:cs="方正仿宋_GBK"/>
          <w:b w:val="0"/>
          <w:bCs w:val="0"/>
          <w:color w:val="000000"/>
        </w:rPr>
        <w:t>6、信息科技。</w:t>
      </w:r>
      <w:bookmarkEnd w:id="112"/>
      <w:bookmarkEnd w:id="113"/>
      <w:bookmarkEnd w:id="114"/>
      <w:bookmarkEnd w:id="115"/>
      <w:r>
        <w:rPr>
          <w:rFonts w:hint="eastAsia" w:ascii="仿宋_GB2312" w:hAnsi="仿宋_GB2312" w:eastAsia="仿宋_GB2312" w:cs="仿宋_GB2312"/>
          <w:color w:val="000000"/>
          <w:szCs w:val="32"/>
        </w:rPr>
        <w:t>围绕信息技术服务业，发展临空产业及新经济业态软件开发服务、信息咨询服务、数据处理存储服务、区块链技术研发及应用服务、信息系统集成服务等，鼓励发展云计算、大数据、物联网等信息技术应用的新兴业态。引进各类数据中心和信息中心，布局数字城市与智慧城市建设，推进黄石港区社区一体化平台和政务大厅信息化建设等项目建设。</w:t>
      </w:r>
    </w:p>
    <w:p w14:paraId="2A49DB41">
      <w:pPr>
        <w:widowControl w:val="0"/>
        <w:spacing w:line="570" w:lineRule="exact"/>
        <w:ind w:firstLine="640"/>
        <w:rPr>
          <w:rFonts w:ascii="仿宋_GB2312" w:hAnsi="仿宋_GB2312" w:eastAsia="仿宋_GB2312" w:cs="仿宋_GB2312"/>
          <w:color w:val="000000"/>
          <w:szCs w:val="32"/>
        </w:rPr>
      </w:pPr>
      <w:bookmarkStart w:id="116" w:name="_Toc6"/>
      <w:bookmarkStart w:id="117" w:name="_Toc32202"/>
      <w:bookmarkStart w:id="118" w:name="_Toc22906"/>
      <w:bookmarkStart w:id="119" w:name="_Toc4386"/>
      <w:r>
        <w:rPr>
          <w:rStyle w:val="73"/>
          <w:rFonts w:hint="eastAsia" w:ascii="仿宋_GB2312" w:hAnsi="方正仿宋_GBK" w:eastAsia="仿宋_GB2312" w:cs="方正仿宋_GBK"/>
          <w:b w:val="0"/>
          <w:bCs w:val="0"/>
          <w:color w:val="000000"/>
        </w:rPr>
        <w:t>7、商贸服务。</w:t>
      </w:r>
      <w:bookmarkEnd w:id="116"/>
      <w:bookmarkEnd w:id="117"/>
      <w:bookmarkEnd w:id="118"/>
      <w:bookmarkEnd w:id="119"/>
      <w:r>
        <w:rPr>
          <w:rFonts w:hint="eastAsia" w:ascii="仿宋_GB2312" w:hAnsi="仿宋_GB2312" w:eastAsia="仿宋_GB2312" w:cs="仿宋_GB2312"/>
          <w:color w:val="000000"/>
          <w:szCs w:val="32"/>
        </w:rPr>
        <w:t>大力推动新零售发展，充分发挥黄石港区商业商贸服务传统优势，以创新思路发展临空配套新型商业业态，以体验感消费等模式积聚人气，结合钟楼商圈、文化宫商圈、摩尔城商圈和万达商圈四大传统商圈以及特色商业街区打造，提供高品质配套商业和生活配套服务，树立黄石港区临空特色休闲商业品牌。</w:t>
      </w:r>
    </w:p>
    <w:p w14:paraId="4ADCA77B">
      <w:pPr>
        <w:widowControl w:val="0"/>
        <w:spacing w:line="570" w:lineRule="exact"/>
        <w:ind w:firstLine="640"/>
        <w:rPr>
          <w:rFonts w:ascii="仿宋_GB2312" w:hAnsi="仿宋_GB2312" w:eastAsia="仿宋_GB2312" w:cs="仿宋_GB2312"/>
          <w:color w:val="000000"/>
          <w:szCs w:val="32"/>
        </w:rPr>
      </w:pPr>
      <w:bookmarkStart w:id="120" w:name="_Toc10850"/>
      <w:bookmarkStart w:id="121" w:name="_Toc721"/>
      <w:bookmarkStart w:id="122" w:name="_Toc22687"/>
      <w:bookmarkStart w:id="123" w:name="_Toc30287"/>
      <w:r>
        <w:rPr>
          <w:rStyle w:val="73"/>
          <w:rFonts w:hint="eastAsia" w:ascii="仿宋_GB2312" w:hAnsi="方正仿宋_GBK" w:eastAsia="仿宋_GB2312" w:cs="方正仿宋_GBK"/>
          <w:b w:val="0"/>
          <w:bCs w:val="0"/>
          <w:color w:val="000000"/>
        </w:rPr>
        <w:t>8、人力资源。</w:t>
      </w:r>
      <w:bookmarkEnd w:id="120"/>
      <w:bookmarkEnd w:id="121"/>
      <w:bookmarkEnd w:id="122"/>
      <w:bookmarkEnd w:id="123"/>
      <w:r>
        <w:rPr>
          <w:rFonts w:hint="eastAsia" w:ascii="仿宋_GB2312" w:hAnsi="仿宋_GB2312" w:eastAsia="仿宋_GB2312" w:cs="仿宋_GB2312"/>
          <w:color w:val="000000"/>
          <w:szCs w:val="32"/>
        </w:rPr>
        <w:t>支持湖北师范大学创新创业学院建设创业教育高地，依托湖北鄂东人力资源服务产业园，深化人力资源要素市场配套改革，积极引入人力资源头部平台企业、数字化人力资源服务平台等重点项目，将黄石港区打造成鄂东地区人力资源服务业集聚新高地。</w:t>
      </w:r>
    </w:p>
    <w:p w14:paraId="5886542A">
      <w:pPr>
        <w:widowControl w:val="0"/>
        <w:spacing w:line="570" w:lineRule="exact"/>
        <w:ind w:firstLine="640"/>
        <w:rPr>
          <w:rStyle w:val="98"/>
        </w:rPr>
      </w:pPr>
      <w:bookmarkStart w:id="124" w:name="_Toc12896"/>
      <w:bookmarkStart w:id="125" w:name="_Toc10707"/>
      <w:bookmarkStart w:id="126" w:name="_Toc10003"/>
      <w:bookmarkStart w:id="127" w:name="_Toc8664"/>
      <w:r>
        <w:rPr>
          <w:rStyle w:val="73"/>
          <w:rFonts w:hint="eastAsia" w:ascii="仿宋_GB2312" w:hAnsi="方正仿宋_GBK" w:eastAsia="仿宋_GB2312" w:cs="方正仿宋_GBK"/>
          <w:b w:val="0"/>
          <w:bCs w:val="0"/>
          <w:color w:val="000000"/>
        </w:rPr>
        <w:t>9、智能制造。</w:t>
      </w:r>
      <w:bookmarkEnd w:id="124"/>
      <w:bookmarkEnd w:id="125"/>
      <w:bookmarkEnd w:id="126"/>
      <w:bookmarkEnd w:id="127"/>
      <w:r>
        <w:rPr>
          <w:rStyle w:val="98"/>
          <w:rFonts w:hint="eastAsia"/>
        </w:rPr>
        <w:t>加强工业园区生产生活基础设施建设，着力提高制造业信息化和智能化水平，重点发展、引进临空智能制造产业，机器人及智能装备产业，生物医药产业，以高性能结构材料为重点的新材料产业。力争将临空智造产业园建设成产业集聚度高、科技实力强、发展动力强劲的新一代特色工业园区。</w:t>
      </w:r>
    </w:p>
    <w:p w14:paraId="7BF58618">
      <w:pPr>
        <w:widowControl w:val="0"/>
        <w:spacing w:line="570" w:lineRule="exact"/>
        <w:ind w:firstLine="640"/>
        <w:rPr>
          <w:rFonts w:ascii="仿宋_GB2312" w:hAnsi="仿宋_GB2312" w:eastAsia="仿宋_GB2312" w:cs="仿宋_GB2312"/>
          <w:color w:val="000000"/>
          <w:szCs w:val="32"/>
        </w:rPr>
      </w:pPr>
      <w:bookmarkStart w:id="128" w:name="_Toc12282"/>
      <w:bookmarkStart w:id="129" w:name="_Toc31628"/>
      <w:bookmarkStart w:id="130" w:name="_Toc5472"/>
      <w:bookmarkStart w:id="131" w:name="_Toc29082"/>
      <w:r>
        <w:rPr>
          <w:rStyle w:val="73"/>
          <w:rFonts w:hint="eastAsia" w:ascii="仿宋_GB2312" w:hAnsi="方正仿宋_GBK" w:eastAsia="仿宋_GB2312" w:cs="方正仿宋_GBK"/>
          <w:b w:val="0"/>
          <w:bCs w:val="0"/>
          <w:color w:val="000000"/>
        </w:rPr>
        <w:t>10、文化旅游。</w:t>
      </w:r>
      <w:bookmarkEnd w:id="128"/>
      <w:bookmarkEnd w:id="129"/>
      <w:bookmarkEnd w:id="130"/>
      <w:bookmarkEnd w:id="131"/>
      <w:r>
        <w:rPr>
          <w:rFonts w:hint="eastAsia" w:ascii="仿宋_GB2312" w:hAnsi="仿宋_GB2312" w:eastAsia="仿宋_GB2312" w:cs="仿宋_GB2312"/>
          <w:color w:val="000000"/>
          <w:szCs w:val="32"/>
        </w:rPr>
        <w:t>构筑全域生态旅游体系，以“山水”、“工业”、“临空”文化为主题，大力建设沿江文化旅游风光带、滨湖生态旅游带、航空主题游览路线，厚植工业文化体验。发展航空文旅。依托青港湖、大众山森林公园等良好的自然生态本底，应对城市级公园配套需求与临空产业人群游憩休闲刚性需求，努力建设区域航空旅游目的地。支持市场主体发展演艺娱乐、艺术品原创，推动磁湖梦演艺项目升级，打造文化宫文玩特色街、鄂东商城文创小镇等文创旅游项目。</w:t>
      </w:r>
    </w:p>
    <w:p w14:paraId="64ED7FD0">
      <w:pPr>
        <w:pStyle w:val="4"/>
        <w:widowControl w:val="0"/>
        <w:spacing w:line="570" w:lineRule="exact"/>
        <w:ind w:firstLine="640"/>
        <w:rPr>
          <w:rFonts w:ascii="楷体_GB2312"/>
          <w:b w:val="0"/>
          <w:bCs w:val="0"/>
          <w:color w:val="000000"/>
        </w:rPr>
      </w:pPr>
      <w:r>
        <w:rPr>
          <w:rFonts w:hint="eastAsia" w:ascii="楷体_GB2312"/>
          <w:b w:val="0"/>
          <w:bCs w:val="0"/>
          <w:color w:val="000000"/>
        </w:rPr>
        <w:t>（四）着力打造现代服务业发展平台</w:t>
      </w:r>
    </w:p>
    <w:p w14:paraId="57523D8D">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围绕新的发展定位和空间布局，以“一楼一特色、一楼一园区”为目标，加快十大“四新”经济产业园的布局建设，形成一批特色鲜明、附加值高、带动力强的现代服务业集群，带动产业链企业不断聚集，产业发展模式不断升级。做优做强人力资源产业园、供应链产业园、直播经济产业园、中南文化产业园；建成建好环湖大学科创园、独栋企业总部产业园；谋划规划临空商务会展产业园、空港智造产业园、跨境电商产业园、金融信息产业园。力争“十四五”末建成年纳税5000万元以上园区10个（其中5个过亿元）。</w:t>
      </w:r>
    </w:p>
    <w:p w14:paraId="10191D54">
      <w:pPr>
        <w:pStyle w:val="4"/>
        <w:widowControl w:val="0"/>
        <w:spacing w:line="570" w:lineRule="exact"/>
        <w:ind w:firstLine="640"/>
        <w:rPr>
          <w:rFonts w:ascii="楷体_GB2312"/>
          <w:b w:val="0"/>
          <w:bCs w:val="0"/>
          <w:color w:val="000000"/>
        </w:rPr>
      </w:pPr>
      <w:r>
        <w:rPr>
          <w:rFonts w:hint="eastAsia" w:ascii="楷体_GB2312"/>
          <w:b w:val="0"/>
          <w:bCs w:val="0"/>
          <w:color w:val="000000"/>
        </w:rPr>
        <w:t>（五）积极促进二三产业融合发展</w:t>
      </w:r>
    </w:p>
    <w:p w14:paraId="2EB62F2C">
      <w:pPr>
        <w:widowControl w:val="0"/>
        <w:spacing w:line="570" w:lineRule="exact"/>
        <w:ind w:firstLine="640"/>
        <w:rPr>
          <w:rFonts w:ascii="仿宋_GB2312" w:eastAsia="仿宋_GB2312"/>
          <w:color w:val="000000"/>
          <w:szCs w:val="32"/>
        </w:rPr>
      </w:pPr>
      <w:r>
        <w:rPr>
          <w:rFonts w:hint="eastAsia" w:ascii="仿宋_GB2312" w:hAnsi="仿宋_GB2312" w:eastAsia="仿宋_GB2312" w:cs="仿宋_GB2312"/>
          <w:color w:val="000000"/>
          <w:szCs w:val="32"/>
        </w:rPr>
        <w:t>找准临空商务产业园、临空智能智造园“一主一副”，“承接反哺”定位，以发挥多元化融合主体作用为切入点，全面推动现代服务业和先进制造业融合发展。利用黄石雄厚的制造业基础带动生产性服务业快速发展，为黄石港区现代服务业带来就业人口、产业机遇。同时利用现代服务业为制造业提供更好专业化服务。重点发展生物医药、生物工程、空港智造、智慧物流、智能装备制造等现代产业，加快工业互联网创新应用、推广柔性化定制、发展共享平台，优化供应链管理，</w:t>
      </w:r>
      <w:r>
        <w:rPr>
          <w:rFonts w:hint="eastAsia" w:ascii="仿宋_GB2312" w:eastAsia="仿宋_GB2312"/>
          <w:color w:val="000000"/>
          <w:szCs w:val="32"/>
        </w:rPr>
        <w:t>促进二三产业融合联动发展，建设质量强区。力争</w:t>
      </w:r>
      <w:r>
        <w:rPr>
          <w:rFonts w:hint="eastAsia" w:ascii="仿宋_GB2312" w:hAnsi="仿宋_GB2312" w:eastAsia="仿宋_GB2312" w:cs="仿宋_GB2312"/>
          <w:color w:val="000000"/>
          <w:szCs w:val="32"/>
        </w:rPr>
        <w:t>到“十四五”末，形成一批创新活跃、效益显著、质量卓越、带动效应突出的深度融合发展企业和平台，</w:t>
      </w:r>
      <w:r>
        <w:rPr>
          <w:rFonts w:hint="eastAsia" w:ascii="仿宋_GB2312" w:eastAsia="仿宋_GB2312"/>
          <w:color w:val="000000"/>
          <w:szCs w:val="32"/>
        </w:rPr>
        <w:t>把黄石港</w:t>
      </w:r>
      <w:r>
        <w:rPr>
          <w:rFonts w:hint="eastAsia" w:ascii="仿宋_GB2312" w:hAnsi="仿宋_GB2312" w:eastAsia="仿宋_GB2312" w:cs="仿宋_GB2312"/>
          <w:color w:val="000000"/>
          <w:szCs w:val="32"/>
        </w:rPr>
        <w:t>临空智造产业园</w:t>
      </w:r>
      <w:r>
        <w:rPr>
          <w:rFonts w:hint="eastAsia" w:ascii="仿宋_GB2312" w:eastAsia="仿宋_GB2312"/>
          <w:color w:val="000000"/>
          <w:szCs w:val="32"/>
        </w:rPr>
        <w:t>建设成为</w:t>
      </w:r>
      <w:bookmarkStart w:id="132" w:name="_Hlk59785656"/>
      <w:r>
        <w:rPr>
          <w:rFonts w:hint="eastAsia" w:ascii="仿宋_GB2312" w:eastAsia="仿宋_GB2312"/>
          <w:color w:val="000000"/>
          <w:szCs w:val="32"/>
        </w:rPr>
        <w:t>补链航空物流业</w:t>
      </w:r>
      <w:bookmarkEnd w:id="132"/>
      <w:r>
        <w:rPr>
          <w:rFonts w:hint="eastAsia" w:ascii="仿宋_GB2312" w:eastAsia="仿宋_GB2312"/>
          <w:color w:val="000000"/>
          <w:szCs w:val="32"/>
        </w:rPr>
        <w:t>、助推黄石先进制造业的临空智造产业园。</w:t>
      </w:r>
    </w:p>
    <w:p w14:paraId="1C931B74">
      <w:pPr>
        <w:pStyle w:val="95"/>
      </w:pPr>
      <w:r>
        <w:rPr>
          <w:rFonts w:hint="eastAsia"/>
        </w:rPr>
        <w:t>专栏2　服务业重点工程</w:t>
      </w:r>
    </w:p>
    <w:p w14:paraId="723AB7DD">
      <w:pPr>
        <w:widowControl w:val="0"/>
        <w:spacing w:line="570" w:lineRule="exact"/>
        <w:ind w:firstLine="640"/>
        <w:jc w:val="center"/>
        <w:rPr>
          <w:rFonts w:ascii="仿宋_GB2312" w:eastAsia="仿宋_GB2312"/>
          <w:color w:val="000000"/>
          <w:szCs w:val="32"/>
        </w:rPr>
      </w:pPr>
      <w:r>
        <w:rPr>
          <w:rFonts w:ascii="仿宋_GB2312" w:hAnsi="仿宋_GB2312" w:eastAsia="仿宋_GB2312" w:cs="仿宋_GB2312"/>
          <w:color w:val="000000"/>
          <w:szCs w:val="32"/>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94615</wp:posOffset>
                </wp:positionV>
                <wp:extent cx="5507990" cy="2160270"/>
                <wp:effectExtent l="4445" t="4445" r="12065" b="6985"/>
                <wp:wrapNone/>
                <wp:docPr id="6" name="文本框 3"/>
                <wp:cNvGraphicFramePr/>
                <a:graphic xmlns:a="http://schemas.openxmlformats.org/drawingml/2006/main">
                  <a:graphicData uri="http://schemas.microsoft.com/office/word/2010/wordprocessingShape">
                    <wps:wsp>
                      <wps:cNvSpPr txBox="1">
                        <a:spLocks noRot="1" noChangeArrowheads="1"/>
                      </wps:cNvSpPr>
                      <wps:spPr bwMode="auto">
                        <a:xfrm>
                          <a:off x="0" y="0"/>
                          <a:ext cx="5347970" cy="2195195"/>
                        </a:xfrm>
                        <a:prstGeom prst="rect">
                          <a:avLst/>
                        </a:prstGeom>
                        <a:solidFill>
                          <a:srgbClr val="FFFFFF"/>
                        </a:solidFill>
                        <a:ln w="9525">
                          <a:solidFill>
                            <a:srgbClr val="000000"/>
                          </a:solidFill>
                          <a:miter lim="800000"/>
                        </a:ln>
                        <a:effectLst/>
                      </wps:spPr>
                      <wps:txbx>
                        <w:txbxContent>
                          <w:p w14:paraId="338E4703">
                            <w:pPr>
                              <w:spacing w:line="52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湖北西有新经济产业园项目、“互联网+物流”智慧产业园、跨境电商综合服务平台、国贸天街、武汉东文创园、环湖大学科创园、鄂东商城文创小镇、儿童公园改扩建工程（三期）、城市滨江码头历史文化街区、文鑫天成现代服务业集聚区、中梁滨江壹号商业综合体、中央文化区、地质里文化历史街区、黄石港区便民肉菜店建设工程</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3.7pt;margin-top:7.45pt;height:170.1pt;width:433.7pt;z-index:251659264;mso-width-relative:page;mso-height-relative:page;" fillcolor="#FFFFFF" filled="t" stroked="t" coordsize="21600,21600" o:gfxdata="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93h/vYAAAACAEAAA8A&#10;AAAAAAAAAQAgAAAAIgAAAGRycy9kb3ducmV2LnhtbFBLAQIUABQAAAAIAIdO4kDse8QJUAIAAKAE&#10;AAAOAAAAAAAAAAEAIAAAACcBAABkcnMvZTJvRG9jLnhtbFBLBQYAAAAABgAGAFkBAADpBQAAAAA=&#10;">
                <v:fill on="t" focussize="0,0"/>
                <v:stroke color="#000000" miterlimit="8" joinstyle="miter"/>
                <v:imagedata o:title=""/>
                <o:lock v:ext="edit" rotation="t" aspectratio="f"/>
                <v:textbox>
                  <w:txbxContent>
                    <w:p w14:paraId="338E4703">
                      <w:pPr>
                        <w:spacing w:line="52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湖北西有新经济产业园项目、“互联网+物流”智慧产业园、跨境电商综合服务平台、国贸天街、武汉东文创园、环湖大学科创园、鄂东商城文创小镇、儿童公园改扩建工程（三期）、城市滨江码头历史文化街区、文鑫天成现代服务业集聚区、中梁滨江壹号商业综合体、中央文化区、地质里文化历史街区、黄石港区便民肉菜店建设工程</w:t>
                      </w:r>
                    </w:p>
                  </w:txbxContent>
                </v:textbox>
              </v:shape>
            </w:pict>
          </mc:Fallback>
        </mc:AlternateContent>
      </w:r>
    </w:p>
    <w:p w14:paraId="7B215CD4">
      <w:pPr>
        <w:widowControl w:val="0"/>
        <w:spacing w:line="570" w:lineRule="exact"/>
        <w:ind w:firstLine="640"/>
        <w:jc w:val="center"/>
        <w:rPr>
          <w:rFonts w:ascii="仿宋_GB2312" w:eastAsia="仿宋_GB2312"/>
          <w:color w:val="000000"/>
          <w:szCs w:val="32"/>
        </w:rPr>
      </w:pPr>
    </w:p>
    <w:p w14:paraId="1B360F78">
      <w:pPr>
        <w:widowControl w:val="0"/>
        <w:spacing w:line="570" w:lineRule="exact"/>
        <w:ind w:firstLine="640"/>
        <w:jc w:val="center"/>
        <w:rPr>
          <w:rFonts w:ascii="仿宋_GB2312" w:eastAsia="仿宋_GB2312"/>
          <w:color w:val="000000"/>
          <w:szCs w:val="32"/>
        </w:rPr>
      </w:pPr>
    </w:p>
    <w:p w14:paraId="097EF95A">
      <w:pPr>
        <w:widowControl w:val="0"/>
        <w:spacing w:line="570" w:lineRule="exact"/>
        <w:ind w:firstLine="640"/>
        <w:jc w:val="center"/>
        <w:rPr>
          <w:rFonts w:ascii="仿宋_GB2312" w:eastAsia="仿宋_GB2312"/>
          <w:color w:val="000000"/>
          <w:szCs w:val="32"/>
        </w:rPr>
      </w:pPr>
    </w:p>
    <w:p w14:paraId="579CB6D1">
      <w:pPr>
        <w:widowControl w:val="0"/>
        <w:spacing w:line="570" w:lineRule="exact"/>
        <w:ind w:firstLine="640"/>
        <w:jc w:val="center"/>
        <w:rPr>
          <w:rFonts w:ascii="仿宋_GB2312" w:eastAsia="仿宋_GB2312"/>
          <w:color w:val="000000"/>
          <w:szCs w:val="32"/>
        </w:rPr>
      </w:pPr>
    </w:p>
    <w:p w14:paraId="1A8C9DC8">
      <w:pPr>
        <w:widowControl w:val="0"/>
        <w:spacing w:line="570" w:lineRule="exact"/>
        <w:ind w:firstLine="640"/>
        <w:jc w:val="center"/>
        <w:rPr>
          <w:rFonts w:ascii="仿宋_GB2312" w:eastAsia="仿宋_GB2312"/>
          <w:color w:val="000000"/>
          <w:szCs w:val="32"/>
        </w:rPr>
      </w:pPr>
    </w:p>
    <w:p w14:paraId="251D65E6">
      <w:pPr>
        <w:pStyle w:val="95"/>
        <w:spacing w:line="300" w:lineRule="exact"/>
      </w:pPr>
      <w:bookmarkStart w:id="133" w:name="_Toc3167"/>
    </w:p>
    <w:p w14:paraId="2901317C">
      <w:pPr>
        <w:pStyle w:val="95"/>
      </w:pPr>
      <w:r>
        <mc:AlternateContent>
          <mc:Choice Requires="wps">
            <w:drawing>
              <wp:anchor distT="0" distB="0" distL="114300" distR="114300" simplePos="0" relativeHeight="251661312" behindDoc="0" locked="0" layoutInCell="1" allowOverlap="1">
                <wp:simplePos x="0" y="0"/>
                <wp:positionH relativeFrom="column">
                  <wp:posOffset>57785</wp:posOffset>
                </wp:positionH>
                <wp:positionV relativeFrom="paragraph">
                  <wp:posOffset>473075</wp:posOffset>
                </wp:positionV>
                <wp:extent cx="5507990" cy="1151890"/>
                <wp:effectExtent l="5080" t="4445" r="11430" b="5715"/>
                <wp:wrapSquare wrapText="bothSides"/>
                <wp:docPr id="5" name="文本框 4"/>
                <wp:cNvGraphicFramePr/>
                <a:graphic xmlns:a="http://schemas.openxmlformats.org/drawingml/2006/main">
                  <a:graphicData uri="http://schemas.microsoft.com/office/word/2010/wordprocessingShape">
                    <wps:wsp>
                      <wps:cNvSpPr txBox="1">
                        <a:spLocks noRot="1" noChangeArrowheads="1"/>
                      </wps:cNvSpPr>
                      <wps:spPr bwMode="auto">
                        <a:xfrm>
                          <a:off x="0" y="0"/>
                          <a:ext cx="5373370" cy="1179195"/>
                        </a:xfrm>
                        <a:prstGeom prst="rect">
                          <a:avLst/>
                        </a:prstGeom>
                        <a:solidFill>
                          <a:srgbClr val="FFFFFF"/>
                        </a:solidFill>
                        <a:ln w="9525">
                          <a:solidFill>
                            <a:srgbClr val="000000"/>
                          </a:solidFill>
                          <a:miter lim="800000"/>
                        </a:ln>
                        <a:effectLst/>
                      </wps:spPr>
                      <wps:txbx>
                        <w:txbxContent>
                          <w:p w14:paraId="380EAC38">
                            <w:pPr>
                              <w:spacing w:line="52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发网物流科技产业应用园（一期）、空港智造产业园、应急装备产业园、智能物流装备制造产业园、黄石港区模具新材料制造基地、中咨保盛生物产业园、中国（黄石）港澳生物产业园</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4.55pt;margin-top:37.25pt;height:90.7pt;width:433.7pt;mso-wrap-distance-bottom:0pt;mso-wrap-distance-left:9pt;mso-wrap-distance-right:9pt;mso-wrap-distance-top:0pt;z-index:251661312;mso-width-relative:page;mso-height-relative:page;" fillcolor="#FFFFFF" filled="t" stroked="t" coordsize="21600,21600" o:gfxdata="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uVSTTYAAAACAEAAA8A&#10;AAAAAAAAAQAgAAAAIgAAAGRycy9kb3ducmV2LnhtbFBLAQIUABQAAAAIAIdO4kCOh+1TUAIAAKAE&#10;AAAOAAAAAAAAAAEAIAAAACcBAABkcnMvZTJvRG9jLnhtbFBLBQYAAAAABgAGAFkBAADpBQAAAAA=&#10;">
                <v:fill on="t" focussize="0,0"/>
                <v:stroke color="#000000" miterlimit="8" joinstyle="miter"/>
                <v:imagedata o:title=""/>
                <o:lock v:ext="edit" rotation="t" aspectratio="f"/>
                <v:textbox>
                  <w:txbxContent>
                    <w:p w14:paraId="380EAC38">
                      <w:pPr>
                        <w:spacing w:line="52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发网物流科技产业应用园（一期）、空港智造产业园、应急装备产业园、智能物流装备制造产业园、黄石港区模具新材料制造基地、中咨保盛生物产业园、中国（黄石）港澳生物产业园</w:t>
                      </w:r>
                    </w:p>
                  </w:txbxContent>
                </v:textbox>
                <w10:wrap type="square"/>
              </v:shape>
            </w:pict>
          </mc:Fallback>
        </mc:AlternateContent>
      </w:r>
      <w:bookmarkEnd w:id="133"/>
      <w:r>
        <w:rPr>
          <w:rFonts w:hint="eastAsia"/>
        </w:rPr>
        <w:t>专栏3　工业重点工程</w:t>
      </w:r>
    </w:p>
    <w:p w14:paraId="5DE01004">
      <w:pPr>
        <w:pStyle w:val="2"/>
        <w:widowControl w:val="0"/>
        <w:spacing w:before="0" w:after="0" w:line="570" w:lineRule="exact"/>
        <w:ind w:firstLine="640"/>
        <w:rPr>
          <w:rFonts w:ascii="方正黑体_GBK" w:eastAsia="方正黑体_GBK"/>
          <w:bCs w:val="0"/>
          <w:color w:val="000000"/>
          <w:szCs w:val="32"/>
        </w:rPr>
      </w:pPr>
      <w:r>
        <w:rPr>
          <w:rFonts w:hint="eastAsia" w:ascii="方正黑体_GBK" w:eastAsia="方正黑体_GBK"/>
          <w:bCs w:val="0"/>
          <w:color w:val="000000"/>
          <w:szCs w:val="32"/>
        </w:rPr>
        <w:t>五、推进智慧临空，加快城市更新提质</w:t>
      </w:r>
    </w:p>
    <w:p w14:paraId="3EA28C16">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大力推进城市更新改造，着力构建内畅外通的交通网络、功能完备的生活服务体系、精细科学的城市管理系统，全面优化城市的要素配置和服务功能。</w:t>
      </w:r>
    </w:p>
    <w:p w14:paraId="3C8945AD">
      <w:pPr>
        <w:pStyle w:val="4"/>
        <w:widowControl w:val="0"/>
        <w:spacing w:line="570" w:lineRule="exact"/>
        <w:ind w:firstLine="640"/>
        <w:rPr>
          <w:rFonts w:ascii="楷体_GB2312"/>
          <w:b w:val="0"/>
          <w:bCs w:val="0"/>
          <w:color w:val="000000"/>
        </w:rPr>
      </w:pPr>
      <w:r>
        <w:rPr>
          <w:rFonts w:hint="eastAsia" w:ascii="楷体_GB2312"/>
          <w:b w:val="0"/>
          <w:bCs w:val="0"/>
          <w:color w:val="000000"/>
        </w:rPr>
        <w:t>（一）实施城市更新行动</w:t>
      </w:r>
      <w:r>
        <w:rPr>
          <w:rFonts w:hint="eastAsia" w:ascii="楷体_GB2312"/>
          <w:b w:val="0"/>
          <w:bCs w:val="0"/>
          <w:color w:val="000000"/>
        </w:rPr>
        <w:tab/>
      </w:r>
    </w:p>
    <w:p w14:paraId="7700747E">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全力构建完整型社区，在“十四五”期间实现全区97个老旧小区改造清零，力争50%达到完整社区标准。大力实施二次供水安全提升项目和城市综合杆线整治工程。全力推动社区便民服务设施建设。同时，启动智慧社区平台体系和前端采集系统建设，实现“智慧社区1.0版”助力基层治理水平提升，使老旧小区真正实现平安、有序、优美目标。</w:t>
      </w:r>
    </w:p>
    <w:p w14:paraId="7DA465AA">
      <w:pPr>
        <w:pStyle w:val="4"/>
        <w:widowControl w:val="0"/>
        <w:spacing w:line="570" w:lineRule="exact"/>
        <w:ind w:firstLine="640"/>
        <w:rPr>
          <w:rFonts w:ascii="楷体_GB2312"/>
          <w:b w:val="0"/>
          <w:bCs w:val="0"/>
          <w:color w:val="000000"/>
        </w:rPr>
      </w:pPr>
      <w:r>
        <w:rPr>
          <w:rFonts w:hint="eastAsia" w:ascii="楷体_GB2312"/>
          <w:b w:val="0"/>
          <w:bCs w:val="0"/>
          <w:color w:val="000000"/>
        </w:rPr>
        <w:t>（二）强力推进城市“双修</w:t>
      </w:r>
      <w:r>
        <w:rPr>
          <w:rStyle w:val="33"/>
          <w:rFonts w:hint="eastAsia" w:ascii="楷体_GB2312"/>
          <w:b w:val="0"/>
          <w:bCs w:val="0"/>
          <w:color w:val="000000"/>
        </w:rPr>
        <w:endnoteReference w:id="6"/>
      </w:r>
      <w:r>
        <w:rPr>
          <w:rFonts w:hint="eastAsia" w:ascii="楷体_GB2312"/>
          <w:b w:val="0"/>
          <w:bCs w:val="0"/>
          <w:color w:val="000000"/>
        </w:rPr>
        <w:t>”</w:t>
      </w:r>
    </w:p>
    <w:p w14:paraId="24FD1EBC">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大力实施污水治理提质增效，补齐污水处理和处理设施短板，在“十四五”期间力争完成新建、改造二三级雨污分流管网100公里，管网覆盖率达到100%，雨污分流率98%以上，积极推动花湖污水处理厂扩容改造，提升城市污水收集处理能力。对全区100条背街小巷实施提档升级（其中40%达到美丽街巷标准），全面消除水泥路。开展美丽街巷建设，大力开展公共停车设施建设，计划五年内全区新增各类停车位5000个，在武汉路、黄石大道、延安路和湖师大门、东门等路段兴建10座立体过街通道。完成船厂小区、王家坳等内涝渍水点整治，配合做好胜阳港泵站改扩建工程，提升城区排水防涝能力。不断提升长江干堤、策湖堤防洪能力，提升城市安全指数。持续深入开展海绵城市及韧性城市示范项目建设。</w:t>
      </w:r>
    </w:p>
    <w:p w14:paraId="0FEF21AF">
      <w:pPr>
        <w:pStyle w:val="4"/>
        <w:widowControl w:val="0"/>
        <w:spacing w:line="570" w:lineRule="exact"/>
        <w:ind w:firstLine="640"/>
        <w:rPr>
          <w:rFonts w:ascii="楷体_GB2312"/>
          <w:b w:val="0"/>
          <w:bCs w:val="0"/>
          <w:color w:val="000000"/>
        </w:rPr>
      </w:pPr>
      <w:r>
        <w:rPr>
          <w:rFonts w:hint="eastAsia" w:ascii="楷体_GB2312"/>
          <w:b w:val="0"/>
          <w:bCs w:val="0"/>
          <w:color w:val="000000"/>
        </w:rPr>
        <w:t>（三）大力推进智慧城市建设</w:t>
      </w:r>
    </w:p>
    <w:p w14:paraId="62B0C552">
      <w:pPr>
        <w:widowControl w:val="0"/>
        <w:spacing w:line="570" w:lineRule="exact"/>
        <w:ind w:firstLine="640"/>
        <w:rPr>
          <w:rFonts w:ascii="仿宋_GB2312" w:hAnsi="楷体" w:eastAsia="仿宋_GB2312" w:cs="楷体"/>
          <w:color w:val="000000"/>
          <w:szCs w:val="32"/>
        </w:rPr>
      </w:pPr>
      <w:r>
        <w:rPr>
          <w:rFonts w:hint="eastAsia" w:ascii="仿宋_GB2312" w:eastAsia="仿宋_GB2312"/>
          <w:color w:val="000000"/>
          <w:kern w:val="2"/>
          <w:szCs w:val="32"/>
        </w:rPr>
        <w:t>深入开展城市更新，</w:t>
      </w:r>
      <w:bookmarkStart w:id="134" w:name="_Hlk59783415"/>
      <w:r>
        <w:rPr>
          <w:rFonts w:hint="eastAsia" w:ascii="仿宋_GB2312" w:eastAsia="仿宋_GB2312"/>
          <w:color w:val="000000"/>
          <w:szCs w:val="32"/>
        </w:rPr>
        <w:t>加快布局新型智慧城市基础设施建设</w:t>
      </w:r>
      <w:bookmarkEnd w:id="134"/>
      <w:r>
        <w:rPr>
          <w:rFonts w:hint="eastAsia" w:ascii="仿宋_GB2312" w:eastAsia="仿宋_GB2312"/>
          <w:color w:val="000000"/>
          <w:szCs w:val="32"/>
        </w:rPr>
        <w:t>，</w:t>
      </w:r>
      <w:r>
        <w:rPr>
          <w:rFonts w:hint="eastAsia" w:ascii="仿宋_GB2312" w:eastAsia="仿宋_GB2312"/>
          <w:color w:val="000000"/>
          <w:kern w:val="2"/>
          <w:szCs w:val="32"/>
        </w:rPr>
        <w:t>着力推进智慧交通、智慧市政、智慧消防、智慧社区工程建设。打造大数据支撑、网络化共享、智能化协作的智慧供应链体系，推动城市管理、服务、运营向精细化、科学化、智能化方向迈进。</w:t>
      </w:r>
    </w:p>
    <w:p w14:paraId="6BED7D0E">
      <w:pPr>
        <w:widowControl w:val="0"/>
        <w:spacing w:line="570" w:lineRule="exact"/>
        <w:ind w:firstLine="640"/>
        <w:rPr>
          <w:rFonts w:ascii="仿宋_GB2312" w:eastAsia="仿宋_GB2312"/>
          <w:color w:val="000000"/>
          <w:szCs w:val="32"/>
        </w:rPr>
      </w:pPr>
      <w:r>
        <w:rPr>
          <w:rFonts w:hint="eastAsia" w:ascii="仿宋_GB2312" w:eastAsia="仿宋_GB2312"/>
          <w:color w:val="000000"/>
          <w:szCs w:val="32"/>
        </w:rPr>
        <w:t>加快建立黄石港区应急系统物联网应用体系，构建“网格发现、社区呼叫、分级响应、协同处理”的综合指挥平台，推动基层政务服务“一网通办”“一网统管”，打造大数据支撑、网络化共享、智能化协作的智慧供应链体系，建设跨产业的信息融通平台，</w:t>
      </w:r>
      <w:bookmarkStart w:id="135" w:name="_Hlk59783424"/>
      <w:r>
        <w:rPr>
          <w:rFonts w:hint="eastAsia" w:ascii="仿宋_GB2312" w:eastAsia="仿宋_GB2312"/>
          <w:color w:val="000000"/>
          <w:szCs w:val="32"/>
        </w:rPr>
        <w:t>实现交通、消防、环保、城管、医疗、教育等领域的智慧赋能，推动城市管理和城市服务向精细化、科学化、智能化方向迈进。</w:t>
      </w:r>
      <w:bookmarkEnd w:id="135"/>
    </w:p>
    <w:p w14:paraId="53F6CE60">
      <w:pPr>
        <w:pStyle w:val="4"/>
        <w:widowControl w:val="0"/>
        <w:spacing w:line="570" w:lineRule="exact"/>
        <w:ind w:firstLine="640"/>
        <w:rPr>
          <w:rFonts w:ascii="楷体_GB2312"/>
          <w:b w:val="0"/>
          <w:bCs w:val="0"/>
          <w:color w:val="000000"/>
        </w:rPr>
      </w:pPr>
      <w:r>
        <w:rPr>
          <w:rFonts w:hint="eastAsia" w:ascii="楷体_GB2312"/>
          <w:b w:val="0"/>
          <w:bCs w:val="0"/>
          <w:color w:val="000000"/>
        </w:rPr>
        <w:t>（四）加快构建城市交通快速枢纽</w:t>
      </w:r>
      <w:r>
        <w:rPr>
          <w:rFonts w:hint="eastAsia" w:ascii="楷体_GB2312"/>
          <w:b w:val="0"/>
          <w:bCs w:val="0"/>
          <w:color w:val="000000"/>
        </w:rPr>
        <w:tab/>
      </w:r>
    </w:p>
    <w:p w14:paraId="34302E9F">
      <w:pPr>
        <w:widowControl w:val="0"/>
        <w:spacing w:line="570" w:lineRule="exact"/>
        <w:ind w:firstLine="632"/>
        <w:rPr>
          <w:rFonts w:ascii="仿宋_GB2312" w:eastAsia="仿宋_GB2312"/>
          <w:color w:val="000000"/>
          <w:spacing w:val="-2"/>
          <w:szCs w:val="32"/>
        </w:rPr>
      </w:pPr>
      <w:r>
        <w:rPr>
          <w:rFonts w:hint="eastAsia" w:ascii="仿宋_GB2312" w:hAnsi="仿宋_GB2312" w:eastAsia="仿宋_GB2312" w:cs="仿宋_GB2312"/>
          <w:color w:val="000000"/>
          <w:spacing w:val="-2"/>
          <w:szCs w:val="32"/>
        </w:rPr>
        <w:t>力争在十四五期间实现对接机场南北大通道贯通；打通花湖大道东延、朝阳路北延、方家墩等7条断头路；实施延安路拓宽工程、交通路东延工程以及大泉路快速化改造工程，构建四纵七横</w:t>
      </w:r>
      <w:r>
        <w:rPr>
          <w:rStyle w:val="33"/>
          <w:rFonts w:hint="eastAsia" w:ascii="仿宋_GB2312" w:hAnsi="仿宋_GB2312" w:eastAsia="仿宋_GB2312" w:cs="仿宋_GB2312"/>
          <w:color w:val="000000"/>
          <w:spacing w:val="-2"/>
          <w:szCs w:val="32"/>
        </w:rPr>
        <w:endnoteReference w:id="7"/>
      </w:r>
      <w:r>
        <w:rPr>
          <w:rFonts w:hint="eastAsia" w:ascii="仿宋_GB2312" w:hAnsi="仿宋_GB2312" w:eastAsia="仿宋_GB2312" w:cs="仿宋_GB2312"/>
          <w:color w:val="000000"/>
          <w:spacing w:val="-2"/>
          <w:szCs w:val="32"/>
        </w:rPr>
        <w:t>城市快速交通枢纽。对武汉路、交通路、南京路、劳动路、天津路、黄石大道、湖滨大道等7条城市主干道实施整体提档升级，助力传统商业区焕发新活力。完成兴港大道等5条道路建设，全面提升江北工业园区基础设施水平。积极配合完成沿江大道、有轨电车二、三期、凤凰山隧道改造等项目建设。规划建设黄石大道北延、江北大道加油站。</w:t>
      </w:r>
    </w:p>
    <w:p w14:paraId="5D66ED83">
      <w:pPr>
        <w:pStyle w:val="95"/>
      </w:pPr>
      <w: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415290</wp:posOffset>
                </wp:positionV>
                <wp:extent cx="5507990" cy="5076190"/>
                <wp:effectExtent l="4445" t="4445" r="12065" b="5715"/>
                <wp:wrapSquare wrapText="bothSides"/>
                <wp:docPr id="4" name="文本框 5"/>
                <wp:cNvGraphicFramePr/>
                <a:graphic xmlns:a="http://schemas.openxmlformats.org/drawingml/2006/main">
                  <a:graphicData uri="http://schemas.microsoft.com/office/word/2010/wordprocessingShape">
                    <wps:wsp>
                      <wps:cNvSpPr txBox="1">
                        <a:spLocks noRot="1" noChangeArrowheads="1"/>
                      </wps:cNvSpPr>
                      <wps:spPr bwMode="auto">
                        <a:xfrm>
                          <a:off x="0" y="0"/>
                          <a:ext cx="5556250" cy="3982720"/>
                        </a:xfrm>
                        <a:prstGeom prst="rect">
                          <a:avLst/>
                        </a:prstGeom>
                        <a:solidFill>
                          <a:srgbClr val="FFFFFF"/>
                        </a:solidFill>
                        <a:ln w="9525">
                          <a:solidFill>
                            <a:srgbClr val="000000"/>
                          </a:solidFill>
                          <a:miter lim="800000"/>
                        </a:ln>
                        <a:effectLst/>
                      </wps:spPr>
                      <wps:txbx>
                        <w:txbxContent>
                          <w:p w14:paraId="1C547209">
                            <w:pPr>
                              <w:spacing w:line="48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老旧小区改造工程：黄石港区老旧小区改造工程（含花湖片、南京路社区、亚光片、青山湖片、胜阳港片、南京路等20余个老旧小区改造项目）、黄石港区社会治理智慧化改造工程</w:t>
                            </w:r>
                          </w:p>
                          <w:p w14:paraId="79842A8A">
                            <w:pPr>
                              <w:spacing w:line="48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生态环境及管网建设工程：黄石港区两湖两港区域环境综合治理项目（含大众山生态环境整治工程、区域雨污分流工程、两湖两港水环境综合整治工作、小微水体水环境综合整治工程4个子项目）、黄石市花湖水厂二期扩建及配套设施工程、黄石市沿江综合整治提升工程（黄石港区段）、黄石港区大众山周边污水处理设施建设及配套基础设施建设项目、</w:t>
                            </w:r>
                          </w:p>
                          <w:p w14:paraId="44D48A14">
                            <w:pPr>
                              <w:spacing w:line="48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城建城管：黄石港区生活垃圾分类收集转运一体化工程、黄石市黄石港区社区一体化平台和政务大厅信息化建设项目、黄石市黄石港区老城区城市整治工程二期、江北工业园基础设施建设项目、智慧停车项目</w:t>
                            </w:r>
                          </w:p>
                          <w:p w14:paraId="479029D2">
                            <w:pPr>
                              <w:spacing w:line="48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交通：花明路、花径路西延、华山路延伸段、花湖大道延伸段、朝阳路延伸段、彩虹路延伸段、钢材市场路段、纺织二路延伸段8条断头路贯通工程。</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2pt;margin-top:32.7pt;height:399.7pt;width:433.7pt;mso-wrap-distance-bottom:0pt;mso-wrap-distance-left:9pt;mso-wrap-distance-right:9pt;mso-wrap-distance-top:0pt;z-index:251661312;mso-width-relative:page;mso-height-relative:page;" fillcolor="#FFFFFF" filled="t" stroked="t" coordsize="21600,21600" o:gfxdata="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aXUVq1wAAAAgBAAAPAAAA&#10;AAAAAAEAIAAAACIAAABkcnMvZG93bnJldi54bWxQSwECFAAUAAAACACHTuJAGsgw808CAACgBAAA&#10;DgAAAAAAAAABACAAAAAmAQAAZHJzL2Uyb0RvYy54bWxQSwUGAAAAAAYABgBZAQAA5wUAAAAA&#10;">
                <v:fill on="t" focussize="0,0"/>
                <v:stroke color="#000000" miterlimit="8" joinstyle="miter"/>
                <v:imagedata o:title=""/>
                <o:lock v:ext="edit" rotation="t" aspectratio="f"/>
                <v:textbox>
                  <w:txbxContent>
                    <w:p w14:paraId="1C547209">
                      <w:pPr>
                        <w:spacing w:line="48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老旧小区改造工程：黄石港区老旧小区改造工程（含花湖片、南京路社区、亚光片、青山湖片、胜阳港片、南京路等20余个老旧小区改造项目）、黄石港区社会治理智慧化改造工程</w:t>
                      </w:r>
                    </w:p>
                    <w:p w14:paraId="79842A8A">
                      <w:pPr>
                        <w:spacing w:line="48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生态环境及管网建设工程：黄石港区两湖两港区域环境综合治理项目（含大众山生态环境整治工程、区域雨污分流工程、两湖两港水环境综合整治工作、小微水体水环境综合整治工程4个子项目）、黄石市花湖水厂二期扩建及配套设施工程、黄石市沿江综合整治提升工程（黄石港区段）、黄石港区大众山周边污水处理设施建设及配套基础设施建设项目、</w:t>
                      </w:r>
                    </w:p>
                    <w:p w14:paraId="44D48A14">
                      <w:pPr>
                        <w:spacing w:line="48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城建城管：黄石港区生活垃圾分类收集转运一体化工程、黄石市黄石港区社区一体化平台和政务大厅信息化建设项目、黄石市黄石港区老城区城市整治工程二期、江北工业园基础设施建设项目、智慧停车项目</w:t>
                      </w:r>
                    </w:p>
                    <w:p w14:paraId="479029D2">
                      <w:pPr>
                        <w:spacing w:line="48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交通：花明路、花径路西延、华山路延伸段、花湖大道延伸段、朝阳路延伸段、彩虹路延伸段、钢材市场路段、纺织二路延伸段8条断头路贯通工程。</w:t>
                      </w:r>
                    </w:p>
                  </w:txbxContent>
                </v:textbox>
                <w10:wrap type="square"/>
              </v:shape>
            </w:pict>
          </mc:Fallback>
        </mc:AlternateContent>
      </w:r>
      <w:r>
        <w:rPr>
          <w:rFonts w:hint="eastAsia"/>
        </w:rPr>
        <w:t>专栏4　基础设施建设工程</w:t>
      </w:r>
    </w:p>
    <w:p w14:paraId="5ADF3275">
      <w:pPr>
        <w:pStyle w:val="2"/>
        <w:widowControl w:val="0"/>
        <w:spacing w:before="0" w:after="0" w:line="570" w:lineRule="exact"/>
        <w:ind w:firstLine="640"/>
        <w:rPr>
          <w:rFonts w:ascii="方正黑体_GBK" w:eastAsia="方正黑体_GBK"/>
          <w:bCs w:val="0"/>
          <w:color w:val="000000"/>
          <w:szCs w:val="32"/>
        </w:rPr>
      </w:pPr>
    </w:p>
    <w:p w14:paraId="51AC0C74">
      <w:pPr>
        <w:pStyle w:val="2"/>
        <w:widowControl w:val="0"/>
        <w:spacing w:before="0" w:after="0" w:line="570" w:lineRule="exact"/>
        <w:ind w:firstLine="640"/>
        <w:rPr>
          <w:rFonts w:ascii="方正黑体_GBK" w:eastAsia="方正黑体_GBK"/>
          <w:bCs w:val="0"/>
          <w:color w:val="000000"/>
          <w:szCs w:val="32"/>
        </w:rPr>
      </w:pPr>
      <w:r>
        <w:rPr>
          <w:rFonts w:hint="eastAsia" w:ascii="方正黑体_GBK" w:eastAsia="方正黑体_GBK"/>
          <w:bCs w:val="0"/>
          <w:color w:val="000000"/>
          <w:szCs w:val="32"/>
        </w:rPr>
        <w:t>六、推进生态临空，打造长江经济带绿色发展示范区</w:t>
      </w:r>
    </w:p>
    <w:p w14:paraId="7221E54B">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抢抓长江经济带绿色发展机遇，争创国家生态文明建设示范区，深入推进生态治理、修复和保护，守住全域临空的生态底线，丰富高质量发展的绿色内涵，推进经济社会发展全面绿色转型，努力开创山水城业融合联动的绿色发展新局面。</w:t>
      </w:r>
    </w:p>
    <w:p w14:paraId="46758CFC">
      <w:pPr>
        <w:pStyle w:val="4"/>
        <w:widowControl w:val="0"/>
        <w:spacing w:line="570" w:lineRule="exact"/>
        <w:ind w:firstLine="640"/>
        <w:rPr>
          <w:rFonts w:ascii="楷体_GB2312"/>
          <w:b w:val="0"/>
          <w:bCs w:val="0"/>
          <w:color w:val="000000"/>
        </w:rPr>
      </w:pPr>
      <w:r>
        <w:rPr>
          <w:rFonts w:hint="eastAsia" w:ascii="楷体_GB2312"/>
          <w:b w:val="0"/>
          <w:bCs w:val="0"/>
          <w:color w:val="000000"/>
        </w:rPr>
        <w:t>（一）全力推进长江大保护</w:t>
      </w:r>
    </w:p>
    <w:p w14:paraId="57D2B884">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坚持“共抓大保护，不搞大开发”，深入开展实施沿江环境综合治理，强化国土空间管控，严守生态保护红线，实施更严格的长江饮用水源保护区黄石港段的硬性管控。坚持还江于民，统筹推进江、堤、路、景建设，加快推进长江岸线复绿和景观项目，确保长江沿岸造林绿化面积提前达到市定目标，把长江岸线黄石港段打造成为黄石港区滨水绿色发展带的亮丽引线。启动实施休闲青山湖项目，通过对现有步道、节点综合提档升级改造，形成环青山湖休闲风光带。启动实施休憩青港湖项目，依托大众山公园、青港湖游乐园，开展以娱乐、游赏、健身和水上运动为主要功能的公园水上活动。实施长江岸线景观项目，并对沿江建筑实施整体改造，形成沿江整体风貌。</w:t>
      </w:r>
    </w:p>
    <w:p w14:paraId="3C038CA3">
      <w:pPr>
        <w:pStyle w:val="4"/>
        <w:widowControl w:val="0"/>
        <w:spacing w:line="570" w:lineRule="exact"/>
        <w:ind w:firstLine="640"/>
        <w:rPr>
          <w:rFonts w:ascii="楷体_GB2312"/>
          <w:b w:val="0"/>
          <w:bCs w:val="0"/>
          <w:color w:val="000000"/>
        </w:rPr>
      </w:pPr>
      <w:r>
        <w:rPr>
          <w:rFonts w:hint="eastAsia" w:ascii="楷体_GB2312"/>
          <w:b w:val="0"/>
          <w:bCs w:val="0"/>
          <w:color w:val="000000"/>
        </w:rPr>
        <w:t>（二）加快推进区域生态治理和建设</w:t>
      </w:r>
    </w:p>
    <w:p w14:paraId="50FA1B64">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扎实开展“净土、蓝天、碧水”三大保卫战，统筹推进治水、治山、治土、治气、治林，严控能耗“双控”指标，重点推进磁湖、青山湖、青港湖、锁前港、新闸港等生态治理，实现港湖水系长治久清，持续改善区域生态环境质量。充分利用区域山水资源，启动实施滨江生态廊道、环磁湖绿道以及大众山生态公园项目。</w:t>
      </w:r>
      <w:r>
        <w:rPr>
          <w:rFonts w:hint="eastAsia" w:ascii="仿宋_GB2312" w:hAnsi="仿宋_GB2312" w:eastAsia="仿宋_GB2312" w:cs="仿宋_GB2312"/>
          <w:color w:val="000000"/>
          <w:kern w:val="2"/>
          <w:szCs w:val="32"/>
        </w:rPr>
        <w:t>不断盘活城市微空间，利用街头空地和城市楔地新建、改造口袋公园、街头公园25处，建设区级公园5个</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kern w:val="2"/>
          <w:szCs w:val="32"/>
        </w:rPr>
        <w:t>力争“十四五”期间建成区绿地率达37%以上，建成区人均公园绿地面积</w:t>
      </w:r>
      <w:r>
        <w:rPr>
          <w:rFonts w:hint="eastAsia" w:ascii="仿宋_GB2312" w:hAnsi="Arial Unicode MS" w:eastAsia="仿宋_GB2312" w:cs="Arial Unicode MS"/>
          <w:color w:val="000000"/>
          <w:kern w:val="2"/>
          <w:szCs w:val="32"/>
        </w:rPr>
        <w:t>≥</w:t>
      </w:r>
      <w:r>
        <w:rPr>
          <w:rFonts w:hint="eastAsia" w:ascii="仿宋_GB2312" w:hAnsi="仿宋_GB2312" w:eastAsia="仿宋_GB2312" w:cs="仿宋_GB2312"/>
          <w:color w:val="000000"/>
          <w:kern w:val="2"/>
          <w:szCs w:val="32"/>
        </w:rPr>
        <w:t>18平方米/人，公园绿地服务半径覆盖率超过90%。</w:t>
      </w:r>
      <w:r>
        <w:rPr>
          <w:rFonts w:hint="eastAsia" w:ascii="仿宋_GB2312" w:hAnsi="仿宋_GB2312" w:eastAsia="仿宋_GB2312" w:cs="仿宋_GB2312"/>
          <w:color w:val="000000"/>
          <w:szCs w:val="32"/>
        </w:rPr>
        <w:t>使城区真正实现日可观景、夜可赏灯、开窗见绿、出门入园、抬腿亲水的城市景观。</w:t>
      </w:r>
    </w:p>
    <w:p w14:paraId="38870F3F">
      <w:pPr>
        <w:pStyle w:val="4"/>
        <w:widowControl w:val="0"/>
        <w:spacing w:line="570" w:lineRule="exact"/>
        <w:ind w:firstLine="640"/>
        <w:rPr>
          <w:rFonts w:ascii="楷体_GB2312"/>
          <w:b w:val="0"/>
          <w:bCs w:val="0"/>
          <w:color w:val="000000"/>
        </w:rPr>
      </w:pPr>
      <w:r>
        <w:rPr>
          <w:rFonts w:hint="eastAsia" w:ascii="楷体_GB2312"/>
          <w:b w:val="0"/>
          <w:bCs w:val="0"/>
          <w:color w:val="000000"/>
        </w:rPr>
        <w:t>（三）大力推动绿色低碳发展</w:t>
      </w:r>
    </w:p>
    <w:p w14:paraId="4F81D7DD">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强化绿色发展的政策保障，落实市场化、多元化的生态保护补偿机制，支持绿色技术创新，推进重点行业和重要领域绿色化改造，大力发展循环经济。推行垃圾分类，完善城区环保配套设施建设。持续推进文明城市创建，大力开展以绿色单位、绿色校园、绿色企业、绿色小区为主要内容的文明创建活动，广泛开展种绿、养绿、护绿、赏绿等群众性绿色文化活动，大力倡导绿色出行、低碳生活，进一步提升市民的文明素质，涵养全社会生态自觉。</w:t>
      </w:r>
    </w:p>
    <w:p w14:paraId="1B26E27F">
      <w:pPr>
        <w:pStyle w:val="2"/>
        <w:widowControl w:val="0"/>
        <w:spacing w:before="0" w:after="0" w:line="570" w:lineRule="exact"/>
        <w:ind w:firstLine="640"/>
        <w:rPr>
          <w:rFonts w:ascii="方正黑体_GBK" w:eastAsia="方正黑体_GBK"/>
          <w:bCs w:val="0"/>
          <w:color w:val="000000"/>
          <w:szCs w:val="32"/>
        </w:rPr>
      </w:pPr>
      <w:bookmarkStart w:id="136" w:name="_Toc23854"/>
      <w:bookmarkStart w:id="137" w:name="_Toc58343160"/>
      <w:bookmarkStart w:id="138" w:name="_Toc20614"/>
      <w:bookmarkStart w:id="139" w:name="_Toc17952"/>
      <w:bookmarkStart w:id="140" w:name="_Toc2772"/>
      <w:bookmarkStart w:id="141" w:name="_Toc58343161"/>
      <w:bookmarkStart w:id="142" w:name="_Toc26091"/>
      <w:bookmarkStart w:id="143" w:name="_Toc21695"/>
      <w:bookmarkStart w:id="144" w:name="_Toc8962"/>
      <w:bookmarkStart w:id="145" w:name="_Toc22270"/>
      <w:r>
        <w:rPr>
          <w:rFonts w:hint="eastAsia" w:ascii="方正黑体_GBK" w:eastAsia="方正黑体_GBK"/>
          <w:bCs w:val="0"/>
          <w:color w:val="000000"/>
          <w:szCs w:val="32"/>
        </w:rPr>
        <w:t>七、</w:t>
      </w:r>
      <w:bookmarkEnd w:id="136"/>
      <w:bookmarkEnd w:id="137"/>
      <w:bookmarkEnd w:id="138"/>
      <w:bookmarkEnd w:id="139"/>
      <w:bookmarkEnd w:id="140"/>
      <w:r>
        <w:rPr>
          <w:rFonts w:hint="eastAsia" w:ascii="方正黑体_GBK" w:eastAsia="方正黑体_GBK"/>
          <w:bCs w:val="0"/>
          <w:color w:val="000000"/>
          <w:szCs w:val="32"/>
        </w:rPr>
        <w:t>推进人文临空，创造美好生活引领区</w:t>
      </w:r>
    </w:p>
    <w:p w14:paraId="45BC43BF">
      <w:pPr>
        <w:widowControl w:val="0"/>
        <w:spacing w:line="570" w:lineRule="exact"/>
        <w:ind w:firstLine="640"/>
        <w:rPr>
          <w:rFonts w:ascii="仿宋_GB2312" w:eastAsia="仿宋_GB2312"/>
          <w:color w:val="000000"/>
          <w:szCs w:val="32"/>
        </w:rPr>
      </w:pPr>
      <w:bookmarkStart w:id="146" w:name="_Hlk59785880"/>
      <w:r>
        <w:rPr>
          <w:rFonts w:hint="eastAsia" w:ascii="仿宋_GB2312" w:eastAsia="仿宋_GB2312"/>
          <w:color w:val="000000"/>
          <w:szCs w:val="32"/>
        </w:rPr>
        <w:t>树牢以人民为中心的发展理念，围绕创造美好生活引领区目标，着力挖掘城区人文资源优势，协调推进教育、文化、体育、健康等社会事业发展，切实把人文资源优势转化为临空经济发展优势，积极研究制定吸引湖北国际物流核心枢纽员工子女就学、家属就业、生活保障等方面的优惠政策，努力打造更有温度、更有亮度、更有厚度的人文城区。</w:t>
      </w:r>
      <w:bookmarkEnd w:id="146"/>
    </w:p>
    <w:p w14:paraId="3AD1069D">
      <w:pPr>
        <w:widowControl w:val="0"/>
        <w:spacing w:line="570" w:lineRule="exact"/>
        <w:ind w:firstLine="640"/>
        <w:rPr>
          <w:rFonts w:ascii="楷体_GB2312" w:hAnsi="Times New Roman" w:eastAsia="楷体_GB2312"/>
          <w:color w:val="000000"/>
          <w:szCs w:val="32"/>
        </w:rPr>
      </w:pPr>
      <w:r>
        <w:rPr>
          <w:rFonts w:hint="eastAsia" w:ascii="楷体_GB2312" w:hAnsi="Times New Roman" w:eastAsia="楷体_GB2312"/>
          <w:color w:val="000000"/>
          <w:szCs w:val="32"/>
        </w:rPr>
        <w:t>（一）打造全省教育示范强区</w:t>
      </w:r>
      <w:bookmarkEnd w:id="141"/>
      <w:r>
        <w:rPr>
          <w:rFonts w:hint="eastAsia" w:ascii="楷体_GB2312" w:hAnsi="Times New Roman" w:eastAsia="楷体_GB2312"/>
          <w:color w:val="000000"/>
          <w:szCs w:val="32"/>
        </w:rPr>
        <w:t>。</w:t>
      </w:r>
      <w:bookmarkEnd w:id="142"/>
      <w:bookmarkEnd w:id="143"/>
      <w:bookmarkEnd w:id="144"/>
      <w:bookmarkEnd w:id="145"/>
      <w:bookmarkStart w:id="147" w:name="_Toc58343162"/>
    </w:p>
    <w:p w14:paraId="7A33732C">
      <w:pPr>
        <w:ind w:firstLine="640"/>
        <w:rPr>
          <w:rFonts w:hint="eastAsia" w:ascii="仿宋_GB2312" w:eastAsia="仿宋_GB2312"/>
          <w:color w:val="000000"/>
          <w:szCs w:val="32"/>
        </w:rPr>
      </w:pPr>
      <w:r>
        <w:rPr>
          <w:rFonts w:hint="eastAsia" w:ascii="仿宋_GB2312" w:eastAsia="仿宋_GB2312"/>
          <w:color w:val="000000"/>
          <w:szCs w:val="32"/>
        </w:rPr>
        <w:t>健全区域终身教育=，</w:t>
      </w:r>
      <w:r>
        <w:t>发展普惠托育服务体系</w:t>
      </w:r>
      <w:r>
        <w:rPr>
          <w:rFonts w:hint="eastAsia"/>
        </w:rPr>
        <w:t>，</w:t>
      </w:r>
      <w:r>
        <w:rPr>
          <w:rFonts w:hint="eastAsia" w:ascii="仿宋_GB2312" w:eastAsia="仿宋_GB2312"/>
          <w:color w:val="000000"/>
          <w:szCs w:val="32"/>
        </w:rPr>
        <w:t>推动学前教育普惠发展，</w:t>
      </w:r>
      <w:r>
        <w:rPr>
          <w:rFonts w:ascii="仿宋_GB2312" w:eastAsia="仿宋_GB2312"/>
          <w:color w:val="000000"/>
          <w:szCs w:val="32"/>
        </w:rPr>
        <w:t>支持企事业单位等社会力量举办托育服务机构，支持公办机构发展普惠托育服务，扩大普惠性托育服务供给</w:t>
      </w:r>
      <w:r>
        <w:rPr>
          <w:rFonts w:hint="eastAsia" w:ascii="仿宋_GB2312" w:eastAsia="仿宋_GB2312"/>
          <w:color w:val="000000"/>
          <w:szCs w:val="32"/>
        </w:rPr>
        <w:t>，依托社区教育大力发展0-3岁婴幼儿托幼机构</w:t>
      </w:r>
      <w:r>
        <w:rPr>
          <w:rFonts w:ascii="仿宋_GB2312" w:eastAsia="仿宋_GB2312"/>
          <w:color w:val="000000"/>
          <w:szCs w:val="32"/>
        </w:rPr>
        <w:t>。到 2025 年，</w:t>
      </w:r>
      <w:r>
        <w:rPr>
          <w:rFonts w:hint="eastAsia" w:ascii="仿宋_GB2312" w:eastAsia="仿宋_GB2312"/>
          <w:color w:val="000000"/>
          <w:szCs w:val="32"/>
        </w:rPr>
        <w:t>力争建成</w:t>
      </w:r>
      <w:r>
        <w:rPr>
          <w:rFonts w:ascii="仿宋_GB2312" w:eastAsia="仿宋_GB2312"/>
          <w:color w:val="000000"/>
          <w:szCs w:val="32"/>
        </w:rPr>
        <w:t>1所托育服务指导中心</w:t>
      </w:r>
      <w:r>
        <w:rPr>
          <w:rFonts w:hint="eastAsia" w:ascii="仿宋_GB2312" w:eastAsia="仿宋_GB2312"/>
          <w:color w:val="000000"/>
          <w:szCs w:val="32"/>
        </w:rPr>
        <w:t>、</w:t>
      </w:r>
      <w:r>
        <w:rPr>
          <w:rFonts w:ascii="仿宋_GB2312" w:eastAsia="仿宋_GB2312"/>
          <w:color w:val="000000"/>
          <w:szCs w:val="32"/>
        </w:rPr>
        <w:t>1个示范性综合托育机构,每个街道建设</w:t>
      </w:r>
      <w:r>
        <w:rPr>
          <w:rFonts w:hint="eastAsia" w:ascii="仿宋_GB2312" w:eastAsia="仿宋_GB2312"/>
          <w:color w:val="000000"/>
          <w:szCs w:val="32"/>
        </w:rPr>
        <w:t>1</w:t>
      </w:r>
      <w:r>
        <w:rPr>
          <w:rFonts w:ascii="仿宋_GB2312" w:eastAsia="仿宋_GB2312"/>
          <w:color w:val="000000"/>
          <w:szCs w:val="32"/>
        </w:rPr>
        <w:t>个普惠性托育机构</w:t>
      </w:r>
      <w:r>
        <w:rPr>
          <w:rFonts w:hint="eastAsia" w:ascii="仿宋_GB2312" w:eastAsia="仿宋_GB2312"/>
          <w:color w:val="000000"/>
          <w:szCs w:val="32"/>
        </w:rPr>
        <w:t>，</w:t>
      </w:r>
      <w:r>
        <w:rPr>
          <w:rFonts w:ascii="仿宋_GB2312" w:eastAsia="仿宋_GB2312"/>
          <w:color w:val="000000"/>
          <w:szCs w:val="32"/>
        </w:rPr>
        <w:t>每千人口拥有 0-3岁婴幼儿托位 4.5 个以上，入托率达到 15%。  </w:t>
      </w:r>
    </w:p>
    <w:p w14:paraId="7CDED558">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推进义务教育现代化发展，大力实施中小学扩建工程，力争“十四五”期间新建初中、小学各一所以上，公办幼儿园比例超过50%。结合黄石市基础教育设施统筹规划，积极引入具有一定知名度的高端民办中小学入驻。落实立德树人根本任务，构建德智体美劳全面培养的教育体系，大力发展素质教育。持续提升入学率和巩固率，缩小校际间差异，持续促进义务教育优质均衡发展，保障社会弱势群体中适龄儿童少年受教育的权利。大力支持湖北师范大学新型创业型专业设置以及实习实训大楼建设,与黄石港区临空产业在产学研方面的紧密衔接。推进学校品牌创建，培育一批省、市内一流、具有区域影响力和带动力的名校，打造黄石港区在全省乃至全国的教育名片。</w:t>
      </w:r>
    </w:p>
    <w:p w14:paraId="4B319CF6">
      <w:pPr>
        <w:widowControl w:val="0"/>
        <w:spacing w:line="570" w:lineRule="exact"/>
        <w:ind w:firstLine="640"/>
        <w:rPr>
          <w:rFonts w:ascii="楷体_GB2312" w:hAnsi="Times New Roman" w:eastAsia="楷体_GB2312"/>
          <w:color w:val="000000"/>
          <w:szCs w:val="32"/>
        </w:rPr>
      </w:pPr>
      <w:bookmarkStart w:id="148" w:name="_Toc3713"/>
      <w:bookmarkStart w:id="149" w:name="_Toc31029"/>
      <w:bookmarkStart w:id="150" w:name="_Toc9127"/>
      <w:bookmarkStart w:id="151" w:name="_Toc22179"/>
      <w:r>
        <w:rPr>
          <w:rFonts w:hint="eastAsia" w:ascii="楷体_GB2312" w:hAnsi="Times New Roman" w:eastAsia="楷体_GB2312"/>
          <w:color w:val="000000"/>
          <w:szCs w:val="32"/>
        </w:rPr>
        <w:t>（二）打造现代医疗服务体系</w:t>
      </w:r>
      <w:bookmarkEnd w:id="147"/>
      <w:r>
        <w:rPr>
          <w:rFonts w:hint="eastAsia" w:ascii="楷体_GB2312" w:hAnsi="Times New Roman" w:eastAsia="楷体_GB2312"/>
          <w:color w:val="000000"/>
          <w:szCs w:val="32"/>
        </w:rPr>
        <w:t>。</w:t>
      </w:r>
      <w:bookmarkEnd w:id="148"/>
      <w:bookmarkEnd w:id="149"/>
      <w:bookmarkEnd w:id="150"/>
      <w:bookmarkEnd w:id="151"/>
      <w:bookmarkStart w:id="152" w:name="_Toc15947"/>
      <w:bookmarkStart w:id="153" w:name="_Toc13406"/>
      <w:bookmarkStart w:id="154" w:name="_Toc6633"/>
      <w:bookmarkStart w:id="155" w:name="_Toc20711"/>
    </w:p>
    <w:p w14:paraId="69283628">
      <w:pPr>
        <w:widowControl w:val="0"/>
        <w:spacing w:line="57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贯彻实施男女平等基本国策，切实维护妇女儿童合法权益，提高全区医疗服务总体水平与服务规模，构建医疗机构布局合理、功能完善、技术先进、竞争有序、服务便捷高效的区域医疗中心，促进卫生健康工作从以治病为中心向以人民健康为中心转变。打造“15分钟医疗服务圈”，加快创建社区二级医院，有效落实分级诊疗和双向转诊，巩固全国慢性病防控示范区成果，社区卫生服务中心全部达到“优质服务基层行</w:t>
      </w:r>
      <w:r>
        <w:rPr>
          <w:rFonts w:hint="eastAsia"/>
        </w:rPr>
        <w:endnoteReference w:id="8"/>
      </w:r>
      <w:r>
        <w:rPr>
          <w:rFonts w:hint="eastAsia" w:ascii="仿宋_GB2312" w:hAnsi="仿宋_GB2312" w:eastAsia="仿宋_GB2312" w:cs="仿宋_GB2312"/>
          <w:color w:val="000000"/>
          <w:szCs w:val="32"/>
        </w:rPr>
        <w:t>”示范标准，满足居民群众基本公共卫生、疾病预防、初诊和康复服务需要。加快养老产业发展，深入推进爱国卫生运动和健康黄石港建设，全面提升群众健康意识和健康素养。</w:t>
      </w:r>
    </w:p>
    <w:p w14:paraId="25F26AE4">
      <w:pPr>
        <w:ind w:firstLine="640"/>
        <w:rPr>
          <w:rFonts w:hint="eastAsia" w:ascii="仿宋_GB2312" w:hAnsi="仿宋_GB2312" w:eastAsia="仿宋_GB2312" w:cs="仿宋_GB2312"/>
          <w:color w:val="000000"/>
          <w:szCs w:val="32"/>
        </w:rPr>
      </w:pPr>
      <w:r>
        <w:rPr>
          <w:rFonts w:ascii="仿宋_GB2312" w:hAnsi="仿宋_GB2312" w:eastAsia="仿宋_GB2312" w:cs="仿宋_GB2312"/>
          <w:color w:val="000000"/>
          <w:szCs w:val="32"/>
        </w:rPr>
        <w:t>构建老年健康服务体系</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鼓励公立二级综合性医院发展老年医学科建设</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设置长期护理床位。强化基层医疗卫生机构作用,促进老年健康服务向社区和家庭延伸。依托护理院（站）、护理中心、社区卫生服务中心等基层医疗卫生机构以及具备提供长期照护服务能力的社区日间照料中心、养老院等养老机构，为失能老年人提供长期照护服务，构建失能老年人长期照护服务体系。加强专业知识培训，提高养护人才队伍整体素质</w:t>
      </w:r>
      <w:r>
        <w:rPr>
          <w:rFonts w:hint="eastAsia" w:ascii="仿宋_GB2312" w:hAnsi="仿宋_GB2312" w:eastAsia="仿宋_GB2312" w:cs="仿宋_GB2312"/>
          <w:color w:val="000000"/>
          <w:szCs w:val="32"/>
        </w:rPr>
        <w:t xml:space="preserve">。     </w:t>
      </w:r>
    </w:p>
    <w:p w14:paraId="2EC918B5">
      <w:pPr>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“十四五”末，力争</w:t>
      </w:r>
      <w:r>
        <w:rPr>
          <w:rFonts w:ascii="仿宋_GB2312" w:hAnsi="仿宋_GB2312" w:eastAsia="仿宋_GB2312" w:cs="仿宋_GB2312"/>
          <w:color w:val="000000"/>
          <w:szCs w:val="32"/>
        </w:rPr>
        <w:t>设立三级老年医院</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二级老年医院或护理院(中心)</w:t>
      </w:r>
      <w:r>
        <w:rPr>
          <w:rFonts w:hint="eastAsia" w:ascii="仿宋_GB2312" w:hAnsi="仿宋_GB2312" w:eastAsia="仿宋_GB2312" w:cs="仿宋_GB2312"/>
          <w:color w:val="000000"/>
          <w:szCs w:val="32"/>
        </w:rPr>
        <w:t>各一所</w:t>
      </w:r>
      <w:r>
        <w:rPr>
          <w:rFonts w:ascii="仿宋_GB2312" w:hAnsi="仿宋_GB2312" w:eastAsia="仿宋_GB2312" w:cs="仿宋_GB2312"/>
          <w:color w:val="000000"/>
          <w:szCs w:val="32"/>
        </w:rPr>
        <w:t>,社区医院50%以上的床位开展老年服务,全区开设老年医学科的二级以上综合性医院达到70%。</w:t>
      </w:r>
    </w:p>
    <w:p w14:paraId="4F02E81D">
      <w:pPr>
        <w:widowControl w:val="0"/>
        <w:spacing w:line="570" w:lineRule="exact"/>
        <w:ind w:firstLine="640"/>
        <w:rPr>
          <w:rFonts w:ascii="楷体_GB2312" w:hAnsi="Times New Roman" w:eastAsia="楷体_GB2312"/>
          <w:color w:val="000000"/>
          <w:szCs w:val="32"/>
        </w:rPr>
      </w:pPr>
      <w:r>
        <w:rPr>
          <w:rFonts w:hint="eastAsia" w:ascii="楷体_GB2312" w:hAnsi="Times New Roman" w:eastAsia="楷体_GB2312"/>
          <w:color w:val="000000"/>
          <w:szCs w:val="32"/>
        </w:rPr>
        <w:t>（三）提升公共文化服务水平。</w:t>
      </w:r>
      <w:bookmarkEnd w:id="152"/>
      <w:bookmarkEnd w:id="153"/>
      <w:bookmarkEnd w:id="154"/>
      <w:bookmarkEnd w:id="155"/>
      <w:bookmarkStart w:id="156" w:name="_Toc11609"/>
      <w:bookmarkStart w:id="157" w:name="_Toc23400"/>
      <w:bookmarkStart w:id="158" w:name="_Toc5676"/>
      <w:bookmarkStart w:id="159" w:name="_Toc11558"/>
    </w:p>
    <w:p w14:paraId="64E46469">
      <w:pPr>
        <w:widowControl w:val="0"/>
        <w:spacing w:line="570" w:lineRule="exact"/>
        <w:ind w:firstLine="640"/>
        <w:rPr>
          <w:rFonts w:ascii="仿宋_GB2312" w:eastAsia="仿宋_GB2312"/>
          <w:color w:val="000000"/>
          <w:szCs w:val="32"/>
        </w:rPr>
      </w:pPr>
      <w:r>
        <w:rPr>
          <w:rFonts w:hint="eastAsia" w:ascii="仿宋_GB2312" w:eastAsia="仿宋_GB2312"/>
          <w:color w:val="000000"/>
          <w:szCs w:val="32"/>
        </w:rPr>
        <w:t>大力实施文化惠民工程，加强城区文化设施建设和公共文化产品供给，</w:t>
      </w:r>
      <w:r>
        <w:rPr>
          <w:rFonts w:hint="eastAsia" w:ascii="仿宋_GB2312" w:hAnsi="仿宋_GB2312" w:eastAsia="仿宋_GB2312" w:cs="仿宋_GB2312"/>
          <w:color w:val="000000"/>
          <w:szCs w:val="32"/>
        </w:rPr>
        <w:t>启动城市小品、雕塑建设项目，努力提升城市记忆</w:t>
      </w:r>
      <w:r>
        <w:rPr>
          <w:rFonts w:hint="eastAsia" w:ascii="仿宋_GB2312" w:eastAsia="仿宋_GB2312"/>
          <w:color w:val="000000"/>
          <w:szCs w:val="32"/>
        </w:rPr>
        <w:t>；挖掘华新旧址、小红楼、海观山、卸矿机、地质里、人民街等文化资源，新建各具特色的文化街区，力争将华新旧址建成国家级历史文化街区，人民街、地质里进入省级历史文化街区目录，打造全国工业旅游目的地。启动建设黄石港区文化馆，广泛开展特色文化活动，提升市民的文化认同和文化自信。</w:t>
      </w:r>
    </w:p>
    <w:p w14:paraId="09114B05">
      <w:pPr>
        <w:widowControl w:val="0"/>
        <w:spacing w:line="570" w:lineRule="exact"/>
        <w:ind w:firstLine="640"/>
        <w:rPr>
          <w:rFonts w:ascii="楷体_GB2312" w:hAnsi="Times New Roman" w:eastAsia="楷体_GB2312"/>
          <w:color w:val="000000"/>
          <w:szCs w:val="32"/>
        </w:rPr>
      </w:pPr>
      <w:r>
        <w:rPr>
          <w:rFonts w:hint="eastAsia" w:ascii="楷体_GB2312" w:hAnsi="Times New Roman" w:eastAsia="楷体_GB2312"/>
          <w:color w:val="000000"/>
          <w:szCs w:val="32"/>
        </w:rPr>
        <w:t>（四）大力发展体育事业。</w:t>
      </w:r>
      <w:bookmarkEnd w:id="156"/>
      <w:bookmarkEnd w:id="157"/>
      <w:bookmarkEnd w:id="158"/>
      <w:bookmarkEnd w:id="159"/>
    </w:p>
    <w:p w14:paraId="64393283">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充分依托黄石国家乒乓球训练基地、黄石体育运动学校、湖北师范大学体育学院平台优势和程菲、李珊珊等体育冠军文化品牌，结合职业体育培训学校建设，持续推进各类体育培训基地建设发展。利用好优质体育场馆基础，积极主动承接大型体育赛事，坚持举行群众体育比赛。统筹规划和协调管理体育产业，依托黄石港生态体育公园、大众山健身步道、国家乒乓球训练基地等体育馆、训练场地等基础及其营造良好体育运动环境，积极引导社会资本投资发展体育休闲和场馆服务，增强区域体育产业整体实力。加强体育场地设施建设，合理增加体育设施种类与数量，建设15分钟健身圈。持续优化黄石港生态体育公园、大众山登山健身步道、街道文体广场，沿江大道等优质健身运动场地设施。统筹推进群众体育运动，实现职工体育、居民体育、青少年体育、残疾人体育的健康发展。</w:t>
      </w:r>
    </w:p>
    <w:p w14:paraId="4631A265">
      <w:pPr>
        <w:widowControl w:val="0"/>
        <w:spacing w:line="570" w:lineRule="exact"/>
        <w:ind w:firstLine="640"/>
        <w:rPr>
          <w:rFonts w:ascii="楷体_GB2312" w:hAnsi="Times New Roman" w:eastAsia="楷体_GB2312"/>
          <w:color w:val="000000"/>
          <w:szCs w:val="32"/>
        </w:rPr>
      </w:pPr>
      <w:bookmarkStart w:id="160" w:name="_Toc4416"/>
      <w:bookmarkStart w:id="161" w:name="_Toc9362"/>
      <w:bookmarkStart w:id="162" w:name="_Toc12591"/>
      <w:bookmarkStart w:id="163" w:name="_Toc13228"/>
      <w:r>
        <w:rPr>
          <w:rFonts w:hint="eastAsia" w:ascii="楷体_GB2312" w:hAnsi="Times New Roman" w:eastAsia="楷体_GB2312"/>
          <w:color w:val="000000"/>
          <w:szCs w:val="32"/>
        </w:rPr>
        <w:t>（五）构建高质量社会保障体系。</w:t>
      </w:r>
      <w:bookmarkEnd w:id="160"/>
      <w:bookmarkEnd w:id="161"/>
      <w:bookmarkEnd w:id="162"/>
      <w:bookmarkEnd w:id="163"/>
    </w:p>
    <w:p w14:paraId="6F1F5F00">
      <w:pPr>
        <w:widowControl w:val="0"/>
        <w:spacing w:line="57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全力提高居民收入，把稳就业和增收入作为宏观调控的优先目标，完善就业创业服务体系，实现更加充分更高质量就业，力争城镇居民人均可支配收入年均增长10%。加快推进0—3岁普惠制托育机构建设，实现公立幼儿园在较大规模小区和大型企业全覆盖。全面完善社会救助和社会保险保障体系，持续优化医保经办服务，力争基本养老保险参保率达到97.52%；完善以居家养老为基础，社区养老为依托，机构养老为支撑，有梯度、可衔接的社会养老服务体系，发展社区嵌入式养老服务，推动基层医疗与养老机构实现资源融合，完善社会救助体系，引进残疾人智慧服务软件，努力提高广大残疾人生活水平。深化殡葬改革，加快推动公益性公墓建设。</w:t>
      </w:r>
    </w:p>
    <w:p w14:paraId="16C3FAC2">
      <w:pPr>
        <w:widowControl w:val="0"/>
        <w:spacing w:line="570" w:lineRule="exact"/>
        <w:ind w:firstLine="640"/>
        <w:rPr>
          <w:rFonts w:ascii="仿宋_GB2312" w:hAnsi="仿宋_GB2312" w:eastAsia="仿宋_GB2312" w:cs="仿宋_GB2312"/>
          <w:color w:val="000000"/>
          <w:szCs w:val="32"/>
        </w:rPr>
      </w:pPr>
    </w:p>
    <w:p w14:paraId="091F82D9">
      <w:pPr>
        <w:pStyle w:val="95"/>
      </w:pPr>
      <w:bookmarkStart w:id="164" w:name="_Toc11528"/>
      <w:bookmarkStart w:id="165" w:name="_Toc22611"/>
      <w: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414655</wp:posOffset>
                </wp:positionV>
                <wp:extent cx="5507990" cy="3275965"/>
                <wp:effectExtent l="4445" t="4445" r="12065" b="15240"/>
                <wp:wrapSquare wrapText="bothSides"/>
                <wp:docPr id="3" name="文本框 6"/>
                <wp:cNvGraphicFramePr/>
                <a:graphic xmlns:a="http://schemas.openxmlformats.org/drawingml/2006/main">
                  <a:graphicData uri="http://schemas.microsoft.com/office/word/2010/wordprocessingShape">
                    <wps:wsp>
                      <wps:cNvSpPr txBox="1">
                        <a:spLocks noRot="1" noChangeArrowheads="1"/>
                      </wps:cNvSpPr>
                      <wps:spPr bwMode="auto">
                        <a:xfrm>
                          <a:off x="0" y="0"/>
                          <a:ext cx="5641975" cy="3530600"/>
                        </a:xfrm>
                        <a:prstGeom prst="rect">
                          <a:avLst/>
                        </a:prstGeom>
                        <a:solidFill>
                          <a:srgbClr val="FFFFFF"/>
                        </a:solidFill>
                        <a:ln w="9525">
                          <a:solidFill>
                            <a:srgbClr val="000000"/>
                          </a:solidFill>
                          <a:miter lim="800000"/>
                        </a:ln>
                        <a:effectLst/>
                      </wps:spPr>
                      <wps:txbx>
                        <w:txbxContent>
                          <w:p w14:paraId="44AF4B76">
                            <w:pPr>
                              <w:spacing w:line="410" w:lineRule="exact"/>
                              <w:ind w:firstLine="672" w:firstLineChars="224"/>
                              <w:rPr>
                                <w:rFonts w:ascii="仿宋_GB2312" w:hAnsi="仿宋_GB2312" w:eastAsia="仿宋_GB2312" w:cs="仿宋_GB2312"/>
                                <w:sz w:val="30"/>
                                <w:szCs w:val="30"/>
                              </w:rPr>
                            </w:pPr>
                            <w:r>
                              <w:rPr>
                                <w:rFonts w:hint="eastAsia" w:ascii="仿宋_GB2312" w:hAnsi="仿宋_GB2312" w:eastAsia="仿宋_GB2312" w:cs="仿宋_GB2312"/>
                                <w:sz w:val="30"/>
                                <w:szCs w:val="30"/>
                              </w:rPr>
                              <w:t>文化：黄石市黄石港区青港湖青少年活动中心青年创意产业园区、黄石中央文化区一期、华新水泥小镇、地质里文化街区、阅亮读书、黄石港区档案馆建设</w:t>
                            </w:r>
                          </w:p>
                          <w:p w14:paraId="3879340A">
                            <w:pPr>
                              <w:spacing w:line="410" w:lineRule="exact"/>
                              <w:ind w:firstLine="672" w:firstLineChars="224"/>
                              <w:rPr>
                                <w:rFonts w:ascii="仿宋_GB2312" w:hAnsi="仿宋_GB2312" w:eastAsia="仿宋_GB2312" w:cs="仿宋_GB2312"/>
                                <w:sz w:val="30"/>
                                <w:szCs w:val="30"/>
                              </w:rPr>
                            </w:pPr>
                            <w:r>
                              <w:rPr>
                                <w:rFonts w:hint="eastAsia" w:ascii="仿宋_GB2312" w:hAnsi="仿宋_GB2312" w:eastAsia="仿宋_GB2312" w:cs="仿宋_GB2312"/>
                                <w:sz w:val="30"/>
                                <w:szCs w:val="30"/>
                              </w:rPr>
                              <w:t>教育：湖北师范大学国际学术交流中心项目、黄石市中山小学二期改扩建工程、黄石港区磁湖北岸学校新建工程、黄石市武黄路小学改扩建工程、黄石市楠竹林小学改扩建工程、黄石市十四中改扩建工程、黄石市花湖小学改扩建工程，花湖中学新建工程、桂花路小学新建工程，刘家湾小学新建工程，江北校外研学中心工程。</w:t>
                            </w:r>
                          </w:p>
                          <w:p w14:paraId="424A0992">
                            <w:pPr>
                              <w:spacing w:line="410" w:lineRule="exact"/>
                              <w:ind w:firstLine="672" w:firstLineChars="224"/>
                              <w:rPr>
                                <w:rFonts w:ascii="仿宋_GB2312" w:hAnsi="仿宋_GB2312" w:eastAsia="仿宋_GB2312" w:cs="仿宋_GB2312"/>
                                <w:sz w:val="30"/>
                                <w:szCs w:val="30"/>
                              </w:rPr>
                            </w:pPr>
                            <w:r>
                              <w:rPr>
                                <w:rFonts w:hint="eastAsia" w:ascii="仿宋_GB2312" w:hAnsi="仿宋_GB2312" w:eastAsia="仿宋_GB2312" w:cs="仿宋_GB2312"/>
                                <w:sz w:val="30"/>
                                <w:szCs w:val="30"/>
                              </w:rPr>
                              <w:t>公共卫生与健康：黄石港区社区卫生服务中心发热门诊（诊室）项目、黄石港区基层医疗卫生机构设备配备及信息化建设项目、黄石市第二医院职业病综合大楼及颐养楼工程、黄石普仁医院医养中心、黄石市黄石港区盘龙山医养融合示范区</w:t>
                            </w: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3.05pt;margin-top:32.65pt;height:257.95pt;width:433.7pt;mso-wrap-distance-bottom:0pt;mso-wrap-distance-left:9pt;mso-wrap-distance-right:9pt;mso-wrap-distance-top:0pt;z-index:251660288;mso-width-relative:page;mso-height-relative:page;" fillcolor="#FFFFFF" filled="t" stroked="t" coordsize="21600,21600" o:gfxdata="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FyUrLYAAAACAEAAA8A&#10;AAAAAAAAAQAgAAAAIgAAAGRycy9kb3ducmV2LnhtbFBLAQIUABQAAAAIAIdO4kDnpSGDUAIAAKAE&#10;AAAOAAAAAAAAAAEAIAAAACcBAABkcnMvZTJvRG9jLnhtbFBLBQYAAAAABgAGAFkBAADpBQAAAAA=&#10;">
                <v:fill on="t" focussize="0,0"/>
                <v:stroke color="#000000" miterlimit="8" joinstyle="miter"/>
                <v:imagedata o:title=""/>
                <o:lock v:ext="edit" rotation="t" aspectratio="f"/>
                <v:textbox>
                  <w:txbxContent>
                    <w:p w14:paraId="44AF4B76">
                      <w:pPr>
                        <w:spacing w:line="410" w:lineRule="exact"/>
                        <w:ind w:firstLine="672" w:firstLineChars="224"/>
                        <w:rPr>
                          <w:rFonts w:ascii="仿宋_GB2312" w:hAnsi="仿宋_GB2312" w:eastAsia="仿宋_GB2312" w:cs="仿宋_GB2312"/>
                          <w:sz w:val="30"/>
                          <w:szCs w:val="30"/>
                        </w:rPr>
                      </w:pPr>
                      <w:r>
                        <w:rPr>
                          <w:rFonts w:hint="eastAsia" w:ascii="仿宋_GB2312" w:hAnsi="仿宋_GB2312" w:eastAsia="仿宋_GB2312" w:cs="仿宋_GB2312"/>
                          <w:sz w:val="30"/>
                          <w:szCs w:val="30"/>
                        </w:rPr>
                        <w:t>文化：黄石市黄石港区青港湖青少年活动中心青年创意产业园区、黄石中央文化区一期、华新水泥小镇、地质里文化街区、阅亮读书、黄石港区档案馆建设</w:t>
                      </w:r>
                    </w:p>
                    <w:p w14:paraId="3879340A">
                      <w:pPr>
                        <w:spacing w:line="410" w:lineRule="exact"/>
                        <w:ind w:firstLine="672" w:firstLineChars="224"/>
                        <w:rPr>
                          <w:rFonts w:ascii="仿宋_GB2312" w:hAnsi="仿宋_GB2312" w:eastAsia="仿宋_GB2312" w:cs="仿宋_GB2312"/>
                          <w:sz w:val="30"/>
                          <w:szCs w:val="30"/>
                        </w:rPr>
                      </w:pPr>
                      <w:r>
                        <w:rPr>
                          <w:rFonts w:hint="eastAsia" w:ascii="仿宋_GB2312" w:hAnsi="仿宋_GB2312" w:eastAsia="仿宋_GB2312" w:cs="仿宋_GB2312"/>
                          <w:sz w:val="30"/>
                          <w:szCs w:val="30"/>
                        </w:rPr>
                        <w:t>教育：湖北师范大学国际学术交流中心项目、黄石市中山小学二期改扩建工程、黄石港区磁湖北岸学校新建工程、黄石市武黄路小学改扩建工程、黄石市楠竹林小学改扩建工程、黄石市十四中改扩建工程、黄石市花湖小学改扩建工程，花湖中学新建工程、桂花路小学新建工程，刘家湾小学新建工程，江北校外研学中心工程。</w:t>
                      </w:r>
                    </w:p>
                    <w:p w14:paraId="424A0992">
                      <w:pPr>
                        <w:spacing w:line="410" w:lineRule="exact"/>
                        <w:ind w:firstLine="672" w:firstLineChars="224"/>
                        <w:rPr>
                          <w:rFonts w:ascii="仿宋_GB2312" w:hAnsi="仿宋_GB2312" w:eastAsia="仿宋_GB2312" w:cs="仿宋_GB2312"/>
                          <w:sz w:val="30"/>
                          <w:szCs w:val="30"/>
                        </w:rPr>
                      </w:pPr>
                      <w:r>
                        <w:rPr>
                          <w:rFonts w:hint="eastAsia" w:ascii="仿宋_GB2312" w:hAnsi="仿宋_GB2312" w:eastAsia="仿宋_GB2312" w:cs="仿宋_GB2312"/>
                          <w:sz w:val="30"/>
                          <w:szCs w:val="30"/>
                        </w:rPr>
                        <w:t>公共卫生与健康：黄石港区社区卫生服务中心发热门诊（诊室）项目、黄石港区基层医疗卫生机构设备配备及信息化建设项目、黄石市第二医院职业病综合大楼及颐养楼工程、黄石普仁医院医养中心、黄石市黄石港区盘龙山医养融合示范区</w:t>
                      </w:r>
                    </w:p>
                  </w:txbxContent>
                </v:textbox>
                <w10:wrap type="square"/>
              </v:shape>
            </w:pict>
          </mc:Fallback>
        </mc:AlternateContent>
      </w:r>
      <w:r>
        <w:rPr>
          <w:rFonts w:hint="eastAsia"/>
        </w:rPr>
        <w:t>专栏5　社会民生工程</w:t>
      </w:r>
      <w:bookmarkEnd w:id="164"/>
      <w:bookmarkEnd w:id="165"/>
      <w:bookmarkStart w:id="166" w:name="_Toc7697"/>
      <w:bookmarkStart w:id="167" w:name="_Toc28863"/>
      <w:bookmarkStart w:id="168" w:name="_Toc11906"/>
      <w:bookmarkStart w:id="169" w:name="_Toc15082"/>
    </w:p>
    <w:p w14:paraId="0C96C150">
      <w:pPr>
        <w:pStyle w:val="2"/>
        <w:widowControl w:val="0"/>
        <w:spacing w:before="0" w:after="0" w:line="570" w:lineRule="exact"/>
        <w:ind w:firstLine="640"/>
        <w:rPr>
          <w:rFonts w:ascii="方正黑体_GBK" w:eastAsia="方正黑体_GBK"/>
          <w:bCs w:val="0"/>
          <w:color w:val="000000"/>
          <w:szCs w:val="32"/>
        </w:rPr>
      </w:pPr>
      <w:r>
        <w:rPr>
          <w:rFonts w:hint="eastAsia" w:ascii="方正黑体_GBK" w:eastAsia="方正黑体_GBK"/>
          <w:bCs w:val="0"/>
          <w:color w:val="000000"/>
          <w:szCs w:val="32"/>
        </w:rPr>
        <w:t>八、聚焦重点领域改革，健全高质量发展体制机制</w:t>
      </w:r>
    </w:p>
    <w:p w14:paraId="7BDFD472">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坚持和完善社会主义基本经济制度，充分发挥市场在资源配置中的决定性作用，推动有效市场和有为政府更好结合，重点推进行政体制、经济体制、基层社会治理等方面改革，为全区经济社会高质量发展提供体制机制保障。</w:t>
      </w:r>
    </w:p>
    <w:p w14:paraId="2C0F3130">
      <w:pPr>
        <w:pStyle w:val="4"/>
        <w:widowControl w:val="0"/>
        <w:spacing w:line="570" w:lineRule="exact"/>
        <w:ind w:firstLine="640"/>
        <w:rPr>
          <w:rFonts w:ascii="楷体_GB2312"/>
          <w:b w:val="0"/>
          <w:bCs w:val="0"/>
          <w:color w:val="000000"/>
        </w:rPr>
      </w:pPr>
      <w:r>
        <w:rPr>
          <w:rFonts w:hint="eastAsia" w:ascii="楷体_GB2312"/>
          <w:b w:val="0"/>
          <w:bCs w:val="0"/>
          <w:color w:val="000000"/>
        </w:rPr>
        <w:t>（一）深化行政体制改革</w:t>
      </w:r>
    </w:p>
    <w:p w14:paraId="7F3B22B4">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加快转变政府职能，继续深化行政体制改革，在新发展阶段推动实现政府治理现代化。</w:t>
      </w:r>
    </w:p>
    <w:p w14:paraId="0604BEBA">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建立完善高质量发展体制机制。进一步理顺黄石港临空商务产业园建设、运行和融资机制。按照区域协同理念，建立同湖北国际物流核心枢纽及周边地区的对接融合发展机制。深化“互联网+”现代服务业发展模式，建立“对接长三角”的长效机制，推动总部经济专业化、特色化发展。建立长江大保护、区域生态治理与文旅产业联动推进、融合发展新机制，为打造滨水绿色发展带、实现绿色发展注入动力。完善房屋征收、老旧小区改造、公共空间品质提升等运行机制，力推城市更新攻坚行动。</w:t>
      </w:r>
    </w:p>
    <w:p w14:paraId="64E2CFC4">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2、持续优化营商环境。坚持以市场主体为中心，市场评价为第一评价，企业感受为第一感受。大力弘扬“有求必应、无事不扰”的店小二精神，持续深化“放管服”改革，全面推行“不见面办事”“一网通办”“一事联办”“异地可办”，最大限度激发市场主体活力和发展内生动力，努力把黄石港打造成鄂东最具投资吸引力的城区之一。</w:t>
      </w:r>
    </w:p>
    <w:p w14:paraId="5CD3B0AF">
      <w:pPr>
        <w:widowControl w:val="0"/>
        <w:spacing w:line="570" w:lineRule="exact"/>
        <w:ind w:firstLine="640"/>
        <w:rPr>
          <w:rFonts w:ascii="仿宋_GB2312" w:hAnsi="仿宋_GB2312" w:eastAsia="仿宋_GB2312" w:cs="仿宋_GB2312"/>
          <w:color w:val="000000"/>
          <w:szCs w:val="32"/>
        </w:rPr>
      </w:pPr>
      <w:bookmarkStart w:id="170" w:name="_Toc12329"/>
      <w:bookmarkStart w:id="171" w:name="_Toc22650"/>
      <w:bookmarkStart w:id="172" w:name="_Toc26603"/>
      <w:bookmarkStart w:id="173" w:name="_Toc7025"/>
      <w:r>
        <w:rPr>
          <w:rStyle w:val="73"/>
          <w:rFonts w:hint="eastAsia" w:ascii="仿宋_GB2312" w:eastAsia="仿宋_GB2312"/>
          <w:b w:val="0"/>
          <w:bCs w:val="0"/>
          <w:color w:val="000000"/>
        </w:rPr>
        <w:t>3、深化街道体制改革。</w:t>
      </w:r>
      <w:bookmarkEnd w:id="170"/>
      <w:bookmarkEnd w:id="171"/>
      <w:bookmarkEnd w:id="172"/>
      <w:bookmarkEnd w:id="173"/>
      <w:r>
        <w:rPr>
          <w:rFonts w:hint="eastAsia" w:ascii="仿宋_GB2312" w:hAnsi="仿宋_GB2312" w:eastAsia="仿宋_GB2312" w:cs="仿宋_GB2312"/>
          <w:color w:val="000000"/>
          <w:szCs w:val="32"/>
        </w:rPr>
        <w:t>深化街道体制改革是党和国家机构改革的重要配套改革，是推进国家治理体系和治理能力现代化的重要内容，是夯实党的执政基础确保国家长治久安的重要举措，以健全党的全面领导制度为着力点，进一步完善街道职能定位，调整优化街道内设机构设置，健全街道党的“大工委”制度。推进延伸派驻机构体制改革，统筹设置街道直属事业单位。明确街道执法主体地位，组建街道综合执法机构。完善街道检查考核体系。</w:t>
      </w:r>
    </w:p>
    <w:p w14:paraId="0974AA8F">
      <w:pPr>
        <w:pStyle w:val="4"/>
        <w:widowControl w:val="0"/>
        <w:spacing w:line="570" w:lineRule="exact"/>
        <w:ind w:firstLine="640"/>
        <w:rPr>
          <w:rFonts w:ascii="楷体_GB2312"/>
          <w:b w:val="0"/>
          <w:bCs w:val="0"/>
          <w:color w:val="000000"/>
        </w:rPr>
      </w:pPr>
      <w:r>
        <w:rPr>
          <w:rFonts w:hint="eastAsia" w:ascii="楷体_GB2312"/>
          <w:b w:val="0"/>
          <w:bCs w:val="0"/>
          <w:color w:val="000000"/>
        </w:rPr>
        <w:t>（二）建立完善经济发展体制机制</w:t>
      </w:r>
    </w:p>
    <w:p w14:paraId="7C2131A1">
      <w:pPr>
        <w:widowControl w:val="0"/>
        <w:spacing w:line="570" w:lineRule="exact"/>
        <w:ind w:firstLine="640"/>
        <w:rPr>
          <w:rStyle w:val="98"/>
        </w:rPr>
      </w:pPr>
      <w:r>
        <w:rPr>
          <w:rStyle w:val="73"/>
          <w:rFonts w:hint="eastAsia" w:ascii="仿宋_GB2312" w:eastAsia="仿宋_GB2312"/>
          <w:b w:val="0"/>
          <w:bCs w:val="0"/>
          <w:color w:val="000000"/>
        </w:rPr>
        <w:t>1、打造更加公平公正的法治环境。</w:t>
      </w:r>
      <w:r>
        <w:rPr>
          <w:rStyle w:val="98"/>
          <w:rFonts w:hint="eastAsia"/>
        </w:rPr>
        <w:t>全面落实政务公开，行政执法公示、执法全过程记录和重大执法决定法制审核制度，严格规范公正文明执法。依法保护市场主体经营自主权、财产权和其他合法权益，杜绝非法实施行政强制或进行摊派。推动健全调解、仲裁、行政裁决、行政复议、诉讼等有机衔接、相互协调的多元化纠纷解决机制。包容审慎开展涉企案件办理，畅通营商环境问题反馈渠道，构建“亲”、“清”新型政商关系。</w:t>
      </w:r>
    </w:p>
    <w:p w14:paraId="01B0CD5A">
      <w:pPr>
        <w:widowControl w:val="0"/>
        <w:spacing w:line="570" w:lineRule="exact"/>
        <w:ind w:firstLine="640"/>
        <w:rPr>
          <w:rFonts w:ascii="仿宋_GB2312" w:hAnsi="仿宋_GB2312" w:eastAsia="仿宋_GB2312" w:cs="仿宋_GB2312"/>
          <w:color w:val="000000"/>
          <w:szCs w:val="32"/>
        </w:rPr>
      </w:pPr>
      <w:r>
        <w:rPr>
          <w:rStyle w:val="73"/>
          <w:rFonts w:hint="eastAsia" w:ascii="仿宋_GB2312" w:eastAsia="仿宋_GB2312"/>
          <w:b w:val="0"/>
          <w:bCs w:val="0"/>
          <w:color w:val="000000"/>
        </w:rPr>
        <w:t>2、深化要素市场化配置改革。</w:t>
      </w:r>
      <w:r>
        <w:rPr>
          <w:rFonts w:hint="eastAsia" w:ascii="仿宋_GB2312" w:hAnsi="仿宋_GB2312" w:eastAsia="仿宋_GB2312" w:cs="仿宋_GB2312"/>
          <w:color w:val="000000"/>
          <w:szCs w:val="32"/>
        </w:rPr>
        <w:t>坚持不懈调结构、换动能、转方式，坚决破除制约市场公平竞争的各类障碍和隐性壁垒，建立违反公平竞争问题反映和举报绿色通道，提升市场综合监管能力。结合《黄石港临空商务产业园全域规划》等内容盘活存量土地和低效用地，加强土地集约化利用和精细化管理，把高质量发展不断引向深入。</w:t>
      </w:r>
    </w:p>
    <w:p w14:paraId="1C3F5D9D">
      <w:pPr>
        <w:widowControl w:val="0"/>
        <w:spacing w:line="570" w:lineRule="exact"/>
        <w:ind w:firstLine="640"/>
        <w:rPr>
          <w:rFonts w:ascii="仿宋_GB2312" w:hAnsi="仿宋_GB2312" w:eastAsia="仿宋_GB2312" w:cs="仿宋_GB2312"/>
          <w:color w:val="000000"/>
          <w:szCs w:val="32"/>
        </w:rPr>
      </w:pPr>
      <w:r>
        <w:rPr>
          <w:rStyle w:val="73"/>
          <w:rFonts w:hint="eastAsia" w:ascii="仿宋_GB2312" w:eastAsia="仿宋_GB2312"/>
          <w:b w:val="0"/>
          <w:bCs w:val="0"/>
          <w:color w:val="000000"/>
        </w:rPr>
        <w:t>3、全面落实公平竞争制度。</w:t>
      </w:r>
      <w:r>
        <w:rPr>
          <w:rFonts w:hint="eastAsia" w:ascii="仿宋_GB2312" w:hAnsi="仿宋_GB2312" w:eastAsia="仿宋_GB2312" w:cs="仿宋_GB2312"/>
          <w:color w:val="000000"/>
          <w:szCs w:val="32"/>
        </w:rPr>
        <w:t>对行政机关和法律、法规授权具有管理公共事务职能组织制定的涉及市场主体经济活动的规章、规范性文件和其他政策措施，开展常态化公平竞争审查，建立清理隐性门槛的长效机制。坚持执行全国统一的市场准入负面清单，持续推动破除市场准入壁垒，推动“非禁即入</w:t>
      </w:r>
      <w:r>
        <w:rPr>
          <w:rStyle w:val="33"/>
          <w:rFonts w:hint="eastAsia" w:ascii="仿宋_GB2312" w:hAnsi="仿宋_GB2312" w:eastAsia="仿宋_GB2312" w:cs="仿宋_GB2312"/>
          <w:color w:val="000000"/>
          <w:szCs w:val="32"/>
        </w:rPr>
        <w:endnoteReference w:id="9"/>
      </w:r>
      <w:r>
        <w:rPr>
          <w:rFonts w:hint="eastAsia" w:ascii="仿宋_GB2312" w:hAnsi="仿宋_GB2312" w:eastAsia="仿宋_GB2312" w:cs="仿宋_GB2312"/>
          <w:color w:val="000000"/>
          <w:szCs w:val="32"/>
        </w:rPr>
        <w:t>”普遍落实。落实外商投资准入前国民待遇加负面清单管理制度。定期清理、调整、更新市场准入管理规定的政策文件。</w:t>
      </w:r>
    </w:p>
    <w:p w14:paraId="7533F0DA">
      <w:pPr>
        <w:widowControl w:val="0"/>
        <w:spacing w:line="570" w:lineRule="exact"/>
        <w:ind w:firstLine="640"/>
        <w:rPr>
          <w:rFonts w:ascii="仿宋_GB2312" w:hAnsi="仿宋_GB2312" w:eastAsia="仿宋_GB2312" w:cs="仿宋_GB2312"/>
          <w:color w:val="000000"/>
          <w:szCs w:val="32"/>
        </w:rPr>
      </w:pPr>
      <w:r>
        <w:rPr>
          <w:rStyle w:val="73"/>
          <w:rFonts w:hint="eastAsia" w:ascii="仿宋_GB2312" w:eastAsia="仿宋_GB2312"/>
          <w:b w:val="0"/>
          <w:bCs w:val="0"/>
          <w:color w:val="000000"/>
        </w:rPr>
        <w:t>4、全面推进民营经济高质量发展。</w:t>
      </w:r>
      <w:r>
        <w:rPr>
          <w:rFonts w:hint="eastAsia" w:ascii="仿宋_GB2312" w:hAnsi="仿宋_GB2312" w:eastAsia="仿宋_GB2312" w:cs="仿宋_GB2312"/>
          <w:color w:val="000000"/>
          <w:szCs w:val="32"/>
        </w:rPr>
        <w:t>研究制定区级现代服务业发展引导资金等促进民营经济发展的政策体系，进一步畅通惠企政策落实渠道，推行“免申即享”，切实降低民营企业成本费用。着力解决民营企业特别是中小企业融资难问题，逐步降低融资成本。完善政企沟通协商制度，建立领导干部走访服务企业长效机制，加强与企业和行业协会商会的常态化联系。</w:t>
      </w:r>
    </w:p>
    <w:p w14:paraId="12C466CE">
      <w:pPr>
        <w:pStyle w:val="4"/>
        <w:widowControl w:val="0"/>
        <w:spacing w:line="570" w:lineRule="exact"/>
        <w:ind w:firstLine="640"/>
        <w:rPr>
          <w:rFonts w:ascii="楷体_GB2312"/>
          <w:b w:val="0"/>
          <w:bCs w:val="0"/>
          <w:color w:val="000000"/>
        </w:rPr>
      </w:pPr>
      <w:r>
        <w:rPr>
          <w:rFonts w:hint="eastAsia" w:ascii="楷体_GB2312"/>
          <w:b w:val="0"/>
          <w:bCs w:val="0"/>
          <w:color w:val="000000"/>
        </w:rPr>
        <w:t>（三）深入推进社会领域改革</w:t>
      </w:r>
    </w:p>
    <w:p w14:paraId="720F0ECE">
      <w:pPr>
        <w:widowControl w:val="0"/>
        <w:spacing w:line="570" w:lineRule="exact"/>
        <w:ind w:firstLine="640"/>
        <w:rPr>
          <w:rFonts w:ascii="仿宋_GB2312" w:hAnsi="仿宋_GB2312" w:eastAsia="仿宋_GB2312" w:cs="仿宋_GB2312"/>
          <w:color w:val="000000"/>
          <w:szCs w:val="32"/>
        </w:rPr>
      </w:pPr>
      <w:r>
        <w:rPr>
          <w:rFonts w:hint="eastAsia" w:ascii="仿宋_GB2312" w:eastAsia="仿宋_GB2312"/>
          <w:color w:val="000000"/>
          <w:szCs w:val="32"/>
        </w:rPr>
        <w:t>1、全面推进各项社会领域改革。</w:t>
      </w:r>
      <w:r>
        <w:rPr>
          <w:rFonts w:hint="eastAsia" w:ascii="仿宋_GB2312" w:hAnsi="仿宋_GB2312" w:eastAsia="仿宋_GB2312" w:cs="仿宋_GB2312"/>
          <w:color w:val="000000"/>
          <w:szCs w:val="32"/>
        </w:rPr>
        <w:t>深化教育医疗卫生体制改革，完善集团办学模式、法人治理体制、教师交流激励机制，促进优质教育资源科学配置，实现义务教育高位优质均衡发展；建立健全疾病预防控制和公共卫生体系，包括改革完善疾病预防控制体系，完善公共卫生应急治理体系，健全公共卫生应急救治体系等，强化公卫体系建设保障，推进医疗卫生和健康产业融合发展。</w:t>
      </w:r>
      <w:r>
        <w:rPr>
          <w:rFonts w:ascii="仿宋_GB2312" w:hAnsi="仿宋_GB2312" w:eastAsia="仿宋_GB2312" w:cs="仿宋_GB2312"/>
          <w:color w:val="000000"/>
          <w:szCs w:val="32"/>
        </w:rPr>
        <w:t>持续深化税收征管改革，</w:t>
      </w:r>
      <w:r>
        <w:rPr>
          <w:rFonts w:hint="eastAsia" w:ascii="仿宋_GB2312" w:hAnsi="仿宋_GB2312" w:eastAsia="仿宋_GB2312" w:cs="仿宋_GB2312"/>
          <w:color w:val="000000"/>
          <w:szCs w:val="32"/>
        </w:rPr>
        <w:t>落实</w:t>
      </w:r>
      <w:r>
        <w:rPr>
          <w:rFonts w:ascii="仿宋_GB2312" w:hAnsi="仿宋_GB2312" w:eastAsia="仿宋_GB2312" w:cs="仿宋_GB2312"/>
          <w:color w:val="000000"/>
          <w:szCs w:val="32"/>
        </w:rPr>
        <w:t>《关于进一步深化税收征管改革的意见》，实现税务执法服务监管与大数据智能化应用深度融合</w:t>
      </w:r>
      <w:r>
        <w:rPr>
          <w:rFonts w:hint="eastAsia" w:ascii="仿宋_GB2312" w:hAnsi="仿宋_GB2312" w:eastAsia="仿宋_GB2312" w:cs="仿宋_GB2312"/>
          <w:color w:val="000000"/>
          <w:szCs w:val="32"/>
        </w:rPr>
        <w:t>，形</w:t>
      </w:r>
      <w:r>
        <w:rPr>
          <w:rFonts w:ascii="仿宋_GB2312" w:hAnsi="仿宋_GB2312" w:eastAsia="仿宋_GB2312" w:cs="仿宋_GB2312"/>
          <w:color w:val="000000"/>
          <w:szCs w:val="32"/>
        </w:rPr>
        <w:t>成税务部门与相关部门数据共享，基本实现涉税事项全国通办</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发票全领域电子化。</w:t>
      </w:r>
    </w:p>
    <w:p w14:paraId="4E9175B0">
      <w:pPr>
        <w:widowControl w:val="0"/>
        <w:spacing w:line="570" w:lineRule="exact"/>
        <w:ind w:firstLine="640"/>
        <w:rPr>
          <w:rFonts w:ascii="仿宋_GB2312" w:hAnsi="仿宋_GB2312" w:eastAsia="仿宋_GB2312" w:cs="仿宋_GB2312"/>
          <w:color w:val="000000"/>
          <w:szCs w:val="32"/>
        </w:rPr>
      </w:pPr>
      <w:r>
        <w:rPr>
          <w:rStyle w:val="73"/>
          <w:rFonts w:hint="eastAsia" w:ascii="仿宋_GB2312" w:eastAsia="仿宋_GB2312"/>
          <w:b w:val="0"/>
          <w:bCs w:val="0"/>
          <w:color w:val="000000"/>
        </w:rPr>
        <w:t>2、加强社会信用体系建设。</w:t>
      </w:r>
      <w:r>
        <w:rPr>
          <w:rFonts w:hint="eastAsia" w:ascii="仿宋_GB2312" w:hAnsi="仿宋_GB2312" w:eastAsia="仿宋_GB2312" w:cs="仿宋_GB2312"/>
          <w:color w:val="000000"/>
          <w:szCs w:val="32"/>
        </w:rPr>
        <w:t>完善诚信建设长效机制，进一步规范“双公示”信用信息归集纳入、共享公开的范围和程序,力争信息公示及时率、准确率达到100%。大力推行与市场准入负面清单制度相适应的社会信用体系和激励惩戒对象认定机制，将红黑名单和奖惩规制自动嵌入政府部门的审批、监管、服务等业务流程。</w:t>
      </w:r>
    </w:p>
    <w:p w14:paraId="1F634564">
      <w:pPr>
        <w:widowControl w:val="0"/>
        <w:spacing w:line="570" w:lineRule="exact"/>
        <w:ind w:firstLine="640"/>
        <w:rPr>
          <w:rFonts w:ascii="仿宋_GB2312" w:hAnsi="仿宋_GB2312" w:eastAsia="仿宋_GB2312" w:cs="仿宋_GB2312"/>
          <w:color w:val="000000"/>
          <w:szCs w:val="32"/>
        </w:rPr>
      </w:pPr>
      <w:r>
        <w:rPr>
          <w:rStyle w:val="73"/>
          <w:rFonts w:hint="eastAsia" w:ascii="仿宋_GB2312" w:eastAsia="仿宋_GB2312"/>
          <w:b w:val="0"/>
          <w:bCs w:val="0"/>
          <w:color w:val="000000"/>
        </w:rPr>
        <w:t>3、建立健全生态治理和城市更新机制。</w:t>
      </w:r>
      <w:r>
        <w:rPr>
          <w:rFonts w:hint="eastAsia" w:ascii="仿宋_GB2312" w:hAnsi="仿宋_GB2312" w:eastAsia="仿宋_GB2312" w:cs="仿宋_GB2312"/>
          <w:color w:val="000000"/>
          <w:szCs w:val="32"/>
        </w:rPr>
        <w:t>建立长江大保护、区域生态治理与文旅产业联动推进、融合发展新机制，为打造滨水绿色发展带，实现绿色发展注入动力。进一步完善房屋征收、老旧小区改造、公共空间品质提升等运行机制，力推城市更新攻坚行动。</w:t>
      </w:r>
    </w:p>
    <w:p w14:paraId="6E4B54F9">
      <w:pPr>
        <w:pStyle w:val="2"/>
        <w:widowControl w:val="0"/>
        <w:spacing w:before="0" w:after="0" w:line="570" w:lineRule="exact"/>
        <w:ind w:firstLine="640"/>
        <w:rPr>
          <w:rFonts w:ascii="方正黑体_GBK" w:eastAsia="方正黑体_GBK"/>
          <w:bCs w:val="0"/>
          <w:color w:val="000000"/>
          <w:szCs w:val="32"/>
        </w:rPr>
      </w:pPr>
      <w:r>
        <w:rPr>
          <w:rFonts w:hint="eastAsia" w:ascii="方正黑体_GBK" w:eastAsia="方正黑体_GBK"/>
          <w:bCs w:val="0"/>
          <w:color w:val="000000"/>
          <w:szCs w:val="32"/>
        </w:rPr>
        <w:t>九、完善区域治理体系，营造安全稳定发展环境</w:t>
      </w:r>
    </w:p>
    <w:bookmarkEnd w:id="166"/>
    <w:bookmarkEnd w:id="167"/>
    <w:bookmarkEnd w:id="168"/>
    <w:bookmarkEnd w:id="169"/>
    <w:p w14:paraId="68F1BD13">
      <w:pPr>
        <w:pStyle w:val="4"/>
        <w:widowControl w:val="0"/>
        <w:spacing w:line="570" w:lineRule="exact"/>
        <w:ind w:firstLine="640"/>
        <w:rPr>
          <w:rFonts w:ascii="楷体_GB2312"/>
          <w:b w:val="0"/>
          <w:bCs w:val="0"/>
          <w:color w:val="000000"/>
        </w:rPr>
      </w:pPr>
      <w:r>
        <w:rPr>
          <w:rFonts w:hint="eastAsia" w:ascii="楷体_GB2312"/>
          <w:b w:val="0"/>
          <w:bCs w:val="0"/>
          <w:color w:val="000000"/>
        </w:rPr>
        <w:t>（一）推进社会主义民主政治建设。</w:t>
      </w:r>
    </w:p>
    <w:p w14:paraId="18A173EB">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推进社会主义民主政治制度化、规范化、程序化，建立更加健全的社会主义民主政治制度。</w:t>
      </w:r>
    </w:p>
    <w:p w14:paraId="272E0107">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1、坚持和完善人民代表大会制度。加强人大代表同人民群众的密切联系，发展更加广泛、更加充分、更加健全的人民民主。加强人大对“一府一委两院”的监督。弘扬社会主义法治精神。</w:t>
      </w:r>
    </w:p>
    <w:p w14:paraId="03292ABE">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2、深化协商民主发展。积极开展人大协商、人民团体协商、基层协商，支持民主党派、工商联、无党派人士发挥参政议政作用。大力发展基层民主。依法深入推行民主选举、民主决策、民主管理和民主监督，确保议事程序规范、决议实施有力、信息公开透明。建立“两代表一委员”基层协商议事制度。加强各类企事业单位和社会组织民主机制建设，健全以职工代表大会为基本形式的企事业单位民主管理制度。</w:t>
      </w:r>
    </w:p>
    <w:p w14:paraId="4B820A32">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3、发展最广泛的爱国统一战线。坚持和完善大统战工作格局，支持民主党派和无党派人士加强履职能力建设，全面贯彻党的民族政策和宗教工作方针，加强对党外知识分子、非公有制经济人士、新的社会阶层人士的团结引导工作。促进政党关系、民族关系、宗教关系、阶层关系、海内外同胞关系和谐，巩固和发展大团结大联合局面。</w:t>
      </w:r>
    </w:p>
    <w:p w14:paraId="6EBD9C49">
      <w:pPr>
        <w:pStyle w:val="4"/>
        <w:widowControl w:val="0"/>
        <w:spacing w:line="570" w:lineRule="exact"/>
        <w:ind w:firstLine="640"/>
        <w:rPr>
          <w:rFonts w:ascii="楷体_GB2312"/>
          <w:b w:val="0"/>
          <w:bCs w:val="0"/>
          <w:color w:val="000000"/>
        </w:rPr>
      </w:pPr>
      <w:r>
        <w:rPr>
          <w:rFonts w:hint="eastAsia" w:ascii="楷体_GB2312"/>
          <w:b w:val="0"/>
          <w:bCs w:val="0"/>
          <w:color w:val="000000"/>
        </w:rPr>
        <w:t>（二）提升依法治区能力。</w:t>
      </w:r>
    </w:p>
    <w:p w14:paraId="3D720709">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健全法治黄石港区建设制度，构建系统完备、科学规范、集约高效的区域社会治理法治体系，提高依法治区能力。</w:t>
      </w:r>
    </w:p>
    <w:p w14:paraId="2CCA56CC">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维护宪法法律权威。坚持宪法至上，弘扬宪法精神，维护宪法权威，全面落实宪法宣誓制度。坚持依宪治国，加强宪法实施和监督，完善合宪性审查制度，落实宪法解释程序机制，维护国家法制统一、尊严、权威。健全法律面前人人平等保障机制。</w:t>
      </w:r>
    </w:p>
    <w:p w14:paraId="66B3D767">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2、推进法治政府建设。深化法治政府、法治社会建设和行政执法体制改革，深化司法责任制综合配套改革，完善执法机构职能、执法联动机制，严格规范公正文明执法与执法自由裁量权，落实行政执法公示、执法全过程记录、重大执法决定法制审核“三项制度”。健全行政执法监督制度，推行联合惩戒和“黑名单”制度。落实各级行政机关负责人出庭应诉制度。加强新时代干部队伍执法能力建设，完善严格行政执法人员持证上岗、资格管理及岗前法律培训制度，提高干部执法能力和专业化水平。强化基层一线执法力量。</w:t>
      </w:r>
    </w:p>
    <w:p w14:paraId="487C4A16">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3、强化行政执法综合监督。深化行政执法层级监督管理机制改革创新，规范司法权力运行机制，持续提升司法效能和公信力。强化行政执法活动的综合监督，促进行政机关严格执法、依法行政。加大对法律法规实施的监督力度，保证行政权、监察权、审判权、检察权得到依法正确行使，公民、法人和其他组织合法权益得到切实保障。</w:t>
      </w:r>
    </w:p>
    <w:p w14:paraId="0DB75FD5">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4、深入推进法治宣传普及。加大全民普法力度，增强全民法治观念。落实“谁执法谁普法”责任制，建立区直机关单位普法责任清单，引导全社会办事依法、遇事找法、解决问题用法、化解矛盾靠法，夯实依法治区群众基础。推行法律顾问制度和公职律师、公司律师制度。</w:t>
      </w:r>
    </w:p>
    <w:p w14:paraId="45928F81">
      <w:pPr>
        <w:pStyle w:val="4"/>
        <w:widowControl w:val="0"/>
        <w:spacing w:line="570" w:lineRule="exact"/>
        <w:ind w:firstLine="640"/>
        <w:rPr>
          <w:rFonts w:ascii="楷体_GB2312"/>
          <w:b w:val="0"/>
          <w:bCs w:val="0"/>
          <w:color w:val="000000"/>
        </w:rPr>
      </w:pPr>
      <w:r>
        <w:rPr>
          <w:rFonts w:hint="eastAsia" w:ascii="楷体_GB2312"/>
          <w:b w:val="0"/>
          <w:bCs w:val="0"/>
          <w:color w:val="000000"/>
        </w:rPr>
        <w:t>（三）完善权力运行制约和监督机制</w:t>
      </w:r>
    </w:p>
    <w:p w14:paraId="4EC7B91D">
      <w:pPr>
        <w:pStyle w:val="97"/>
        <w:ind w:firstLine="624"/>
        <w:rPr>
          <w:spacing w:val="-11"/>
        </w:rPr>
      </w:pPr>
      <w:r>
        <w:rPr>
          <w:rFonts w:hint="eastAsia"/>
        </w:rPr>
        <w:t>健全党统一领导、全面覆盖、权威高效的监督体系，强化监督严肃性、协调性、有效性，加快形成决策科学、执行坚决、监督有力的权力运行机制，提高运用制度和法律法规的治理能力。</w:t>
      </w:r>
    </w:p>
    <w:p w14:paraId="20E4707F">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完善监督制度落实各级党组织监督责任。完善领导班子内部制度，加强对“一把手”监督和同级监督。强化政治监督，加强监督检查，推进纪律、监察、派驻、巡察监督全面覆盖、统筹衔接。深化纪检督察体制改革，加强上级纪委监委对下级纪委监委的领导。健全人大、民主、行政、司法、群众、舆论监督制度，发挥审计监督、统计监督作用。</w:t>
      </w:r>
    </w:p>
    <w:p w14:paraId="0E949362">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2、健全权力配置和运行制约机制。完善权力配置和运行制约机制，明晰权力边界，强化权力制约，推动用权公开。完善各领域办事公开制度，建立权力运行可查询、可追溯的反馈机制。完善制度管权、管事、管人的长效机制，对权力进行科学规范，有效监督。</w:t>
      </w:r>
    </w:p>
    <w:p w14:paraId="0BDD7E8C">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3、构建一体推进不敢腐、不能腐、不想腐体制机制。加强思想道德和党纪国法教育，巩固和发展反腐败压倒性胜利，深入推进反腐败斗争。全面清查管理漏洞、制度空隙、监督缺位，健全廉政风险防控机制。深化标本兼治，推动审批监管、执法司法、工程建设、资源开发、金融信贷、公共资源交易、公共财政支出等重点领域监督机制改革和制度建设。健全巡察巡视上下联动机制，完善任职回避、定期轮岗、任内审计、离任审计等制度。健全激励机制和容错纠错机制，充分调动干部干事创业的积极性。</w:t>
      </w:r>
    </w:p>
    <w:p w14:paraId="346729F7">
      <w:pPr>
        <w:pStyle w:val="4"/>
        <w:widowControl w:val="0"/>
        <w:spacing w:line="570" w:lineRule="exact"/>
        <w:ind w:firstLine="640"/>
        <w:rPr>
          <w:rFonts w:ascii="楷体_GB2312"/>
          <w:b w:val="0"/>
          <w:bCs w:val="0"/>
          <w:color w:val="000000"/>
        </w:rPr>
      </w:pPr>
      <w:r>
        <w:rPr>
          <w:rFonts w:hint="eastAsia" w:ascii="楷体_GB2312"/>
          <w:b w:val="0"/>
          <w:bCs w:val="0"/>
          <w:color w:val="000000"/>
        </w:rPr>
        <w:t>（四）构建社会治理现代化格局</w:t>
      </w:r>
    </w:p>
    <w:p w14:paraId="6DE7EACC">
      <w:pPr>
        <w:widowControl w:val="0"/>
        <w:spacing w:line="57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健全以党建引领为主体、以居民自治和公共管理服务为两翼的区域社会治理体系，推动社会治理和服务重心下移，加快推进区域社会治理现代化。</w:t>
      </w:r>
    </w:p>
    <w:p w14:paraId="631F4D26">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牢固树立大抓基层的鲜明导向，积极回应群众期盼，通过补短板强弱项，不断提升居民群众获得感、幸福感、安全感，不断巩固深化拓展党建引领基层社会治理改革成果，全面增强基层党组织政治功能和组织功能；通过建立健全体制机制、建好服务居民阵地、建强骨干治理队伍，全力答好党建引领基层社会治理“必答题”，以高质量党建促进高质量发展，为加快推动临空黄石港现代化建设提供坚强组织保障。</w:t>
      </w:r>
    </w:p>
    <w:p w14:paraId="172B59A5">
      <w:pPr>
        <w:widowControl w:val="0"/>
        <w:spacing w:line="570" w:lineRule="exact"/>
        <w:ind w:firstLine="640"/>
        <w:rPr>
          <w:rFonts w:ascii="仿宋_GB2312" w:hAnsi="仿宋_GB2312" w:eastAsia="仿宋_GB2312" w:cs="仿宋_GB2312"/>
          <w:color w:val="000000"/>
          <w:szCs w:val="32"/>
        </w:rPr>
      </w:pPr>
      <w:bookmarkStart w:id="174" w:name="_Toc5631"/>
      <w:bookmarkStart w:id="175" w:name="_Toc29735"/>
      <w:bookmarkStart w:id="176" w:name="_Toc3668"/>
      <w:bookmarkStart w:id="177" w:name="_Toc31131"/>
      <w:r>
        <w:rPr>
          <w:rFonts w:hint="eastAsia" w:ascii="仿宋_GB2312" w:hAnsi="仿宋_GB2312" w:eastAsia="仿宋_GB2312" w:cs="仿宋_GB2312"/>
          <w:color w:val="000000"/>
          <w:szCs w:val="32"/>
        </w:rPr>
        <w:t>2、整合推动优势资源下沉。</w:t>
      </w:r>
      <w:bookmarkEnd w:id="174"/>
      <w:bookmarkEnd w:id="175"/>
      <w:bookmarkEnd w:id="176"/>
      <w:bookmarkEnd w:id="177"/>
      <w:r>
        <w:rPr>
          <w:rFonts w:hint="eastAsia" w:ascii="仿宋_GB2312" w:hAnsi="仿宋_GB2312" w:eastAsia="仿宋_GB2312" w:cs="仿宋_GB2312"/>
          <w:color w:val="000000"/>
          <w:szCs w:val="32"/>
        </w:rPr>
        <w:t>加强全区优势资源</w:t>
      </w:r>
      <w:bookmarkStart w:id="178" w:name="qihoosnap0"/>
      <w:bookmarkEnd w:id="178"/>
      <w:r>
        <w:rPr>
          <w:rFonts w:hint="eastAsia" w:ascii="仿宋_GB2312" w:hAnsi="仿宋_GB2312" w:eastAsia="仿宋_GB2312" w:cs="仿宋_GB2312"/>
          <w:color w:val="000000"/>
          <w:szCs w:val="32"/>
        </w:rPr>
        <w:t>整合配置，将人员、资金、服务下沉到街道、网格，提升基层治理合力。按照“因地制宜、街巷定界、无缝覆盖、科学划分”原则，在推行街道、社区、基础网格三级网格化管理工作机制，划分基础网格。借助街道“大工委”、社区“大党委”等平台</w:t>
      </w:r>
      <w:bookmarkStart w:id="179" w:name="qihoosnap2"/>
      <w:bookmarkEnd w:id="179"/>
      <w:r>
        <w:rPr>
          <w:rFonts w:hint="eastAsia" w:ascii="仿宋_GB2312" w:hAnsi="仿宋_GB2312" w:eastAsia="仿宋_GB2312" w:cs="仿宋_GB2312"/>
          <w:color w:val="000000"/>
          <w:szCs w:val="32"/>
        </w:rPr>
        <w:t>优势，引导共驻共建各类资源力量下沉到网格共同参与基层治理，推动基层治理能力进一步整合和提升，推动社会治理和服务重心下移，实现政府治理同社会调节、居民自治良性互动。</w:t>
      </w:r>
    </w:p>
    <w:p w14:paraId="5359E3FC">
      <w:pPr>
        <w:widowControl w:val="0"/>
        <w:spacing w:line="570" w:lineRule="exact"/>
        <w:ind w:firstLine="640"/>
        <w:rPr>
          <w:rFonts w:ascii="仿宋_GB2312" w:hAnsi="仿宋_GB2312" w:eastAsia="仿宋_GB2312" w:cs="仿宋_GB2312"/>
          <w:color w:val="000000"/>
          <w:szCs w:val="32"/>
        </w:rPr>
      </w:pPr>
      <w:bookmarkStart w:id="180" w:name="_Toc24187"/>
      <w:bookmarkStart w:id="181" w:name="_Toc15175"/>
      <w:bookmarkStart w:id="182" w:name="_Toc29361"/>
      <w:bookmarkStart w:id="183" w:name="_Toc26512"/>
      <w:r>
        <w:rPr>
          <w:rFonts w:hint="eastAsia" w:ascii="仿宋_GB2312" w:hAnsi="仿宋_GB2312" w:eastAsia="仿宋_GB2312" w:cs="仿宋_GB2312"/>
          <w:color w:val="000000"/>
          <w:szCs w:val="32"/>
        </w:rPr>
        <w:t>3、深化社区网格管理服务。</w:t>
      </w:r>
      <w:bookmarkEnd w:id="180"/>
      <w:bookmarkEnd w:id="181"/>
      <w:bookmarkEnd w:id="182"/>
      <w:bookmarkEnd w:id="183"/>
      <w:r>
        <w:rPr>
          <w:rFonts w:hint="eastAsia" w:ascii="仿宋_GB2312" w:hAnsi="仿宋_GB2312" w:eastAsia="仿宋_GB2312" w:cs="仿宋_GB2312"/>
          <w:color w:val="000000"/>
          <w:szCs w:val="32"/>
        </w:rPr>
        <w:t>创新基层网格化服务管理体系，在现有网格划分基础上，进一步实现网格之间的业务对接和资源优化，建立“互动式网格”的管理模式。发挥社区党群服务中心、社区活动室、消防救援所、社区警务室、幼儿园等传统社区资源优势和新建日间照料中心、超市、卫生服务中心，深度打造社区综合服务体，打通便民服务</w:t>
      </w:r>
      <w:r>
        <w:rPr>
          <w:rFonts w:hint="eastAsia" w:ascii="仿宋_GB2312" w:hAnsi="仿宋_GB2312" w:eastAsia="仿宋_GB2312" w:cs="仿宋_GB2312"/>
          <w:color w:val="000000"/>
          <w:szCs w:val="32"/>
          <w:lang w:eastAsia="zh-CN"/>
        </w:rPr>
        <w:t>“最后一公里”</w:t>
      </w:r>
      <w:r>
        <w:rPr>
          <w:rFonts w:hint="eastAsia" w:ascii="仿宋_GB2312" w:hAnsi="仿宋_GB2312" w:eastAsia="仿宋_GB2312" w:cs="仿宋_GB2312"/>
          <w:color w:val="000000"/>
          <w:szCs w:val="32"/>
        </w:rPr>
        <w:t>。推动智慧便民服务，大力推进智慧社区建设，建立集行政审批和公共服务于一体的信息系统平台，加大各类政务信息系统整合共享力度，规范和简化基层行政审批职能，推动基层政务服务“一网通办”“一网统管”，实现小区智慧服务全覆盖。</w:t>
      </w:r>
    </w:p>
    <w:p w14:paraId="177AA2B1">
      <w:pPr>
        <w:widowControl w:val="0"/>
        <w:spacing w:line="570" w:lineRule="exact"/>
        <w:ind w:firstLine="640"/>
        <w:rPr>
          <w:rFonts w:ascii="仿宋_GB2312" w:hAnsi="仿宋_GB2312" w:eastAsia="仿宋_GB2312" w:cs="仿宋_GB2312"/>
          <w:color w:val="000000"/>
          <w:szCs w:val="32"/>
        </w:rPr>
      </w:pPr>
      <w:bookmarkStart w:id="184" w:name="_Toc30021"/>
      <w:bookmarkStart w:id="185" w:name="_Toc30197"/>
      <w:bookmarkStart w:id="186" w:name="_Toc4969"/>
      <w:bookmarkStart w:id="187" w:name="_Toc8225"/>
      <w:r>
        <w:rPr>
          <w:rFonts w:hint="eastAsia" w:ascii="仿宋_GB2312" w:hAnsi="仿宋_GB2312" w:eastAsia="仿宋_GB2312" w:cs="仿宋_GB2312"/>
          <w:color w:val="000000"/>
          <w:szCs w:val="32"/>
        </w:rPr>
        <w:t>4、做实做优社区红色力量。</w:t>
      </w:r>
      <w:bookmarkEnd w:id="184"/>
      <w:bookmarkEnd w:id="185"/>
      <w:bookmarkEnd w:id="186"/>
      <w:bookmarkEnd w:id="187"/>
      <w:r>
        <w:rPr>
          <w:rFonts w:hint="eastAsia" w:ascii="仿宋_GB2312" w:hAnsi="仿宋_GB2312" w:eastAsia="仿宋_GB2312" w:cs="仿宋_GB2312"/>
          <w:color w:val="000000"/>
          <w:szCs w:val="32"/>
        </w:rPr>
        <w:t>发展壮大平安志愿者队伍，支持志愿者服务组织参与社区平安治理。积极推动社会组织参与基层治理，推进楼宇、商圈、园区、市场和互联网行业等新兴领域参与基层治理，发展一批公益性、专业化的新型社会阶层成为基层自治实体。深化“红色物业”管理，引导优质物业管理公司参与小区日常管理，实现基层党建与社区物业服务有机融合，探索在无物业管理的老旧小区成立公益性物业服务企业或依托居委会组织居民实行自治服务管理，形成以基层党组织领导、居民群众、志愿者、新型社会阶层、物业公司等共同参与的协同共治体系。</w:t>
      </w:r>
    </w:p>
    <w:p w14:paraId="732FD7B9">
      <w:pPr>
        <w:pStyle w:val="4"/>
        <w:widowControl w:val="0"/>
        <w:spacing w:line="570" w:lineRule="exact"/>
        <w:ind w:firstLine="640"/>
        <w:rPr>
          <w:rFonts w:ascii="楷体_GB2312"/>
          <w:b w:val="0"/>
          <w:bCs w:val="0"/>
          <w:color w:val="000000"/>
        </w:rPr>
      </w:pPr>
      <w:bookmarkStart w:id="188" w:name="_Toc13826"/>
      <w:bookmarkStart w:id="189" w:name="_Toc19321"/>
      <w:bookmarkStart w:id="190" w:name="_Toc15599"/>
      <w:bookmarkStart w:id="191" w:name="_Toc8180"/>
      <w:r>
        <w:rPr>
          <w:rFonts w:hint="eastAsia" w:ascii="楷体_GB2312"/>
          <w:b w:val="0"/>
          <w:bCs w:val="0"/>
          <w:color w:val="000000"/>
        </w:rPr>
        <w:t>（五）维护社会大局平安和谐稳定。</w:t>
      </w:r>
      <w:bookmarkEnd w:id="188"/>
      <w:bookmarkEnd w:id="189"/>
      <w:bookmarkEnd w:id="190"/>
      <w:bookmarkEnd w:id="191"/>
    </w:p>
    <w:p w14:paraId="28616703">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强化公共安全保障。主动适应公共安全形势变化，始终把保护人民生命安全摆在首位，建立公共安全隐患排查和预防控制体系，全面提高公共安全保障能力。加强国家安全体系和能力建设，强化安全生产监管，建立健全安全事故调查评估制度，支持企业主动加强安全生产管理。落实消防安全、交通安全、校园安全责任制，全面提升城市安全生产保障水平。加强消防专业力量，建设江北、磁湖及大泉路小型消防站，全面推进消防装备提档升级。提升防灾减灾救灾能力，完善自然灾害监测预报预警体系，健全灾害预警信息发布制度，提升洪涝干旱、森林火灾、滑坡、泥石流等灾害防御能力。完善灾害救助和灾后恢复重建机制，引导社会力量参与灾后恢复重建。深入开展“食品安全行动”和药品监管科学行动，强化政府属地管理责任和生产经营者主体责任。疫情防控要毫不放松抓好“外防输入、内防反弹”工作，严防死守。</w:t>
      </w:r>
    </w:p>
    <w:p w14:paraId="3D307D8B">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2、防范化解重点领域风险。坚持底线思维，坚决把维护政治安全放在首位，加强经济安全风险预警、防控机制和能力建设，落实社会稳定风险评估，坚守环境安全底线，全面提升防范化解重大风险能力。提高公众防灾自救能力。强化社会公众自防自治、群防群治、自救互救能力，加快形成社会协同防范应对新格局。建立健全“政府主导、社会参与”的应急响应动员机制，扎实开展安全生产和防灾减灾知识宣传教育，加强大中小学公共安全知识教育和技能培养，开展风险隐患识别和公共安全知识普及活动。</w:t>
      </w:r>
    </w:p>
    <w:p w14:paraId="268BB0B4">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3、维护社会稳定和安全。深入推进社会治理现代化，加固维护稳定保障线。强化源头防控、积案攻坚、多元解纷。加强行业性专业性人民调解组织建设，实施“金牌调解员”培育计划。深化平安建设工作，以平安城区创建为抓手，推进智慧公安、雪亮工程等建设，抬高社会安全基准线，建立不低于常住人口1‰的专兼职平安巡防队伍。全面建立打击犯罪新机制，坚决防范和打击暴力恐怖、黑恶势力、新型网络犯罪和毒品犯罪，巩固扫黑除恶专项斗争成果，做实“平安细胞”创建工作。</w:t>
      </w:r>
    </w:p>
    <w:p w14:paraId="7A12AAA5">
      <w:pPr>
        <w:widowControl w:val="0"/>
        <w:spacing w:line="57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4、加强应急管理体系和能力建设。完善应急指挥体系，加强应急救援指挥中心建设，强化区、街道（管理区）、社区（辖区企业）三级应急指挥联动机制建设，加强应急队伍建设，提高应急抢险救援能力。开展国家综合性消防救援队伍、部门和企业专业应急救援队伍、民兵应急救援队伍规范化、标准化建设，全面推进应急预案体系,推进应急管理体系和能力现代化，提升重大突发公共事件应急能力。搭建高效的应急救援管理体系，高水平的应急救援力量体系，灵敏的应急物资储备体系。普及推广全民防灾减灾知识和避灾自救技能，常态化举办应急避险、疏散逃生等群众性培训演练。引导公众做好家庭应急物资储备和应急避险知识家庭教育。</w:t>
      </w:r>
    </w:p>
    <w:bookmarkEnd w:id="1"/>
    <w:bookmarkEnd w:id="2"/>
    <w:bookmarkEnd w:id="19"/>
    <w:p w14:paraId="007924BB">
      <w:pPr>
        <w:pStyle w:val="2"/>
        <w:widowControl w:val="0"/>
        <w:spacing w:before="0" w:after="0" w:line="570" w:lineRule="exact"/>
        <w:ind w:firstLine="640"/>
        <w:rPr>
          <w:rFonts w:ascii="方正黑体_GBK" w:eastAsia="方正黑体_GBK"/>
          <w:bCs w:val="0"/>
          <w:color w:val="000000"/>
          <w:szCs w:val="32"/>
        </w:rPr>
      </w:pPr>
      <w:bookmarkStart w:id="192" w:name="_Toc30574"/>
      <w:bookmarkStart w:id="193" w:name="_Toc1586"/>
      <w:bookmarkStart w:id="194" w:name="_Toc32658"/>
      <w:bookmarkStart w:id="195" w:name="_Toc9828"/>
      <w:r>
        <w:rPr>
          <w:rFonts w:hint="eastAsia" w:ascii="方正黑体_GBK" w:eastAsia="方正黑体_GBK"/>
          <w:bCs w:val="0"/>
          <w:color w:val="000000"/>
          <w:szCs w:val="32"/>
        </w:rPr>
        <w:t>十、全面加强党的领导，保障规划实施落到实处</w:t>
      </w:r>
      <w:bookmarkEnd w:id="192"/>
      <w:bookmarkEnd w:id="193"/>
      <w:bookmarkEnd w:id="194"/>
      <w:bookmarkEnd w:id="195"/>
    </w:p>
    <w:p w14:paraId="44ED3A3B">
      <w:pPr>
        <w:widowControl w:val="0"/>
        <w:spacing w:line="570" w:lineRule="exact"/>
        <w:ind w:firstLine="640"/>
        <w:rPr>
          <w:rFonts w:ascii="仿宋_GB2312" w:hAnsi="仿宋_GB2312" w:eastAsia="仿宋_GB2312" w:cs="仿宋_GB2312"/>
          <w:color w:val="000000"/>
          <w:szCs w:val="32"/>
        </w:rPr>
      </w:pPr>
      <w:bookmarkStart w:id="196" w:name="_Toc18485"/>
      <w:bookmarkStart w:id="197" w:name="_Toc3926"/>
      <w:bookmarkStart w:id="198" w:name="_Toc2642"/>
      <w:bookmarkStart w:id="199" w:name="_Toc18152"/>
      <w:r>
        <w:rPr>
          <w:rFonts w:hint="eastAsia" w:ascii="楷体_GB2312" w:hAnsi="Times New Roman" w:eastAsia="楷体_GB2312"/>
          <w:color w:val="000000"/>
          <w:szCs w:val="32"/>
        </w:rPr>
        <w:t>（一）加强党的组织领导。</w:t>
      </w:r>
      <w:bookmarkEnd w:id="196"/>
      <w:bookmarkEnd w:id="197"/>
      <w:bookmarkEnd w:id="198"/>
      <w:bookmarkEnd w:id="199"/>
      <w:r>
        <w:rPr>
          <w:rFonts w:hint="eastAsia" w:ascii="仿宋_GB2312" w:hAnsi="仿宋_GB2312" w:eastAsia="仿宋_GB2312" w:cs="仿宋_GB2312"/>
          <w:color w:val="000000"/>
          <w:szCs w:val="32"/>
        </w:rPr>
        <w:t>坚持党总揽全局、协调各方，发挥党委在经济社会发展工作中的领导核心作用，健全维护党的集中统一的组织制度，形成各级党组织上下贯通、执行有力的严密体系。全面增强各级领导班子和干部队伍适应新时代发展要求的素养和能力，强化党员干部队伍思想淬炼、政治历练、实践锻炼、专业训练。加强党的各级组织建设，落实党建工作责任制，强化基层党组织整体功能，发挥战斗堡垒作用和党员先锋模范作用。加强制度化建设，完善党委研究经济社会发展战略、定期分析经济形势、研究重大方针政策的工作机制。认真落实党委主体责任和纪委监督责任，严格执行党风廉政建设责任制，健全惩治和预防腐败体系，建设廉洁政治，努力实现干部清正、政府清廉、政治清明。巩固和发展最广泛的爱国统一战线，全面落实知识分子、民族、宗教、侨务等政策，充分发挥民主党派、工商联和无党派人士作用，最大限度凝聚全社会共识和力量。始终战“疫”精神，确保各项目标任务落到实处。推进黄石港区经济社会高质量发展。</w:t>
      </w:r>
    </w:p>
    <w:p w14:paraId="68CD37B4">
      <w:pPr>
        <w:widowControl w:val="0"/>
        <w:spacing w:line="570" w:lineRule="exact"/>
        <w:ind w:firstLine="640"/>
        <w:rPr>
          <w:rFonts w:ascii="仿宋_GB2312" w:hAnsi="仿宋_GB2312" w:eastAsia="仿宋_GB2312" w:cs="仿宋_GB2312"/>
          <w:color w:val="000000"/>
          <w:szCs w:val="32"/>
        </w:rPr>
      </w:pPr>
      <w:bookmarkStart w:id="200" w:name="_Toc28258"/>
      <w:bookmarkStart w:id="201" w:name="_Toc29237"/>
      <w:bookmarkStart w:id="202" w:name="_Toc32409"/>
      <w:bookmarkStart w:id="203" w:name="_Toc5699"/>
      <w:r>
        <w:rPr>
          <w:rFonts w:hint="eastAsia" w:ascii="楷体_GB2312" w:hAnsi="Times New Roman" w:eastAsia="楷体_GB2312"/>
          <w:color w:val="000000"/>
          <w:szCs w:val="32"/>
        </w:rPr>
        <w:t>（二）健全工作机制。</w:t>
      </w:r>
      <w:bookmarkEnd w:id="200"/>
      <w:bookmarkEnd w:id="201"/>
      <w:bookmarkEnd w:id="202"/>
      <w:bookmarkEnd w:id="203"/>
      <w:r>
        <w:rPr>
          <w:rFonts w:hint="eastAsia" w:ascii="仿宋_GB2312" w:hAnsi="仿宋_GB2312" w:eastAsia="仿宋_GB2312" w:cs="仿宋_GB2312"/>
          <w:color w:val="000000"/>
          <w:szCs w:val="32"/>
        </w:rPr>
        <w:t>建立健全实施机制和综合评价考核机制，健全规划民主参与、规划衔接、专家咨询、群众听证、批准公布等制度。围绕规划提出的目标和任务，加强社会发展政策的统筹协调，注重政策目标和政策工具、短期政策和长期政策的衔接。</w:t>
      </w:r>
    </w:p>
    <w:p w14:paraId="25B6AB74">
      <w:pPr>
        <w:widowControl w:val="0"/>
        <w:spacing w:line="570" w:lineRule="exact"/>
        <w:ind w:firstLine="640"/>
        <w:rPr>
          <w:rFonts w:ascii="仿宋_GB2312" w:hAnsi="仿宋_GB2312" w:eastAsia="仿宋_GB2312" w:cs="仿宋_GB2312"/>
          <w:color w:val="000000"/>
          <w:szCs w:val="32"/>
        </w:rPr>
      </w:pPr>
      <w:bookmarkStart w:id="204" w:name="_Toc17309"/>
      <w:bookmarkStart w:id="205" w:name="_Toc4499"/>
      <w:bookmarkStart w:id="206" w:name="_Toc15833"/>
      <w:bookmarkStart w:id="207" w:name="_Toc4201"/>
      <w:r>
        <w:rPr>
          <w:rFonts w:hint="eastAsia" w:ascii="楷体_GB2312" w:eastAsia="楷体_GB2312"/>
        </w:rPr>
        <w:t>（三）强化项目支撑。</w:t>
      </w:r>
      <w:bookmarkEnd w:id="204"/>
      <w:bookmarkEnd w:id="205"/>
      <w:bookmarkEnd w:id="206"/>
      <w:bookmarkEnd w:id="207"/>
      <w:r>
        <w:rPr>
          <w:rFonts w:hint="eastAsia" w:ascii="仿宋_GB2312" w:hAnsi="仿宋_GB2312" w:eastAsia="仿宋_GB2312" w:cs="仿宋_GB2312"/>
          <w:color w:val="000000"/>
          <w:szCs w:val="32"/>
        </w:rPr>
        <w:t>结合区域资源优势，认真谋划一批事关全局和长远发展的重大工程和重点项目，增强发展后劲和可持续发展能力。重点围绕“四区”发展定位，全面推动“两园两带”建设，积极协调推进涵盖临空经济、先进制造业、现代服务业、基础设施建设、社会民生等五大领域重点项目建设。大力争取国家、省、市对重大项目的政策资金扶持，不断完善重点项目挂点帮扶机制，切实坚持把重点项目建设作为全区经济提速起飞的龙头。</w:t>
      </w:r>
    </w:p>
    <w:p w14:paraId="3B47881A">
      <w:pPr>
        <w:widowControl w:val="0"/>
        <w:spacing w:line="570" w:lineRule="exact"/>
        <w:ind w:firstLine="640"/>
        <w:rPr>
          <w:rFonts w:ascii="仿宋_GB2312" w:hAnsi="仿宋_GB2312" w:eastAsia="仿宋_GB2312" w:cs="仿宋_GB2312"/>
          <w:color w:val="000000"/>
          <w:szCs w:val="32"/>
        </w:rPr>
      </w:pPr>
      <w:bookmarkStart w:id="208" w:name="_Toc21750"/>
      <w:bookmarkStart w:id="209" w:name="_Toc5711"/>
      <w:bookmarkStart w:id="210" w:name="_Toc6900"/>
      <w:bookmarkStart w:id="211" w:name="_Toc10592"/>
      <w:r>
        <w:rPr>
          <w:rFonts w:hint="eastAsia" w:ascii="楷体_GB2312" w:eastAsia="楷体_GB2312"/>
        </w:rPr>
        <w:t>（四）健全要素保障。</w:t>
      </w:r>
      <w:bookmarkEnd w:id="208"/>
      <w:bookmarkEnd w:id="209"/>
      <w:bookmarkEnd w:id="210"/>
      <w:bookmarkEnd w:id="211"/>
      <w:r>
        <w:rPr>
          <w:rFonts w:hint="eastAsia" w:ascii="仿宋_GB2312" w:hAnsi="仿宋_GB2312" w:eastAsia="仿宋_GB2312" w:cs="仿宋_GB2312"/>
          <w:color w:val="000000"/>
          <w:szCs w:val="32"/>
        </w:rPr>
        <w:t>持续强化政策、项目和投入等要素支撑，确保规划纲要确立的各项目标任务顺利完成。围绕经济发展、社会民生、科技创新和生态环境，进一步制定完善财税、投资、金融、产业和物价等政策，形成更加有力的政策支撑。建立健全财政资金绩效评价制度，不断提高财政资金使用效益，进一步优化营商环境，加强全社会信用体系建设，吸引更多社会投资。</w:t>
      </w:r>
    </w:p>
    <w:p w14:paraId="18E54215">
      <w:pPr>
        <w:widowControl w:val="0"/>
        <w:spacing w:line="570" w:lineRule="exact"/>
        <w:ind w:firstLine="640"/>
        <w:rPr>
          <w:rFonts w:ascii="仿宋_GB2312" w:hAnsi="仿宋_GB2312" w:eastAsia="仿宋_GB2312" w:cs="仿宋_GB2312"/>
          <w:color w:val="000000"/>
          <w:szCs w:val="32"/>
        </w:rPr>
      </w:pPr>
      <w:bookmarkStart w:id="212" w:name="_Toc10819"/>
      <w:bookmarkStart w:id="213" w:name="_Toc28139"/>
      <w:bookmarkStart w:id="214" w:name="_Toc27443"/>
      <w:bookmarkStart w:id="215" w:name="_Toc2452"/>
      <w:r>
        <w:rPr>
          <w:rFonts w:hint="eastAsia" w:ascii="楷体_GB2312" w:eastAsia="楷体_GB2312"/>
        </w:rPr>
        <w:t>（五）科学评估时效。</w:t>
      </w:r>
      <w:bookmarkEnd w:id="212"/>
      <w:bookmarkEnd w:id="213"/>
      <w:bookmarkEnd w:id="214"/>
      <w:bookmarkEnd w:id="215"/>
      <w:r>
        <w:rPr>
          <w:rFonts w:hint="eastAsia" w:ascii="仿宋_GB2312" w:hAnsi="仿宋_GB2312" w:eastAsia="仿宋_GB2312" w:cs="仿宋_GB2312"/>
          <w:color w:val="000000"/>
          <w:szCs w:val="32"/>
        </w:rPr>
        <w:t>建立健全规划检测平复制度和动态调整机制，强化对结构优化、民生改善、资源节约、环境保护、基本公共服务和社会管理等目标任务完成情况的综合评价考核。对本规划提出的重大任务执行情况进行制度化检查评估，及时发现问题，提出针对性的政策建议。制定并完善有利于推动规划实施的绩效评估考核体系和具体的考核方法，制定相应的年度计划、实施方案，分解本规划确定的发展目标、重点任务和重大项目，明确牵头单位、工作责任、年度目标、工作指标和工作举措，形成完善的考核机制和实施机制，确保规划目标任务有效落实。</w:t>
      </w:r>
    </w:p>
    <w:p w14:paraId="6FAAC2C4">
      <w:pPr>
        <w:widowControl w:val="0"/>
        <w:spacing w:line="570" w:lineRule="exact"/>
        <w:ind w:firstLine="0" w:firstLineChars="0"/>
        <w:rPr>
          <w:rFonts w:ascii="黑体" w:hAnsi="黑体" w:eastAsia="黑体" w:cs="仿宋_GB2312"/>
          <w:color w:val="000000"/>
          <w:szCs w:val="32"/>
        </w:rPr>
      </w:pPr>
      <w:r>
        <w:rPr>
          <w:rFonts w:ascii="仿宋_GB2312" w:hAnsi="仿宋_GB2312" w:eastAsia="仿宋_GB2312" w:cs="仿宋_GB2312"/>
          <w:color w:val="000000"/>
        </w:rPr>
        <w:br w:type="page"/>
      </w:r>
      <w:r>
        <w:rPr>
          <w:rFonts w:hint="eastAsia" w:ascii="黑体" w:hAnsi="黑体" w:eastAsia="黑体" w:cs="仿宋_GB2312"/>
          <w:color w:val="000000"/>
          <w:szCs w:val="32"/>
        </w:rPr>
        <w:t>附件</w:t>
      </w:r>
    </w:p>
    <w:p w14:paraId="66E0EAB6">
      <w:pPr>
        <w:widowControl w:val="0"/>
        <w:ind w:firstLine="0" w:firstLineChars="0"/>
        <w:jc w:val="center"/>
        <w:rPr>
          <w:rFonts w:ascii="方正小标宋_GBK" w:hAnsi="方正小标宋简体" w:eastAsia="方正小标宋_GBK" w:cs="方正小标宋简体"/>
          <w:color w:val="000000"/>
          <w:sz w:val="44"/>
          <w:szCs w:val="44"/>
        </w:rPr>
      </w:pPr>
      <w:r>
        <w:rPr>
          <w:rFonts w:hint="eastAsia" w:ascii="方正小标宋_GBK" w:hAnsi="方正小标宋简体" w:eastAsia="方正小标宋_GBK" w:cs="方正小标宋简体"/>
          <w:color w:val="000000"/>
          <w:sz w:val="44"/>
          <w:szCs w:val="44"/>
        </w:rPr>
        <w:t>名词注释</w:t>
      </w:r>
    </w:p>
    <w:sectPr>
      <w:endnotePr>
        <w:numFmt w:val="decimal"/>
      </w:endnotePr>
      <w:pgSz w:w="11850" w:h="16783"/>
      <w:pgMar w:top="2098" w:right="1531" w:bottom="1985" w:left="1531" w:header="720" w:footer="850" w:gutter="0"/>
      <w:cols w:space="72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0">
    <w:p>
      <w:pPr>
        <w:spacing w:line="240" w:lineRule="auto"/>
        <w:ind w:firstLine="640"/>
      </w:pPr>
    </w:p>
  </w:endnote>
  <w:endnote w:type="continuationSeparator" w:id="21">
    <w:p>
      <w:pPr>
        <w:spacing w:line="240" w:lineRule="auto"/>
        <w:ind w:firstLine="640"/>
      </w:pPr>
    </w:p>
  </w:endnote>
  <w:endnote w:id="0">
    <w:p w14:paraId="7A067EAE">
      <w:pPr>
        <w:pStyle w:val="18"/>
        <w:spacing w:line="520" w:lineRule="exact"/>
        <w:ind w:firstLine="640" w:firstLineChars="200"/>
        <w:jc w:val="both"/>
        <w:rPr>
          <w:rFonts w:ascii="楷体_GB2312" w:hAnsi="楷体_GB2312" w:eastAsia="楷体_GB2312" w:cs="楷体_GB2312"/>
          <w:szCs w:val="32"/>
        </w:rPr>
      </w:pPr>
      <w:r>
        <w:rPr>
          <w:rStyle w:val="33"/>
          <w:rFonts w:hint="eastAsia" w:ascii="楷体_GB2312" w:eastAsia="楷体_GB2312"/>
          <w:vertAlign w:val="baseline"/>
        </w:rPr>
        <w:t>[</w:t>
      </w:r>
      <w:r>
        <w:rPr>
          <w:rStyle w:val="33"/>
          <w:rFonts w:hint="eastAsia" w:ascii="楷体_GB2312" w:eastAsia="楷体_GB2312"/>
          <w:vertAlign w:val="baseline"/>
        </w:rPr>
        <w:endnoteRef/>
      </w:r>
      <w:r>
        <w:rPr>
          <w:rStyle w:val="33"/>
          <w:rFonts w:hint="eastAsia" w:ascii="楷体_GB2312" w:eastAsia="楷体_GB2312"/>
          <w:vertAlign w:val="baseline"/>
        </w:rPr>
        <w:t>]</w:t>
      </w:r>
      <w:r>
        <w:rPr>
          <w:rFonts w:hint="eastAsia" w:ascii="楷体_GB2312" w:hAnsi="楷体_GB2312" w:eastAsia="楷体_GB2312" w:cs="楷体_GB2312"/>
          <w:szCs w:val="32"/>
        </w:rPr>
        <w:t>五城：创新活力之城、先进制造之城、现代港口城市、山水宜居之城、历史文化名城。</w:t>
      </w:r>
    </w:p>
  </w:endnote>
  <w:endnote w:id="1">
    <w:p w14:paraId="74989A5B">
      <w:pPr>
        <w:pStyle w:val="18"/>
        <w:spacing w:line="520" w:lineRule="exact"/>
        <w:ind w:firstLine="640" w:firstLineChars="200"/>
        <w:jc w:val="both"/>
        <w:rPr>
          <w:rFonts w:ascii="楷体_GB2312" w:hAnsi="楷体_GB2312" w:eastAsia="楷体_GB2312" w:cs="楷体_GB2312"/>
          <w:szCs w:val="32"/>
        </w:rPr>
      </w:pPr>
      <w:r>
        <w:rPr>
          <w:rStyle w:val="33"/>
          <w:rFonts w:hint="eastAsia" w:ascii="楷体_GB2312" w:eastAsia="楷体_GB2312"/>
          <w:vertAlign w:val="baseline"/>
        </w:rPr>
        <w:t>[</w:t>
      </w:r>
      <w:r>
        <w:rPr>
          <w:rStyle w:val="33"/>
          <w:rFonts w:hint="eastAsia" w:ascii="楷体_GB2312" w:eastAsia="楷体_GB2312"/>
          <w:vertAlign w:val="baseline"/>
        </w:rPr>
        <w:endnoteRef/>
      </w:r>
      <w:r>
        <w:rPr>
          <w:rStyle w:val="33"/>
          <w:rFonts w:hint="eastAsia" w:ascii="楷体_GB2312" w:eastAsia="楷体_GB2312"/>
          <w:vertAlign w:val="baseline"/>
        </w:rPr>
        <w:t>]</w:t>
      </w:r>
      <w:r>
        <w:rPr>
          <w:rFonts w:hint="eastAsia" w:ascii="楷体_GB2312" w:hAnsi="楷体_GB2312" w:eastAsia="楷体_GB2312" w:cs="楷体_GB2312"/>
          <w:szCs w:val="32"/>
        </w:rPr>
        <w:t>“四新”经济：指“新技术、新产业、新业态、新模式”的经济形态。</w:t>
      </w:r>
    </w:p>
  </w:endnote>
  <w:endnote w:id="2">
    <w:p w14:paraId="42A08ABC">
      <w:pPr>
        <w:pStyle w:val="18"/>
        <w:spacing w:line="520" w:lineRule="exact"/>
        <w:ind w:firstLine="640" w:firstLineChars="200"/>
        <w:jc w:val="both"/>
        <w:rPr>
          <w:rFonts w:ascii="楷体_GB2312" w:eastAsia="楷体_GB2312"/>
        </w:rPr>
      </w:pPr>
      <w:r>
        <w:rPr>
          <w:rStyle w:val="33"/>
          <w:rFonts w:hint="eastAsia" w:ascii="楷体_GB2312" w:eastAsia="楷体_GB2312"/>
          <w:vertAlign w:val="baseline"/>
        </w:rPr>
        <w:t>[</w:t>
      </w:r>
      <w:r>
        <w:rPr>
          <w:rStyle w:val="33"/>
          <w:rFonts w:hint="eastAsia" w:ascii="楷体_GB2312" w:eastAsia="楷体_GB2312"/>
          <w:vertAlign w:val="baseline"/>
        </w:rPr>
        <w:endnoteRef/>
      </w:r>
      <w:r>
        <w:rPr>
          <w:rStyle w:val="33"/>
          <w:rFonts w:hint="eastAsia" w:ascii="楷体_GB2312" w:eastAsia="楷体_GB2312"/>
          <w:vertAlign w:val="baseline"/>
        </w:rPr>
        <w:t>]</w:t>
      </w:r>
      <w:r>
        <w:rPr>
          <w:rFonts w:hint="eastAsia" w:ascii="楷体_GB2312" w:hAnsi="楷体_GB2312" w:eastAsia="楷体_GB2312" w:cs="楷体_GB2312"/>
          <w:szCs w:val="32"/>
        </w:rPr>
        <w:t>四再：再构区域空间布局、再造黄石工业、再塑综合功能优势、再创生态生活品质。</w:t>
      </w:r>
    </w:p>
  </w:endnote>
  <w:endnote w:id="3">
    <w:p w14:paraId="0158AC31">
      <w:pPr>
        <w:pStyle w:val="18"/>
        <w:spacing w:line="520" w:lineRule="exact"/>
        <w:ind w:firstLine="640" w:firstLineChars="200"/>
        <w:jc w:val="both"/>
        <w:rPr>
          <w:rFonts w:ascii="楷体_GB2312" w:eastAsia="楷体_GB2312"/>
        </w:rPr>
      </w:pPr>
      <w:r>
        <w:rPr>
          <w:rStyle w:val="33"/>
          <w:rFonts w:hint="eastAsia" w:ascii="楷体_GB2312" w:eastAsia="楷体_GB2312"/>
          <w:vertAlign w:val="baseline"/>
        </w:rPr>
        <w:t>[</w:t>
      </w:r>
      <w:r>
        <w:rPr>
          <w:rStyle w:val="33"/>
          <w:rFonts w:hint="eastAsia" w:ascii="楷体_GB2312" w:eastAsia="楷体_GB2312"/>
          <w:vertAlign w:val="baseline"/>
        </w:rPr>
        <w:endnoteRef/>
      </w:r>
      <w:r>
        <w:rPr>
          <w:rStyle w:val="33"/>
          <w:rFonts w:hint="eastAsia" w:ascii="楷体_GB2312" w:eastAsia="楷体_GB2312"/>
          <w:vertAlign w:val="baseline"/>
        </w:rPr>
        <w:t>]</w:t>
      </w:r>
      <w:r>
        <w:rPr>
          <w:rFonts w:hint="eastAsia" w:ascii="楷体_GB2312" w:hAnsi="楷体_GB2312" w:eastAsia="楷体_GB2312" w:cs="楷体_GB2312"/>
          <w:szCs w:val="32"/>
        </w:rPr>
        <w:t>两园两带：“两园”是黄石港临空商务产业园和黄石港临空智造产业园，“两带”是临空都市发展带和滨水绿色发展带。</w:t>
      </w:r>
    </w:p>
  </w:endnote>
  <w:endnote w:id="4">
    <w:p w14:paraId="7AA2E195">
      <w:pPr>
        <w:pStyle w:val="18"/>
        <w:spacing w:line="520" w:lineRule="exact"/>
        <w:ind w:firstLine="640" w:firstLineChars="200"/>
        <w:jc w:val="both"/>
        <w:rPr>
          <w:rFonts w:ascii="楷体_GB2312" w:hAnsi="楷体_GB2312" w:eastAsia="楷体_GB2312" w:cs="楷体_GB2312"/>
          <w:szCs w:val="32"/>
        </w:rPr>
      </w:pPr>
      <w:r>
        <w:rPr>
          <w:rStyle w:val="33"/>
          <w:rFonts w:hint="eastAsia" w:ascii="楷体_GB2312" w:eastAsia="楷体_GB2312"/>
          <w:vertAlign w:val="baseline"/>
        </w:rPr>
        <w:t>[</w:t>
      </w:r>
      <w:r>
        <w:rPr>
          <w:rStyle w:val="33"/>
          <w:rFonts w:hint="eastAsia" w:ascii="楷体_GB2312" w:eastAsia="楷体_GB2312"/>
          <w:vertAlign w:val="baseline"/>
        </w:rPr>
        <w:endnoteRef/>
      </w:r>
      <w:r>
        <w:rPr>
          <w:rStyle w:val="33"/>
          <w:rFonts w:hint="eastAsia" w:ascii="楷体_GB2312" w:eastAsia="楷体_GB2312"/>
          <w:vertAlign w:val="baseline"/>
        </w:rPr>
        <w:t>]</w:t>
      </w:r>
      <w:r>
        <w:rPr>
          <w:rFonts w:hint="eastAsia" w:ascii="楷体_GB2312" w:hAnsi="楷体_GB2312" w:eastAsia="楷体_GB2312" w:cs="楷体_GB2312"/>
          <w:szCs w:val="32"/>
        </w:rPr>
        <w:t>四区N园：新港园区、开发区·铁山区、大冶湖高新区、黄石临空经济区和N个产业园区。</w:t>
      </w:r>
    </w:p>
  </w:endnote>
  <w:endnote w:id="5">
    <w:p w14:paraId="1DA799A3">
      <w:pPr>
        <w:pStyle w:val="18"/>
        <w:spacing w:line="520" w:lineRule="exact"/>
        <w:ind w:firstLine="640" w:firstLineChars="200"/>
        <w:jc w:val="both"/>
        <w:rPr>
          <w:rFonts w:ascii="楷体_GB2312" w:eastAsia="楷体_GB2312"/>
        </w:rPr>
      </w:pPr>
      <w:r>
        <w:rPr>
          <w:rStyle w:val="33"/>
          <w:rFonts w:hint="eastAsia" w:ascii="楷体_GB2312" w:eastAsia="楷体_GB2312"/>
          <w:vertAlign w:val="baseline"/>
        </w:rPr>
        <w:t>[</w:t>
      </w:r>
      <w:r>
        <w:rPr>
          <w:rStyle w:val="33"/>
          <w:rFonts w:hint="eastAsia" w:ascii="楷体_GB2312" w:eastAsia="楷体_GB2312"/>
          <w:vertAlign w:val="baseline"/>
        </w:rPr>
        <w:endnoteRef/>
      </w:r>
      <w:r>
        <w:rPr>
          <w:rStyle w:val="33"/>
          <w:rFonts w:hint="eastAsia" w:ascii="楷体_GB2312" w:eastAsia="楷体_GB2312"/>
          <w:vertAlign w:val="baseline"/>
        </w:rPr>
        <w:t>]</w:t>
      </w:r>
      <w:r>
        <w:rPr>
          <w:rFonts w:hint="eastAsia" w:ascii="楷体_GB2312" w:hAnsi="楷体_GB2312" w:eastAsia="楷体_GB2312" w:cs="楷体_GB2312"/>
          <w:szCs w:val="32"/>
        </w:rPr>
        <w:t>双创：指大众创业，万众创新。</w:t>
      </w:r>
    </w:p>
  </w:endnote>
  <w:endnote w:id="6">
    <w:p w14:paraId="4F5CC599">
      <w:pPr>
        <w:pStyle w:val="18"/>
        <w:spacing w:line="520" w:lineRule="exact"/>
        <w:ind w:firstLine="640" w:firstLineChars="200"/>
        <w:jc w:val="both"/>
        <w:rPr>
          <w:rFonts w:ascii="楷体_GB2312" w:eastAsia="楷体_GB2312"/>
        </w:rPr>
      </w:pPr>
      <w:r>
        <w:rPr>
          <w:rStyle w:val="33"/>
          <w:rFonts w:hint="eastAsia" w:ascii="楷体_GB2312" w:eastAsia="楷体_GB2312"/>
          <w:vertAlign w:val="baseline"/>
        </w:rPr>
        <w:t>[</w:t>
      </w:r>
      <w:r>
        <w:rPr>
          <w:rStyle w:val="33"/>
          <w:rFonts w:hint="eastAsia" w:ascii="楷体_GB2312" w:eastAsia="楷体_GB2312"/>
          <w:vertAlign w:val="baseline"/>
        </w:rPr>
        <w:endnoteRef/>
      </w:r>
      <w:r>
        <w:rPr>
          <w:rStyle w:val="33"/>
          <w:rFonts w:hint="eastAsia" w:ascii="楷体_GB2312" w:eastAsia="楷体_GB2312"/>
          <w:vertAlign w:val="baseline"/>
        </w:rPr>
        <w:t>]</w:t>
      </w:r>
      <w:r>
        <w:rPr>
          <w:rFonts w:hint="eastAsia" w:ascii="楷体_GB2312" w:hAnsi="楷体_GB2312" w:eastAsia="楷体_GB2312" w:cs="楷体_GB2312"/>
          <w:szCs w:val="32"/>
        </w:rPr>
        <w:t>双修：指生态修复、城市修补。</w:t>
      </w:r>
    </w:p>
  </w:endnote>
  <w:endnote w:id="7">
    <w:p w14:paraId="7110FD6E">
      <w:pPr>
        <w:pStyle w:val="18"/>
        <w:spacing w:line="520" w:lineRule="exact"/>
        <w:ind w:firstLine="640" w:firstLineChars="200"/>
        <w:jc w:val="both"/>
        <w:rPr>
          <w:rFonts w:ascii="楷体_GB2312" w:hAnsi="楷体_GB2312" w:eastAsia="楷体_GB2312" w:cs="楷体_GB2312"/>
          <w:szCs w:val="32"/>
        </w:rPr>
      </w:pPr>
      <w:r>
        <w:rPr>
          <w:rStyle w:val="33"/>
          <w:rFonts w:hint="eastAsia" w:ascii="楷体_GB2312" w:eastAsia="楷体_GB2312"/>
          <w:vertAlign w:val="baseline"/>
        </w:rPr>
        <w:t>[</w:t>
      </w:r>
      <w:r>
        <w:rPr>
          <w:rStyle w:val="33"/>
          <w:rFonts w:hint="eastAsia" w:ascii="楷体_GB2312" w:eastAsia="楷体_GB2312"/>
          <w:vertAlign w:val="baseline"/>
        </w:rPr>
        <w:endnoteRef/>
      </w:r>
      <w:r>
        <w:rPr>
          <w:rStyle w:val="33"/>
          <w:rFonts w:hint="eastAsia" w:ascii="楷体_GB2312" w:eastAsia="楷体_GB2312"/>
          <w:vertAlign w:val="baseline"/>
        </w:rPr>
        <w:t>]</w:t>
      </w:r>
      <w:r>
        <w:rPr>
          <w:rFonts w:hint="eastAsia" w:ascii="楷体_GB2312" w:hAnsi="楷体_GB2312" w:eastAsia="楷体_GB2312" w:cs="楷体_GB2312"/>
          <w:szCs w:val="32"/>
        </w:rPr>
        <w:t>四纵七横：“四纵”包括沿江大道、黄石大道、武汉路，湖滨大道，“七横”包括迎宾大道、花湖大道、延安路、大泉路、磁湖路、天津路、颐阳路。</w:t>
      </w:r>
    </w:p>
  </w:endnote>
  <w:endnote w:id="8">
    <w:p w14:paraId="07B5F4DA">
      <w:pPr>
        <w:pStyle w:val="18"/>
        <w:spacing w:line="520" w:lineRule="exact"/>
        <w:ind w:firstLine="640" w:firstLineChars="200"/>
        <w:jc w:val="both"/>
        <w:rPr>
          <w:rFonts w:ascii="楷体_GB2312" w:eastAsia="楷体_GB2312"/>
        </w:rPr>
      </w:pPr>
      <w:r>
        <w:rPr>
          <w:rStyle w:val="33"/>
          <w:rFonts w:hint="eastAsia" w:ascii="楷体_GB2312" w:eastAsia="楷体_GB2312"/>
          <w:vertAlign w:val="baseline"/>
        </w:rPr>
        <w:t>[</w:t>
      </w:r>
      <w:r>
        <w:rPr>
          <w:rStyle w:val="33"/>
          <w:rFonts w:hint="eastAsia" w:ascii="楷体_GB2312" w:eastAsia="楷体_GB2312"/>
          <w:vertAlign w:val="baseline"/>
        </w:rPr>
        <w:endnoteRef/>
      </w:r>
      <w:r>
        <w:rPr>
          <w:rStyle w:val="33"/>
          <w:rFonts w:hint="eastAsia" w:ascii="楷体_GB2312" w:eastAsia="楷体_GB2312"/>
          <w:vertAlign w:val="baseline"/>
        </w:rPr>
        <w:t>]</w:t>
      </w:r>
      <w:r>
        <w:rPr>
          <w:rFonts w:hint="eastAsia" w:ascii="楷体_GB2312" w:hAnsi="楷体_GB2312" w:eastAsia="楷体_GB2312" w:cs="楷体_GB2312"/>
          <w:szCs w:val="32"/>
        </w:rPr>
        <w:t>优质服务基层行：指推进乡镇卫生院和社区卫生服务中心标准化建设，持续提升服务能力和改进服务质量，使基层“干有目标、建有标准”，满足广大群众基本医疗卫生服务需求的一项具体活动。</w:t>
      </w:r>
    </w:p>
  </w:endnote>
  <w:endnote w:id="9">
    <w:p w14:paraId="65AB91BF">
      <w:pPr>
        <w:pStyle w:val="18"/>
        <w:spacing w:line="520" w:lineRule="exact"/>
        <w:ind w:firstLine="640" w:firstLineChars="200"/>
        <w:jc w:val="both"/>
        <w:rPr>
          <w:rFonts w:ascii="楷体_GB2312" w:hAnsi="楷体_GB2312" w:eastAsia="楷体_GB2312" w:cs="楷体_GB2312"/>
          <w:szCs w:val="32"/>
        </w:rPr>
      </w:pPr>
      <w:r>
        <w:rPr>
          <w:rStyle w:val="33"/>
          <w:rFonts w:hint="eastAsia" w:ascii="楷体_GB2312" w:eastAsia="楷体_GB2312"/>
          <w:vertAlign w:val="baseline"/>
        </w:rPr>
        <w:t>[</w:t>
      </w:r>
      <w:r>
        <w:rPr>
          <w:rStyle w:val="33"/>
          <w:rFonts w:hint="eastAsia" w:ascii="楷体_GB2312" w:eastAsia="楷体_GB2312"/>
          <w:vertAlign w:val="baseline"/>
        </w:rPr>
        <w:endnoteRef/>
      </w:r>
      <w:r>
        <w:rPr>
          <w:rStyle w:val="33"/>
          <w:rFonts w:hint="eastAsia" w:ascii="楷体_GB2312" w:eastAsia="楷体_GB2312"/>
          <w:vertAlign w:val="baseline"/>
        </w:rPr>
        <w:t>]</w:t>
      </w:r>
      <w:r>
        <w:rPr>
          <w:rFonts w:hint="eastAsia" w:ascii="楷体_GB2312" w:hAnsi="楷体_GB2312" w:eastAsia="楷体_GB2312" w:cs="楷体_GB2312"/>
          <w:szCs w:val="32"/>
        </w:rPr>
        <w:t>非禁即入：凡法律、行政法规未禁止的企业或个人经营的行业和项目，都允许其经营。</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ongti SC">
    <w:altName w:val="微软雅黑"/>
    <w:panose1 w:val="00000000000000000000"/>
    <w:charset w:val="86"/>
    <w:family w:val="auto"/>
    <w:pitch w:val="default"/>
    <w:sig w:usb0="00000000" w:usb1="00000000" w:usb2="00000010" w:usb3="00000000" w:csb0="000400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imSun-ExtB">
    <w:panose1 w:val="02010609060101010101"/>
    <w:charset w:val="86"/>
    <w:family w:val="modern"/>
    <w:pitch w:val="default"/>
    <w:sig w:usb0="00000001" w:usb1="02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eiti SC Medium">
    <w:altName w:val="Malgun Gothic Semilight"/>
    <w:panose1 w:val="00000000000000000000"/>
    <w:charset w:val="80"/>
    <w:family w:val="auto"/>
    <w:pitch w:val="default"/>
    <w:sig w:usb0="00000000" w:usb1="00000000" w:usb2="00000010" w:usb3="00000000" w:csb0="003E0001" w:csb1="00000000"/>
  </w:font>
  <w:font w:name="Malgun Gothic Semilight">
    <w:panose1 w:val="020B0502040204020203"/>
    <w:charset w:val="86"/>
    <w:family w:val="auto"/>
    <w:pitch w:val="default"/>
    <w:sig w:usb0="900002AF" w:usb1="01D77CFB" w:usb2="00000012" w:usb3="00000000" w:csb0="203E01BD" w:csb1="D7FF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script"/>
    <w:pitch w:val="default"/>
    <w:sig w:usb0="00000000" w:usb1="00000000" w:usb2="0000001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简体">
    <w:altName w:val="微软雅黑"/>
    <w:panose1 w:val="02010601030101010101"/>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BDE02">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C02F">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6EC13">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87630">
    <w:pPr>
      <w:pStyle w:val="20"/>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A5BC">
    <w:pPr>
      <w:pStyle w:val="20"/>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p>
  </w:footnote>
  <w:footnote w:type="continuationSeparator" w:id="1">
    <w:p>
      <w:pPr>
        <w:spacing w:line="240" w:lineRule="auto"/>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20E36">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7098">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4159">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A8C8DC"/>
    <w:multiLevelType w:val="singleLevel"/>
    <w:tmpl w:val="D4A8C8DC"/>
    <w:lvl w:ilvl="0" w:tentative="0">
      <w:start w:val="5"/>
      <w:numFmt w:val="chineseCounting"/>
      <w:suff w:val="nothing"/>
      <w:lvlText w:val="（%1）"/>
      <w:lvlJc w:val="left"/>
      <w:rPr>
        <w:rFonts w:hint="eastAsia"/>
      </w:rPr>
    </w:lvl>
  </w:abstractNum>
  <w:abstractNum w:abstractNumId="1">
    <w:nsid w:val="EE80D227"/>
    <w:multiLevelType w:val="singleLevel"/>
    <w:tmpl w:val="EE80D22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51"/>
  <w:drawingGridHorizontalSpacing w:val="160"/>
  <w:drawingGridVerticalSpacing w:val="218"/>
  <w:displayHorizontalDrawingGridEvery w:val="0"/>
  <w:displayVerticalDrawingGridEvery w:val="2"/>
  <w:characterSpacingControl w:val="compressPunctuation"/>
  <w:doNotValidateAgainstSchema/>
  <w:doNotDemarcateInvalidXml/>
  <w:footnotePr>
    <w:footnote w:id="0"/>
    <w:footnote w:id="1"/>
  </w:footnotePr>
  <w:endnotePr>
    <w:numFmt w:val="decimal"/>
    <w:endnote w:id="20"/>
    <w:endnote w:id="2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BF0"/>
    <w:rsid w:val="00016B0D"/>
    <w:rsid w:val="00020469"/>
    <w:rsid w:val="00025C23"/>
    <w:rsid w:val="00026EEB"/>
    <w:rsid w:val="00034450"/>
    <w:rsid w:val="0004012D"/>
    <w:rsid w:val="00041C6A"/>
    <w:rsid w:val="00046BA0"/>
    <w:rsid w:val="0004710C"/>
    <w:rsid w:val="00050764"/>
    <w:rsid w:val="00066FA5"/>
    <w:rsid w:val="00082507"/>
    <w:rsid w:val="00087978"/>
    <w:rsid w:val="000A00CA"/>
    <w:rsid w:val="000A1A56"/>
    <w:rsid w:val="000A637A"/>
    <w:rsid w:val="000B029E"/>
    <w:rsid w:val="000B1B66"/>
    <w:rsid w:val="000B2432"/>
    <w:rsid w:val="000C179A"/>
    <w:rsid w:val="000E4AAA"/>
    <w:rsid w:val="000E5A07"/>
    <w:rsid w:val="000F0C45"/>
    <w:rsid w:val="000F335E"/>
    <w:rsid w:val="001066BA"/>
    <w:rsid w:val="00114536"/>
    <w:rsid w:val="0011567B"/>
    <w:rsid w:val="001222E1"/>
    <w:rsid w:val="00135C6E"/>
    <w:rsid w:val="00141345"/>
    <w:rsid w:val="00143749"/>
    <w:rsid w:val="00144AF3"/>
    <w:rsid w:val="001472FC"/>
    <w:rsid w:val="00150F55"/>
    <w:rsid w:val="0017210C"/>
    <w:rsid w:val="00172A27"/>
    <w:rsid w:val="001810C7"/>
    <w:rsid w:val="00182B4D"/>
    <w:rsid w:val="00183A43"/>
    <w:rsid w:val="00187236"/>
    <w:rsid w:val="00191C5B"/>
    <w:rsid w:val="00192DB4"/>
    <w:rsid w:val="00194A98"/>
    <w:rsid w:val="001A55D7"/>
    <w:rsid w:val="001A6994"/>
    <w:rsid w:val="001B03BA"/>
    <w:rsid w:val="001B0743"/>
    <w:rsid w:val="001B4AEC"/>
    <w:rsid w:val="001B7229"/>
    <w:rsid w:val="001C218A"/>
    <w:rsid w:val="001C3CAF"/>
    <w:rsid w:val="001D053C"/>
    <w:rsid w:val="001D5147"/>
    <w:rsid w:val="001E0613"/>
    <w:rsid w:val="001E37F2"/>
    <w:rsid w:val="001F038C"/>
    <w:rsid w:val="001F1287"/>
    <w:rsid w:val="00207355"/>
    <w:rsid w:val="002134D2"/>
    <w:rsid w:val="002224C3"/>
    <w:rsid w:val="0022536F"/>
    <w:rsid w:val="00225F65"/>
    <w:rsid w:val="00247CAD"/>
    <w:rsid w:val="0025485D"/>
    <w:rsid w:val="00280942"/>
    <w:rsid w:val="00285302"/>
    <w:rsid w:val="00292032"/>
    <w:rsid w:val="00293EBE"/>
    <w:rsid w:val="00297E5E"/>
    <w:rsid w:val="002A73AE"/>
    <w:rsid w:val="002B1C73"/>
    <w:rsid w:val="002C1729"/>
    <w:rsid w:val="002D462C"/>
    <w:rsid w:val="002D60FD"/>
    <w:rsid w:val="002E42A8"/>
    <w:rsid w:val="002E5A43"/>
    <w:rsid w:val="00304793"/>
    <w:rsid w:val="00306235"/>
    <w:rsid w:val="00310CC1"/>
    <w:rsid w:val="003157CD"/>
    <w:rsid w:val="00316299"/>
    <w:rsid w:val="003178A1"/>
    <w:rsid w:val="00340E72"/>
    <w:rsid w:val="0034736F"/>
    <w:rsid w:val="0036243C"/>
    <w:rsid w:val="00370EE5"/>
    <w:rsid w:val="00393D4B"/>
    <w:rsid w:val="003A6378"/>
    <w:rsid w:val="003B31FA"/>
    <w:rsid w:val="003C26CF"/>
    <w:rsid w:val="003C6887"/>
    <w:rsid w:val="003C7F6D"/>
    <w:rsid w:val="003D1C50"/>
    <w:rsid w:val="003D3029"/>
    <w:rsid w:val="003D601D"/>
    <w:rsid w:val="003E0FB7"/>
    <w:rsid w:val="003E1BD9"/>
    <w:rsid w:val="003E22E0"/>
    <w:rsid w:val="003E47A5"/>
    <w:rsid w:val="003F40E1"/>
    <w:rsid w:val="003F6D3F"/>
    <w:rsid w:val="003F7238"/>
    <w:rsid w:val="00435687"/>
    <w:rsid w:val="00446A3F"/>
    <w:rsid w:val="00453CC2"/>
    <w:rsid w:val="00454A73"/>
    <w:rsid w:val="00460FAA"/>
    <w:rsid w:val="004630A4"/>
    <w:rsid w:val="00480B63"/>
    <w:rsid w:val="00492063"/>
    <w:rsid w:val="004964DA"/>
    <w:rsid w:val="004A03A3"/>
    <w:rsid w:val="004B1FDA"/>
    <w:rsid w:val="004B4983"/>
    <w:rsid w:val="004B7DE8"/>
    <w:rsid w:val="004C429E"/>
    <w:rsid w:val="004D5411"/>
    <w:rsid w:val="004F2B85"/>
    <w:rsid w:val="004F6240"/>
    <w:rsid w:val="00522C4B"/>
    <w:rsid w:val="00537262"/>
    <w:rsid w:val="0054319F"/>
    <w:rsid w:val="0054685C"/>
    <w:rsid w:val="00551447"/>
    <w:rsid w:val="00555AFF"/>
    <w:rsid w:val="00564780"/>
    <w:rsid w:val="00583E13"/>
    <w:rsid w:val="005944F5"/>
    <w:rsid w:val="005A2F93"/>
    <w:rsid w:val="005A5DB3"/>
    <w:rsid w:val="005A5EA0"/>
    <w:rsid w:val="005B41AF"/>
    <w:rsid w:val="005B54BB"/>
    <w:rsid w:val="005C469F"/>
    <w:rsid w:val="005D2D6C"/>
    <w:rsid w:val="005E3CD3"/>
    <w:rsid w:val="005F0D4E"/>
    <w:rsid w:val="005F564B"/>
    <w:rsid w:val="00612DB2"/>
    <w:rsid w:val="00613D34"/>
    <w:rsid w:val="00635DA1"/>
    <w:rsid w:val="006410CA"/>
    <w:rsid w:val="00643037"/>
    <w:rsid w:val="006453F7"/>
    <w:rsid w:val="00646189"/>
    <w:rsid w:val="00652F84"/>
    <w:rsid w:val="00657889"/>
    <w:rsid w:val="006837E6"/>
    <w:rsid w:val="00684E04"/>
    <w:rsid w:val="006850B1"/>
    <w:rsid w:val="00690858"/>
    <w:rsid w:val="0069179A"/>
    <w:rsid w:val="006A23A4"/>
    <w:rsid w:val="006A3FC2"/>
    <w:rsid w:val="006A565C"/>
    <w:rsid w:val="006B0AB8"/>
    <w:rsid w:val="006C3D71"/>
    <w:rsid w:val="006C4A4D"/>
    <w:rsid w:val="006C4E4E"/>
    <w:rsid w:val="006D1CE9"/>
    <w:rsid w:val="006D1D2E"/>
    <w:rsid w:val="006F0F56"/>
    <w:rsid w:val="006F2CE5"/>
    <w:rsid w:val="00700192"/>
    <w:rsid w:val="00704358"/>
    <w:rsid w:val="00706599"/>
    <w:rsid w:val="00712F12"/>
    <w:rsid w:val="00715924"/>
    <w:rsid w:val="00716281"/>
    <w:rsid w:val="0071641A"/>
    <w:rsid w:val="00716BC9"/>
    <w:rsid w:val="00721FFF"/>
    <w:rsid w:val="00724C63"/>
    <w:rsid w:val="00727EF9"/>
    <w:rsid w:val="00732943"/>
    <w:rsid w:val="0074507E"/>
    <w:rsid w:val="00760A2D"/>
    <w:rsid w:val="00764464"/>
    <w:rsid w:val="00794CD0"/>
    <w:rsid w:val="007A08B8"/>
    <w:rsid w:val="007A380A"/>
    <w:rsid w:val="007B28EA"/>
    <w:rsid w:val="007C16DC"/>
    <w:rsid w:val="007C1EC2"/>
    <w:rsid w:val="007D1C93"/>
    <w:rsid w:val="007D5ED4"/>
    <w:rsid w:val="007E038A"/>
    <w:rsid w:val="00803AC6"/>
    <w:rsid w:val="00804407"/>
    <w:rsid w:val="0080476D"/>
    <w:rsid w:val="008047B9"/>
    <w:rsid w:val="00815CD1"/>
    <w:rsid w:val="00826534"/>
    <w:rsid w:val="00831B1E"/>
    <w:rsid w:val="008324C7"/>
    <w:rsid w:val="00835A7D"/>
    <w:rsid w:val="00836899"/>
    <w:rsid w:val="00841DBE"/>
    <w:rsid w:val="00844E6D"/>
    <w:rsid w:val="008470ED"/>
    <w:rsid w:val="00850CE0"/>
    <w:rsid w:val="00851FD5"/>
    <w:rsid w:val="00865BB3"/>
    <w:rsid w:val="0087518F"/>
    <w:rsid w:val="008847F4"/>
    <w:rsid w:val="00885069"/>
    <w:rsid w:val="00886AD2"/>
    <w:rsid w:val="00891EBD"/>
    <w:rsid w:val="0089215D"/>
    <w:rsid w:val="008957CB"/>
    <w:rsid w:val="0089702A"/>
    <w:rsid w:val="008C6887"/>
    <w:rsid w:val="008F1E3E"/>
    <w:rsid w:val="008F4DD3"/>
    <w:rsid w:val="00904145"/>
    <w:rsid w:val="00906053"/>
    <w:rsid w:val="00907CE5"/>
    <w:rsid w:val="00912F1A"/>
    <w:rsid w:val="00916CD5"/>
    <w:rsid w:val="00923304"/>
    <w:rsid w:val="009245B6"/>
    <w:rsid w:val="00931CE6"/>
    <w:rsid w:val="0093750F"/>
    <w:rsid w:val="00941525"/>
    <w:rsid w:val="00960D7C"/>
    <w:rsid w:val="0096582F"/>
    <w:rsid w:val="009751D0"/>
    <w:rsid w:val="009800C4"/>
    <w:rsid w:val="00980874"/>
    <w:rsid w:val="0098137B"/>
    <w:rsid w:val="009A29E6"/>
    <w:rsid w:val="009B106E"/>
    <w:rsid w:val="009B1964"/>
    <w:rsid w:val="009B28F1"/>
    <w:rsid w:val="009B5693"/>
    <w:rsid w:val="009C2615"/>
    <w:rsid w:val="009C4CF3"/>
    <w:rsid w:val="009C5902"/>
    <w:rsid w:val="009C6DEB"/>
    <w:rsid w:val="009E01F4"/>
    <w:rsid w:val="009E1082"/>
    <w:rsid w:val="009E2BEC"/>
    <w:rsid w:val="009E4D92"/>
    <w:rsid w:val="009F474A"/>
    <w:rsid w:val="009F4D66"/>
    <w:rsid w:val="00A00173"/>
    <w:rsid w:val="00A007EE"/>
    <w:rsid w:val="00A0398D"/>
    <w:rsid w:val="00A061B0"/>
    <w:rsid w:val="00A143F9"/>
    <w:rsid w:val="00A17384"/>
    <w:rsid w:val="00A22301"/>
    <w:rsid w:val="00A26F7C"/>
    <w:rsid w:val="00A3028E"/>
    <w:rsid w:val="00A30AD0"/>
    <w:rsid w:val="00A4309D"/>
    <w:rsid w:val="00A46935"/>
    <w:rsid w:val="00A52E9D"/>
    <w:rsid w:val="00A54499"/>
    <w:rsid w:val="00A6077D"/>
    <w:rsid w:val="00A66FA8"/>
    <w:rsid w:val="00A86F6B"/>
    <w:rsid w:val="00A91331"/>
    <w:rsid w:val="00AA202C"/>
    <w:rsid w:val="00AA6AF5"/>
    <w:rsid w:val="00AA7541"/>
    <w:rsid w:val="00AB0B86"/>
    <w:rsid w:val="00AB42C3"/>
    <w:rsid w:val="00AB77D7"/>
    <w:rsid w:val="00AC0337"/>
    <w:rsid w:val="00AC10C3"/>
    <w:rsid w:val="00AC3880"/>
    <w:rsid w:val="00AE59DB"/>
    <w:rsid w:val="00AF29F5"/>
    <w:rsid w:val="00AF380B"/>
    <w:rsid w:val="00AF42E9"/>
    <w:rsid w:val="00B00F51"/>
    <w:rsid w:val="00B02F9F"/>
    <w:rsid w:val="00B1037B"/>
    <w:rsid w:val="00B14F73"/>
    <w:rsid w:val="00B227D0"/>
    <w:rsid w:val="00B26D40"/>
    <w:rsid w:val="00B43A2A"/>
    <w:rsid w:val="00B47CF5"/>
    <w:rsid w:val="00B571AA"/>
    <w:rsid w:val="00B64557"/>
    <w:rsid w:val="00B660C0"/>
    <w:rsid w:val="00B70185"/>
    <w:rsid w:val="00B830A4"/>
    <w:rsid w:val="00B836F1"/>
    <w:rsid w:val="00B870B7"/>
    <w:rsid w:val="00B87CB4"/>
    <w:rsid w:val="00B92AA0"/>
    <w:rsid w:val="00BA1DA5"/>
    <w:rsid w:val="00BA4388"/>
    <w:rsid w:val="00BD0FB0"/>
    <w:rsid w:val="00BF0BE7"/>
    <w:rsid w:val="00BF2A3D"/>
    <w:rsid w:val="00C17184"/>
    <w:rsid w:val="00C32673"/>
    <w:rsid w:val="00C36041"/>
    <w:rsid w:val="00C379DE"/>
    <w:rsid w:val="00C47F1A"/>
    <w:rsid w:val="00C5363B"/>
    <w:rsid w:val="00C657DF"/>
    <w:rsid w:val="00C74A3E"/>
    <w:rsid w:val="00C77871"/>
    <w:rsid w:val="00C77CBE"/>
    <w:rsid w:val="00C814E9"/>
    <w:rsid w:val="00C84FB3"/>
    <w:rsid w:val="00C87FFE"/>
    <w:rsid w:val="00C91093"/>
    <w:rsid w:val="00CA2D54"/>
    <w:rsid w:val="00CA41A1"/>
    <w:rsid w:val="00CA4A88"/>
    <w:rsid w:val="00CB5FEB"/>
    <w:rsid w:val="00CC0577"/>
    <w:rsid w:val="00CC1834"/>
    <w:rsid w:val="00CD2635"/>
    <w:rsid w:val="00CD504C"/>
    <w:rsid w:val="00CF13AC"/>
    <w:rsid w:val="00CF400B"/>
    <w:rsid w:val="00CF4782"/>
    <w:rsid w:val="00CF4D40"/>
    <w:rsid w:val="00CF6D84"/>
    <w:rsid w:val="00D0056E"/>
    <w:rsid w:val="00D04102"/>
    <w:rsid w:val="00D100EE"/>
    <w:rsid w:val="00D25EDA"/>
    <w:rsid w:val="00D2768C"/>
    <w:rsid w:val="00D3711E"/>
    <w:rsid w:val="00D41F92"/>
    <w:rsid w:val="00D4262A"/>
    <w:rsid w:val="00D44E3D"/>
    <w:rsid w:val="00D51336"/>
    <w:rsid w:val="00D51B61"/>
    <w:rsid w:val="00D527FD"/>
    <w:rsid w:val="00D73DFC"/>
    <w:rsid w:val="00D77CFE"/>
    <w:rsid w:val="00D90969"/>
    <w:rsid w:val="00D97AA8"/>
    <w:rsid w:val="00DA28C1"/>
    <w:rsid w:val="00DC4A31"/>
    <w:rsid w:val="00DC66F3"/>
    <w:rsid w:val="00DD0A06"/>
    <w:rsid w:val="00DD647D"/>
    <w:rsid w:val="00DE4CCD"/>
    <w:rsid w:val="00DE7C6A"/>
    <w:rsid w:val="00DF22A2"/>
    <w:rsid w:val="00DF3257"/>
    <w:rsid w:val="00DF4563"/>
    <w:rsid w:val="00E0424B"/>
    <w:rsid w:val="00E102AC"/>
    <w:rsid w:val="00E1592D"/>
    <w:rsid w:val="00E15E3E"/>
    <w:rsid w:val="00E23134"/>
    <w:rsid w:val="00E32837"/>
    <w:rsid w:val="00E40551"/>
    <w:rsid w:val="00E43C8D"/>
    <w:rsid w:val="00E71785"/>
    <w:rsid w:val="00E73C2E"/>
    <w:rsid w:val="00E80AA8"/>
    <w:rsid w:val="00E9386F"/>
    <w:rsid w:val="00E947C7"/>
    <w:rsid w:val="00EA4089"/>
    <w:rsid w:val="00EB200D"/>
    <w:rsid w:val="00EB3B82"/>
    <w:rsid w:val="00EB6EF4"/>
    <w:rsid w:val="00EC4AE6"/>
    <w:rsid w:val="00ED2E9E"/>
    <w:rsid w:val="00EE1137"/>
    <w:rsid w:val="00EF0047"/>
    <w:rsid w:val="00EF213F"/>
    <w:rsid w:val="00EF35A3"/>
    <w:rsid w:val="00EF7062"/>
    <w:rsid w:val="00F0533A"/>
    <w:rsid w:val="00F07953"/>
    <w:rsid w:val="00F1597B"/>
    <w:rsid w:val="00F21EAF"/>
    <w:rsid w:val="00F26B34"/>
    <w:rsid w:val="00F32C5C"/>
    <w:rsid w:val="00F335A3"/>
    <w:rsid w:val="00F3641D"/>
    <w:rsid w:val="00F366D7"/>
    <w:rsid w:val="00F41CCD"/>
    <w:rsid w:val="00F5084B"/>
    <w:rsid w:val="00F51F1F"/>
    <w:rsid w:val="00F70AD4"/>
    <w:rsid w:val="00F74AF3"/>
    <w:rsid w:val="00F815BF"/>
    <w:rsid w:val="00F92260"/>
    <w:rsid w:val="00FA6D87"/>
    <w:rsid w:val="00FA7937"/>
    <w:rsid w:val="00FB23C8"/>
    <w:rsid w:val="00FC0B97"/>
    <w:rsid w:val="00FC7BFE"/>
    <w:rsid w:val="00FD0094"/>
    <w:rsid w:val="00FD024D"/>
    <w:rsid w:val="00FD0421"/>
    <w:rsid w:val="00FD4FC3"/>
    <w:rsid w:val="00FD5B6F"/>
    <w:rsid w:val="00FD6656"/>
    <w:rsid w:val="00FD74E3"/>
    <w:rsid w:val="00FE2655"/>
    <w:rsid w:val="00FE6096"/>
    <w:rsid w:val="00FE63C2"/>
    <w:rsid w:val="00FF1FFE"/>
    <w:rsid w:val="00FF26A5"/>
    <w:rsid w:val="00FF381A"/>
    <w:rsid w:val="00FF7AFA"/>
    <w:rsid w:val="01165246"/>
    <w:rsid w:val="216B1E8A"/>
    <w:rsid w:val="21CC1D6B"/>
    <w:rsid w:val="291B723D"/>
    <w:rsid w:val="3009367C"/>
    <w:rsid w:val="357468FD"/>
    <w:rsid w:val="3EDE185C"/>
    <w:rsid w:val="48D67998"/>
    <w:rsid w:val="4DA64FE6"/>
    <w:rsid w:val="4FCF5DB0"/>
    <w:rsid w:val="51181D02"/>
    <w:rsid w:val="5AA36101"/>
    <w:rsid w:val="5BB02D1C"/>
    <w:rsid w:val="64C63CD0"/>
    <w:rsid w:val="6C5139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1" w:semiHidden="0" w:name="endnote reference"/>
    <w:lsdException w:qFormat="1" w:uiPriority="1"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ind w:firstLine="200" w:firstLineChars="200"/>
    </w:pPr>
    <w:rPr>
      <w:rFonts w:ascii="宋体" w:hAnsi="宋体" w:eastAsia="方正仿宋简体" w:cs="宋体"/>
      <w:sz w:val="32"/>
      <w:szCs w:val="24"/>
      <w:lang w:val="en-US" w:eastAsia="zh-CN" w:bidi="ar-SA"/>
    </w:rPr>
  </w:style>
  <w:style w:type="paragraph" w:styleId="2">
    <w:name w:val="heading 1"/>
    <w:basedOn w:val="3"/>
    <w:next w:val="1"/>
    <w:link w:val="67"/>
    <w:qFormat/>
    <w:uiPriority w:val="0"/>
    <w:pPr>
      <w:keepNext/>
      <w:keepLines/>
      <w:spacing w:before="60" w:after="60" w:line="560" w:lineRule="exact"/>
      <w:outlineLvl w:val="0"/>
    </w:pPr>
    <w:rPr>
      <w:rFonts w:ascii="Times New Roman" w:hAnsi="Times New Roman" w:eastAsia="黑体"/>
      <w:b w:val="0"/>
      <w:bCs/>
      <w:kern w:val="44"/>
      <w:szCs w:val="44"/>
    </w:rPr>
  </w:style>
  <w:style w:type="paragraph" w:styleId="4">
    <w:name w:val="heading 2"/>
    <w:basedOn w:val="1"/>
    <w:next w:val="1"/>
    <w:link w:val="43"/>
    <w:qFormat/>
    <w:uiPriority w:val="0"/>
    <w:pPr>
      <w:keepNext/>
      <w:keepLines/>
      <w:spacing w:line="560" w:lineRule="exact"/>
      <w:outlineLvl w:val="1"/>
    </w:pPr>
    <w:rPr>
      <w:rFonts w:ascii="Times New Roman" w:hAnsi="Times New Roman" w:eastAsia="楷体_GB2312" w:cs="Times New Roman"/>
      <w:b/>
      <w:bCs/>
      <w:szCs w:val="32"/>
    </w:rPr>
  </w:style>
  <w:style w:type="paragraph" w:styleId="5">
    <w:name w:val="heading 3"/>
    <w:basedOn w:val="1"/>
    <w:next w:val="1"/>
    <w:link w:val="73"/>
    <w:qFormat/>
    <w:uiPriority w:val="0"/>
    <w:pPr>
      <w:keepNext/>
      <w:keepLines/>
      <w:spacing w:line="560" w:lineRule="exact"/>
      <w:outlineLvl w:val="2"/>
    </w:pPr>
    <w:rPr>
      <w:rFonts w:ascii="Times New Roman" w:hAnsi="Times New Roman" w:cs="Times New Roman"/>
      <w:b/>
      <w:bCs/>
      <w:szCs w:val="32"/>
    </w:rPr>
  </w:style>
  <w:style w:type="paragraph" w:styleId="6">
    <w:name w:val="heading 4"/>
    <w:basedOn w:val="1"/>
    <w:next w:val="1"/>
    <w:link w:val="66"/>
    <w:qFormat/>
    <w:uiPriority w:val="0"/>
    <w:pPr>
      <w:keepNext/>
      <w:keepLines/>
      <w:spacing w:before="240" w:after="240" w:line="312" w:lineRule="auto"/>
      <w:outlineLvl w:val="3"/>
    </w:pPr>
    <w:rPr>
      <w:rFonts w:ascii="Times New Roman" w:hAnsi="Times New Roman" w:eastAsia="Songti SC" w:cs="Times New Roman"/>
      <w:bCs/>
      <w:sz w:val="24"/>
      <w:szCs w:val="28"/>
    </w:rPr>
  </w:style>
  <w:style w:type="paragraph" w:styleId="7">
    <w:name w:val="heading 5"/>
    <w:basedOn w:val="8"/>
    <w:next w:val="1"/>
    <w:link w:val="41"/>
    <w:qFormat/>
    <w:uiPriority w:val="0"/>
    <w:pPr>
      <w:spacing w:before="240" w:after="240"/>
      <w:outlineLvl w:val="4"/>
    </w:pPr>
    <w:rPr>
      <w:bCs w:val="0"/>
      <w:sz w:val="28"/>
      <w:szCs w:val="28"/>
    </w:rPr>
  </w:style>
  <w:style w:type="paragraph" w:styleId="10">
    <w:name w:val="heading 6"/>
    <w:basedOn w:val="6"/>
    <w:next w:val="11"/>
    <w:link w:val="61"/>
    <w:qFormat/>
    <w:uiPriority w:val="0"/>
    <w:pPr>
      <w:spacing w:after="64"/>
      <w:outlineLvl w:val="5"/>
    </w:pPr>
    <w:rPr>
      <w:rFonts w:ascii="等线 Light" w:hAnsi="等线 Light" w:eastAsia="仿宋"/>
      <w:b/>
      <w:bCs w:val="0"/>
      <w:sz w:val="28"/>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3">
    <w:name w:val="样式1"/>
    <w:basedOn w:val="1"/>
    <w:qFormat/>
    <w:uiPriority w:val="0"/>
    <w:rPr>
      <w:rFonts w:cs="Times New Roman"/>
      <w:b/>
    </w:rPr>
  </w:style>
  <w:style w:type="paragraph" w:customStyle="1" w:styleId="8">
    <w:name w:val="标题3，x. 仿宋三号加粗"/>
    <w:basedOn w:val="9"/>
    <w:next w:val="6"/>
    <w:qFormat/>
    <w:uiPriority w:val="0"/>
    <w:pPr>
      <w:spacing w:before="120"/>
    </w:pPr>
    <w:rPr>
      <w:rFonts w:eastAsia="仿宋"/>
    </w:rPr>
  </w:style>
  <w:style w:type="paragraph" w:customStyle="1" w:styleId="9">
    <w:name w:val="标题2，（大写数字） 黑体三号"/>
    <w:basedOn w:val="4"/>
    <w:next w:val="8"/>
    <w:qFormat/>
    <w:uiPriority w:val="0"/>
    <w:pPr>
      <w:spacing w:before="60" w:after="60" w:line="360" w:lineRule="auto"/>
      <w:ind w:firstLine="0" w:firstLineChars="0"/>
    </w:pPr>
    <w:rPr>
      <w:rFonts w:eastAsia="黑体"/>
    </w:rPr>
  </w:style>
  <w:style w:type="paragraph" w:customStyle="1" w:styleId="11">
    <w:name w:val="正文（仿宋四号）"/>
    <w:basedOn w:val="12"/>
    <w:link w:val="42"/>
    <w:qFormat/>
    <w:uiPriority w:val="0"/>
    <w:pPr>
      <w:widowControl w:val="0"/>
      <w:spacing w:line="360" w:lineRule="auto"/>
    </w:pPr>
    <w:rPr>
      <w:rFonts w:eastAsia="仿宋"/>
      <w:sz w:val="28"/>
    </w:rPr>
  </w:style>
  <w:style w:type="paragraph" w:customStyle="1" w:styleId="12">
    <w:name w:val="正文首行锁进"/>
    <w:basedOn w:val="1"/>
    <w:link w:val="40"/>
    <w:qFormat/>
    <w:uiPriority w:val="0"/>
    <w:pPr>
      <w:spacing w:line="580" w:lineRule="exact"/>
    </w:pPr>
    <w:rPr>
      <w:rFonts w:ascii="Times New Roman" w:hAnsi="Times New Roman" w:eastAsia="SimSun-ExtB" w:cs="Times New Roman"/>
      <w:sz w:val="24"/>
      <w:szCs w:val="20"/>
    </w:rPr>
  </w:style>
  <w:style w:type="paragraph" w:styleId="13">
    <w:name w:val="annotation text"/>
    <w:basedOn w:val="1"/>
    <w:link w:val="54"/>
    <w:qFormat/>
    <w:uiPriority w:val="0"/>
    <w:rPr>
      <w:rFonts w:ascii="Times New Roman" w:hAnsi="Times New Roman" w:eastAsia="宋体" w:cs="Times New Roman"/>
      <w:sz w:val="20"/>
      <w:szCs w:val="22"/>
    </w:rPr>
  </w:style>
  <w:style w:type="paragraph" w:styleId="14">
    <w:name w:val="Body Text"/>
    <w:basedOn w:val="1"/>
    <w:link w:val="70"/>
    <w:qFormat/>
    <w:uiPriority w:val="0"/>
    <w:pPr>
      <w:widowControl w:val="0"/>
      <w:autoSpaceDE w:val="0"/>
      <w:autoSpaceDN w:val="0"/>
      <w:adjustRightInd w:val="0"/>
      <w:spacing w:line="240" w:lineRule="auto"/>
      <w:ind w:left="500" w:firstLine="0" w:firstLineChars="0"/>
    </w:pPr>
    <w:rPr>
      <w:rFonts w:ascii="仿宋" w:hAnsi="Times New Roman" w:eastAsia="仿宋" w:cs="Times New Roman"/>
      <w:szCs w:val="32"/>
    </w:rPr>
  </w:style>
  <w:style w:type="paragraph" w:styleId="15">
    <w:name w:val="Body Text Indent"/>
    <w:basedOn w:val="1"/>
    <w:qFormat/>
    <w:uiPriority w:val="0"/>
    <w:pPr>
      <w:spacing w:after="120"/>
      <w:ind w:left="420" w:leftChars="200"/>
    </w:pPr>
    <w:rPr>
      <w:rFonts w:ascii="Calibri" w:hAnsi="Calibri" w:eastAsia="宋体" w:cs="Times New Roman"/>
    </w:rPr>
  </w:style>
  <w:style w:type="paragraph" w:styleId="16">
    <w:name w:val="toc 3"/>
    <w:basedOn w:val="1"/>
    <w:next w:val="1"/>
    <w:autoRedefine/>
    <w:qFormat/>
    <w:uiPriority w:val="39"/>
    <w:pPr>
      <w:ind w:left="840" w:leftChars="400"/>
    </w:pPr>
  </w:style>
  <w:style w:type="paragraph" w:styleId="17">
    <w:name w:val="Date"/>
    <w:basedOn w:val="1"/>
    <w:next w:val="1"/>
    <w:link w:val="72"/>
    <w:qFormat/>
    <w:uiPriority w:val="0"/>
    <w:pPr>
      <w:ind w:left="100" w:leftChars="2500"/>
    </w:pPr>
  </w:style>
  <w:style w:type="paragraph" w:styleId="18">
    <w:name w:val="endnote text"/>
    <w:basedOn w:val="1"/>
    <w:link w:val="50"/>
    <w:unhideWhenUsed/>
    <w:qFormat/>
    <w:uiPriority w:val="1"/>
    <w:pPr>
      <w:widowControl w:val="0"/>
      <w:snapToGrid w:val="0"/>
      <w:spacing w:line="240" w:lineRule="auto"/>
      <w:ind w:firstLine="0" w:firstLineChars="0"/>
    </w:pPr>
    <w:rPr>
      <w:rFonts w:ascii="Calibri" w:hAnsi="Calibri" w:eastAsia="仿宋_GB2312" w:cs="Times New Roman"/>
      <w:kern w:val="2"/>
      <w:szCs w:val="22"/>
    </w:rPr>
  </w:style>
  <w:style w:type="paragraph" w:styleId="19">
    <w:name w:val="Balloon Text"/>
    <w:basedOn w:val="1"/>
    <w:link w:val="68"/>
    <w:qFormat/>
    <w:uiPriority w:val="0"/>
    <w:rPr>
      <w:rFonts w:hAnsi="Times New Roman" w:eastAsia="宋体" w:cs="Times New Roman"/>
      <w:sz w:val="18"/>
      <w:szCs w:val="18"/>
    </w:rPr>
  </w:style>
  <w:style w:type="paragraph" w:styleId="20">
    <w:name w:val="footer"/>
    <w:basedOn w:val="1"/>
    <w:link w:val="60"/>
    <w:qFormat/>
    <w:uiPriority w:val="99"/>
    <w:pPr>
      <w:tabs>
        <w:tab w:val="center" w:pos="4153"/>
        <w:tab w:val="right" w:pos="8306"/>
      </w:tabs>
      <w:snapToGrid w:val="0"/>
    </w:pPr>
    <w:rPr>
      <w:rFonts w:ascii="Times New Roman" w:hAnsi="Times New Roman" w:eastAsia="宋体" w:cs="Times New Roman"/>
      <w:sz w:val="18"/>
      <w:szCs w:val="18"/>
    </w:rPr>
  </w:style>
  <w:style w:type="paragraph" w:styleId="21">
    <w:name w:val="header"/>
    <w:basedOn w:val="1"/>
    <w:link w:val="6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2">
    <w:name w:val="toc 1"/>
    <w:basedOn w:val="1"/>
    <w:next w:val="1"/>
    <w:autoRedefine/>
    <w:qFormat/>
    <w:uiPriority w:val="39"/>
  </w:style>
  <w:style w:type="paragraph" w:styleId="23">
    <w:name w:val="List"/>
    <w:basedOn w:val="1"/>
    <w:qFormat/>
    <w:uiPriority w:val="0"/>
    <w:pPr>
      <w:ind w:left="200" w:hanging="200" w:hangingChars="200"/>
      <w:contextualSpacing/>
    </w:pPr>
  </w:style>
  <w:style w:type="paragraph" w:styleId="24">
    <w:name w:val="table of figures"/>
    <w:basedOn w:val="1"/>
    <w:next w:val="1"/>
    <w:qFormat/>
    <w:uiPriority w:val="0"/>
    <w:pPr>
      <w:ind w:left="200" w:leftChars="200" w:hanging="200" w:hangingChars="200"/>
    </w:pPr>
  </w:style>
  <w:style w:type="paragraph" w:styleId="25">
    <w:name w:val="toc 2"/>
    <w:basedOn w:val="1"/>
    <w:next w:val="1"/>
    <w:autoRedefine/>
    <w:qFormat/>
    <w:uiPriority w:val="39"/>
    <w:pPr>
      <w:ind w:left="420" w:leftChars="200"/>
    </w:pPr>
  </w:style>
  <w:style w:type="paragraph" w:styleId="26">
    <w:name w:val="Normal (Web)"/>
    <w:basedOn w:val="1"/>
    <w:qFormat/>
    <w:uiPriority w:val="0"/>
    <w:pPr>
      <w:spacing w:before="100" w:beforeAutospacing="1" w:after="100" w:afterAutospacing="1"/>
    </w:pPr>
  </w:style>
  <w:style w:type="paragraph" w:styleId="27">
    <w:name w:val="Title"/>
    <w:basedOn w:val="1"/>
    <w:next w:val="1"/>
    <w:link w:val="71"/>
    <w:qFormat/>
    <w:uiPriority w:val="0"/>
    <w:pPr>
      <w:spacing w:before="240" w:after="60"/>
      <w:jc w:val="center"/>
      <w:outlineLvl w:val="0"/>
    </w:pPr>
    <w:rPr>
      <w:rFonts w:ascii="Times New Roman" w:hAnsi="Times New Roman" w:eastAsia="Heiti SC Medium" w:cs="Times New Roman"/>
      <w:b/>
      <w:bCs/>
      <w:sz w:val="36"/>
      <w:szCs w:val="32"/>
    </w:rPr>
  </w:style>
  <w:style w:type="paragraph" w:styleId="28">
    <w:name w:val="annotation subject"/>
    <w:basedOn w:val="13"/>
    <w:next w:val="13"/>
    <w:link w:val="62"/>
    <w:qFormat/>
    <w:uiPriority w:val="0"/>
    <w:rPr>
      <w:b/>
      <w:bCs/>
    </w:rPr>
  </w:style>
  <w:style w:type="table" w:styleId="30">
    <w:name w:val="Table Grid"/>
    <w:basedOn w:val="2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2">
    <w:name w:val="Strong"/>
    <w:qFormat/>
    <w:uiPriority w:val="0"/>
    <w:rPr>
      <w:b/>
      <w:bCs/>
    </w:rPr>
  </w:style>
  <w:style w:type="character" w:styleId="33">
    <w:name w:val="endnote reference"/>
    <w:unhideWhenUsed/>
    <w:qFormat/>
    <w:uiPriority w:val="1"/>
    <w:rPr>
      <w:vertAlign w:val="superscript"/>
    </w:rPr>
  </w:style>
  <w:style w:type="character" w:styleId="34">
    <w:name w:val="page number"/>
    <w:basedOn w:val="31"/>
    <w:qFormat/>
    <w:uiPriority w:val="0"/>
  </w:style>
  <w:style w:type="character" w:styleId="35">
    <w:name w:val="Emphasis"/>
    <w:qFormat/>
    <w:uiPriority w:val="0"/>
    <w:rPr>
      <w:i/>
      <w:iCs/>
    </w:rPr>
  </w:style>
  <w:style w:type="character" w:styleId="36">
    <w:name w:val="Hyperlink"/>
    <w:qFormat/>
    <w:uiPriority w:val="99"/>
    <w:rPr>
      <w:color w:val="0563C1"/>
      <w:u w:val="single"/>
    </w:rPr>
  </w:style>
  <w:style w:type="character" w:styleId="37">
    <w:name w:val="annotation reference"/>
    <w:qFormat/>
    <w:uiPriority w:val="0"/>
    <w:rPr>
      <w:sz w:val="21"/>
      <w:szCs w:val="21"/>
    </w:rPr>
  </w:style>
  <w:style w:type="character" w:customStyle="1" w:styleId="38">
    <w:name w:val="利川正文 字符"/>
    <w:link w:val="39"/>
    <w:qFormat/>
    <w:uiPriority w:val="0"/>
    <w:rPr>
      <w:rFonts w:ascii="Times New Roman" w:hAnsi="Times New Roman" w:eastAsia="仿宋"/>
      <w:sz w:val="28"/>
      <w:szCs w:val="21"/>
    </w:rPr>
  </w:style>
  <w:style w:type="paragraph" w:customStyle="1" w:styleId="39">
    <w:name w:val="利川正文"/>
    <w:basedOn w:val="1"/>
    <w:link w:val="38"/>
    <w:qFormat/>
    <w:uiPriority w:val="0"/>
    <w:pPr>
      <w:widowControl w:val="0"/>
      <w:adjustRightInd w:val="0"/>
      <w:snapToGrid w:val="0"/>
    </w:pPr>
    <w:rPr>
      <w:rFonts w:ascii="Times New Roman" w:hAnsi="Times New Roman" w:eastAsia="仿宋" w:cs="Times New Roman"/>
      <w:sz w:val="28"/>
      <w:szCs w:val="21"/>
    </w:rPr>
  </w:style>
  <w:style w:type="character" w:customStyle="1" w:styleId="40">
    <w:name w:val="正文首行锁进 字符"/>
    <w:link w:val="12"/>
    <w:qFormat/>
    <w:uiPriority w:val="0"/>
    <w:rPr>
      <w:rFonts w:ascii="Times New Roman" w:hAnsi="Times New Roman" w:eastAsia="SimSun-ExtB" w:cs="宋体"/>
      <w:kern w:val="0"/>
      <w:sz w:val="24"/>
    </w:rPr>
  </w:style>
  <w:style w:type="character" w:customStyle="1" w:styleId="41">
    <w:name w:val="标题 5 Char"/>
    <w:link w:val="7"/>
    <w:qFormat/>
    <w:uiPriority w:val="0"/>
    <w:rPr>
      <w:rFonts w:ascii="Times New Roman" w:hAnsi="Times New Roman" w:eastAsia="仿宋" w:cs="Times New Roman"/>
      <w:b/>
      <w:kern w:val="0"/>
      <w:sz w:val="28"/>
      <w:szCs w:val="28"/>
    </w:rPr>
  </w:style>
  <w:style w:type="character" w:customStyle="1" w:styleId="42">
    <w:name w:val="正文（仿宋四号） Char Char"/>
    <w:link w:val="11"/>
    <w:qFormat/>
    <w:uiPriority w:val="0"/>
    <w:rPr>
      <w:rFonts w:eastAsia="仿宋" w:cs="Times New Roman"/>
      <w:sz w:val="28"/>
    </w:rPr>
  </w:style>
  <w:style w:type="character" w:customStyle="1" w:styleId="43">
    <w:name w:val="标题 2 Char"/>
    <w:link w:val="4"/>
    <w:qFormat/>
    <w:uiPriority w:val="0"/>
    <w:rPr>
      <w:rFonts w:ascii="Times New Roman" w:hAnsi="Times New Roman" w:eastAsia="楷体_GB2312"/>
      <w:b/>
      <w:bCs/>
      <w:sz w:val="32"/>
      <w:szCs w:val="32"/>
    </w:rPr>
  </w:style>
  <w:style w:type="character" w:customStyle="1" w:styleId="44">
    <w:name w:val="未处理的提及1"/>
    <w:qFormat/>
    <w:uiPriority w:val="0"/>
    <w:rPr>
      <w:color w:val="605E5C"/>
      <w:shd w:val="clear" w:color="auto" w:fill="E1DFDD"/>
    </w:rPr>
  </w:style>
  <w:style w:type="character" w:customStyle="1" w:styleId="45">
    <w:name w:val="Bibliography 字符"/>
    <w:link w:val="46"/>
    <w:qFormat/>
    <w:uiPriority w:val="0"/>
    <w:rPr>
      <w:rFonts w:ascii="Times New Roman" w:hAnsi="Times New Roman" w:eastAsia="Songti SC" w:cs="宋体"/>
      <w:kern w:val="0"/>
      <w:sz w:val="24"/>
    </w:rPr>
  </w:style>
  <w:style w:type="paragraph" w:customStyle="1" w:styleId="46">
    <w:name w:val="书目1"/>
    <w:basedOn w:val="1"/>
    <w:link w:val="45"/>
    <w:qFormat/>
    <w:uiPriority w:val="0"/>
    <w:rPr>
      <w:rFonts w:ascii="Times New Roman" w:hAnsi="Times New Roman" w:eastAsia="Songti SC" w:cs="Times New Roman"/>
      <w:sz w:val="24"/>
      <w:szCs w:val="20"/>
    </w:rPr>
  </w:style>
  <w:style w:type="character" w:customStyle="1" w:styleId="47">
    <w:name w:val="nlm_source"/>
    <w:basedOn w:val="31"/>
    <w:qFormat/>
    <w:uiPriority w:val="0"/>
  </w:style>
  <w:style w:type="character" w:customStyle="1" w:styleId="48">
    <w:name w:val="current-selection"/>
    <w:basedOn w:val="31"/>
    <w:qFormat/>
    <w:uiPriority w:val="0"/>
  </w:style>
  <w:style w:type="character" w:customStyle="1" w:styleId="49">
    <w:name w:val="_"/>
    <w:basedOn w:val="31"/>
    <w:qFormat/>
    <w:uiPriority w:val="0"/>
  </w:style>
  <w:style w:type="character" w:customStyle="1" w:styleId="50">
    <w:name w:val="尾注文本 Char"/>
    <w:link w:val="18"/>
    <w:qFormat/>
    <w:uiPriority w:val="1"/>
    <w:rPr>
      <w:rFonts w:ascii="Calibri" w:hAnsi="Calibri" w:eastAsia="仿宋_GB2312"/>
      <w:kern w:val="2"/>
      <w:sz w:val="32"/>
      <w:szCs w:val="22"/>
    </w:rPr>
  </w:style>
  <w:style w:type="character" w:customStyle="1" w:styleId="51">
    <w:name w:val="EndNote Bibliography Char Char"/>
    <w:link w:val="52"/>
    <w:qFormat/>
    <w:uiPriority w:val="0"/>
    <w:rPr>
      <w:rFonts w:ascii="Calibri" w:hAnsi="Calibri" w:cs="Calibri"/>
      <w:sz w:val="20"/>
      <w:szCs w:val="22"/>
    </w:rPr>
  </w:style>
  <w:style w:type="paragraph" w:customStyle="1" w:styleId="52">
    <w:name w:val="EndNote Bibliography"/>
    <w:basedOn w:val="1"/>
    <w:link w:val="51"/>
    <w:qFormat/>
    <w:uiPriority w:val="0"/>
    <w:pPr>
      <w:widowControl w:val="0"/>
    </w:pPr>
    <w:rPr>
      <w:rFonts w:ascii="Calibri" w:hAnsi="Calibri" w:eastAsia="宋体" w:cs="Times New Roman"/>
      <w:sz w:val="20"/>
      <w:szCs w:val="22"/>
    </w:rPr>
  </w:style>
  <w:style w:type="character" w:customStyle="1" w:styleId="53">
    <w:name w:val="尾注文本 字符"/>
    <w:qFormat/>
    <w:uiPriority w:val="1"/>
    <w:rPr>
      <w:rFonts w:ascii="Calibri" w:hAnsi="Calibri" w:eastAsia="仿宋_GB2312"/>
      <w:kern w:val="2"/>
      <w:sz w:val="32"/>
      <w:szCs w:val="22"/>
    </w:rPr>
  </w:style>
  <w:style w:type="character" w:customStyle="1" w:styleId="54">
    <w:name w:val="批注文字 Char"/>
    <w:link w:val="13"/>
    <w:qFormat/>
    <w:uiPriority w:val="0"/>
    <w:rPr>
      <w:szCs w:val="22"/>
    </w:rPr>
  </w:style>
  <w:style w:type="character" w:customStyle="1" w:styleId="55">
    <w:name w:val="已访问的超链接1"/>
    <w:qFormat/>
    <w:uiPriority w:val="0"/>
    <w:rPr>
      <w:color w:val="954F72"/>
      <w:u w:val="single"/>
    </w:rPr>
  </w:style>
  <w:style w:type="character" w:styleId="56">
    <w:name w:val="Placeholder Text"/>
    <w:qFormat/>
    <w:uiPriority w:val="0"/>
    <w:rPr>
      <w:color w:val="808080"/>
    </w:rPr>
  </w:style>
  <w:style w:type="character" w:customStyle="1" w:styleId="57">
    <w:name w:val="页脚 Char Char"/>
    <w:qFormat/>
    <w:uiPriority w:val="0"/>
    <w:rPr>
      <w:rFonts w:ascii="Times New Roman" w:hAnsi="Times New Roman" w:eastAsia="宋体" w:cs="宋体"/>
      <w:kern w:val="0"/>
      <w:sz w:val="18"/>
      <w:szCs w:val="18"/>
    </w:rPr>
  </w:style>
  <w:style w:type="character" w:customStyle="1" w:styleId="58">
    <w:name w:val="gwt-inlinelabel"/>
    <w:basedOn w:val="31"/>
    <w:qFormat/>
    <w:uiPriority w:val="0"/>
  </w:style>
  <w:style w:type="character" w:customStyle="1" w:styleId="59">
    <w:name w:val="enhanced-reference"/>
    <w:basedOn w:val="31"/>
    <w:qFormat/>
    <w:uiPriority w:val="0"/>
  </w:style>
  <w:style w:type="character" w:customStyle="1" w:styleId="60">
    <w:name w:val="页脚 Char"/>
    <w:link w:val="20"/>
    <w:qFormat/>
    <w:uiPriority w:val="99"/>
    <w:rPr>
      <w:rFonts w:ascii="Times New Roman" w:hAnsi="Times New Roman" w:eastAsia="宋体"/>
      <w:sz w:val="18"/>
      <w:szCs w:val="18"/>
    </w:rPr>
  </w:style>
  <w:style w:type="character" w:customStyle="1" w:styleId="61">
    <w:name w:val="标题 6 Char"/>
    <w:link w:val="10"/>
    <w:qFormat/>
    <w:uiPriority w:val="0"/>
    <w:rPr>
      <w:rFonts w:ascii="等线 Light" w:hAnsi="等线 Light" w:eastAsia="仿宋" w:cs="Times New Roman"/>
      <w:b/>
      <w:kern w:val="0"/>
      <w:sz w:val="28"/>
      <w:szCs w:val="28"/>
    </w:rPr>
  </w:style>
  <w:style w:type="character" w:customStyle="1" w:styleId="62">
    <w:name w:val="批注主题 Char"/>
    <w:link w:val="28"/>
    <w:qFormat/>
    <w:uiPriority w:val="0"/>
    <w:rPr>
      <w:b/>
      <w:bCs/>
      <w:szCs w:val="22"/>
    </w:rPr>
  </w:style>
  <w:style w:type="character" w:customStyle="1" w:styleId="63">
    <w:name w:val="页眉 Char"/>
    <w:link w:val="21"/>
    <w:qFormat/>
    <w:uiPriority w:val="0"/>
    <w:rPr>
      <w:rFonts w:ascii="Times New Roman" w:hAnsi="Times New Roman" w:eastAsia="宋体" w:cs="宋体"/>
      <w:kern w:val="0"/>
      <w:sz w:val="18"/>
      <w:szCs w:val="18"/>
    </w:rPr>
  </w:style>
  <w:style w:type="character" w:customStyle="1" w:styleId="64">
    <w:name w:val="Bibliography 字符1"/>
    <w:link w:val="65"/>
    <w:qFormat/>
    <w:uiPriority w:val="0"/>
    <w:rPr>
      <w:rFonts w:ascii="Times New Roman" w:hAnsi="Times New Roman" w:eastAsia="Songti SC" w:cs="宋体"/>
      <w:kern w:val="0"/>
      <w:sz w:val="24"/>
    </w:rPr>
  </w:style>
  <w:style w:type="paragraph" w:customStyle="1" w:styleId="65">
    <w:name w:val="书目2"/>
    <w:basedOn w:val="1"/>
    <w:link w:val="64"/>
    <w:qFormat/>
    <w:uiPriority w:val="0"/>
    <w:pPr>
      <w:tabs>
        <w:tab w:val="left" w:pos="3620"/>
        <w:tab w:val="left" w:pos="14660"/>
      </w:tabs>
      <w:spacing w:after="240"/>
    </w:pPr>
    <w:rPr>
      <w:rFonts w:ascii="Times New Roman" w:hAnsi="Times New Roman" w:eastAsia="Songti SC" w:cs="Times New Roman"/>
      <w:sz w:val="24"/>
      <w:szCs w:val="20"/>
    </w:rPr>
  </w:style>
  <w:style w:type="character" w:customStyle="1" w:styleId="66">
    <w:name w:val="标题 4 Char"/>
    <w:link w:val="6"/>
    <w:qFormat/>
    <w:uiPriority w:val="0"/>
    <w:rPr>
      <w:rFonts w:ascii="Times New Roman" w:hAnsi="Times New Roman" w:eastAsia="Songti SC" w:cs="Times New Roman"/>
      <w:bCs/>
      <w:kern w:val="0"/>
      <w:sz w:val="24"/>
      <w:szCs w:val="28"/>
    </w:rPr>
  </w:style>
  <w:style w:type="character" w:customStyle="1" w:styleId="67">
    <w:name w:val="标题 1 Char"/>
    <w:link w:val="2"/>
    <w:qFormat/>
    <w:uiPriority w:val="0"/>
    <w:rPr>
      <w:rFonts w:ascii="Times New Roman" w:hAnsi="Times New Roman" w:eastAsia="黑体"/>
      <w:bCs/>
      <w:kern w:val="44"/>
      <w:sz w:val="32"/>
      <w:szCs w:val="44"/>
    </w:rPr>
  </w:style>
  <w:style w:type="character" w:customStyle="1" w:styleId="68">
    <w:name w:val="批注框文本 Char"/>
    <w:link w:val="19"/>
    <w:qFormat/>
    <w:uiPriority w:val="0"/>
    <w:rPr>
      <w:rFonts w:ascii="宋体" w:eastAsia="宋体"/>
      <w:sz w:val="18"/>
      <w:szCs w:val="18"/>
    </w:rPr>
  </w:style>
  <w:style w:type="character" w:customStyle="1" w:styleId="69">
    <w:name w:val="apple-converted-space"/>
    <w:basedOn w:val="31"/>
    <w:qFormat/>
    <w:uiPriority w:val="0"/>
  </w:style>
  <w:style w:type="character" w:customStyle="1" w:styleId="70">
    <w:name w:val="正文文本 Char"/>
    <w:link w:val="14"/>
    <w:qFormat/>
    <w:uiPriority w:val="0"/>
    <w:rPr>
      <w:rFonts w:ascii="仿宋" w:hAnsi="Times New Roman" w:eastAsia="仿宋" w:cs="仿宋"/>
      <w:sz w:val="32"/>
      <w:szCs w:val="32"/>
    </w:rPr>
  </w:style>
  <w:style w:type="character" w:customStyle="1" w:styleId="71">
    <w:name w:val="标题 Char"/>
    <w:link w:val="27"/>
    <w:qFormat/>
    <w:uiPriority w:val="0"/>
    <w:rPr>
      <w:rFonts w:ascii="Times New Roman" w:hAnsi="Times New Roman" w:eastAsia="Heiti SC Medium" w:cs="Times New Roman"/>
      <w:b/>
      <w:bCs/>
      <w:kern w:val="0"/>
      <w:sz w:val="36"/>
      <w:szCs w:val="32"/>
    </w:rPr>
  </w:style>
  <w:style w:type="character" w:customStyle="1" w:styleId="72">
    <w:name w:val="日期 Char"/>
    <w:basedOn w:val="31"/>
    <w:link w:val="17"/>
    <w:qFormat/>
    <w:uiPriority w:val="0"/>
  </w:style>
  <w:style w:type="character" w:customStyle="1" w:styleId="73">
    <w:name w:val="标题 3 Char"/>
    <w:link w:val="5"/>
    <w:qFormat/>
    <w:uiPriority w:val="0"/>
    <w:rPr>
      <w:rFonts w:ascii="Times New Roman" w:hAnsi="Times New Roman" w:eastAsia="方正仿宋简体"/>
      <w:b/>
      <w:bCs/>
      <w:sz w:val="32"/>
      <w:szCs w:val="32"/>
    </w:rPr>
  </w:style>
  <w:style w:type="paragraph" w:customStyle="1" w:styleId="74">
    <w:name w:val="目录 11"/>
    <w:basedOn w:val="1"/>
    <w:next w:val="1"/>
    <w:qFormat/>
    <w:uiPriority w:val="0"/>
    <w:pPr>
      <w:spacing w:before="120" w:after="120"/>
    </w:pPr>
    <w:rPr>
      <w:rFonts w:ascii="等线" w:eastAsia="等线"/>
      <w:b/>
      <w:bCs/>
      <w:caps/>
      <w:sz w:val="20"/>
      <w:szCs w:val="20"/>
    </w:rPr>
  </w:style>
  <w:style w:type="paragraph" w:customStyle="1" w:styleId="75">
    <w:name w:val="WPSOffice手动目录 2"/>
    <w:qFormat/>
    <w:uiPriority w:val="0"/>
    <w:pPr>
      <w:spacing w:line="560" w:lineRule="exact"/>
      <w:ind w:left="200" w:leftChars="200"/>
    </w:pPr>
    <w:rPr>
      <w:rFonts w:ascii="Times New Roman" w:hAnsi="Times New Roman" w:eastAsia="宋体" w:cs="Times New Roman"/>
      <w:lang w:val="en-US" w:eastAsia="zh-CN" w:bidi="ar-SA"/>
    </w:rPr>
  </w:style>
  <w:style w:type="paragraph" w:customStyle="1" w:styleId="76">
    <w:name w:val="目录 21"/>
    <w:basedOn w:val="1"/>
    <w:next w:val="1"/>
    <w:qFormat/>
    <w:uiPriority w:val="0"/>
    <w:pPr>
      <w:ind w:left="240"/>
    </w:pPr>
    <w:rPr>
      <w:rFonts w:ascii="等线" w:eastAsia="等线"/>
      <w:smallCaps/>
      <w:sz w:val="20"/>
      <w:szCs w:val="20"/>
    </w:rPr>
  </w:style>
  <w:style w:type="paragraph" w:customStyle="1" w:styleId="77">
    <w:name w:val="WPSOffice手动目录 1"/>
    <w:qFormat/>
    <w:uiPriority w:val="0"/>
    <w:pPr>
      <w:spacing w:line="560" w:lineRule="exact"/>
    </w:pPr>
    <w:rPr>
      <w:rFonts w:ascii="Times New Roman" w:hAnsi="Times New Roman" w:eastAsia="宋体" w:cs="Times New Roman"/>
      <w:lang w:val="en-US" w:eastAsia="zh-CN" w:bidi="ar-SA"/>
    </w:rPr>
  </w:style>
  <w:style w:type="paragraph" w:customStyle="1" w:styleId="78">
    <w:name w:val="标题3，x. 楷体小四加粗"/>
    <w:basedOn w:val="1"/>
    <w:qFormat/>
    <w:uiPriority w:val="0"/>
    <w:pPr>
      <w:keepNext/>
      <w:keepLines/>
      <w:spacing w:before="120" w:after="120"/>
      <w:outlineLvl w:val="1"/>
    </w:pPr>
    <w:rPr>
      <w:rFonts w:ascii="Times New Roman" w:hAnsi="Times New Roman" w:cs="Times New Roman"/>
      <w:b/>
      <w:bCs/>
      <w:szCs w:val="32"/>
    </w:rPr>
  </w:style>
  <w:style w:type="paragraph" w:customStyle="1" w:styleId="79">
    <w:name w:val="目录 61"/>
    <w:basedOn w:val="1"/>
    <w:next w:val="1"/>
    <w:qFormat/>
    <w:uiPriority w:val="0"/>
    <w:pPr>
      <w:ind w:left="1200"/>
    </w:pPr>
    <w:rPr>
      <w:rFonts w:ascii="等线" w:eastAsia="等线"/>
      <w:sz w:val="18"/>
      <w:szCs w:val="18"/>
    </w:rPr>
  </w:style>
  <w:style w:type="paragraph" w:customStyle="1" w:styleId="80">
    <w:name w:val="目录 31"/>
    <w:basedOn w:val="1"/>
    <w:next w:val="1"/>
    <w:qFormat/>
    <w:uiPriority w:val="0"/>
    <w:pPr>
      <w:ind w:left="480"/>
    </w:pPr>
    <w:rPr>
      <w:rFonts w:ascii="等线" w:eastAsia="等线"/>
      <w:i/>
      <w:iCs/>
      <w:sz w:val="20"/>
      <w:szCs w:val="20"/>
    </w:rPr>
  </w:style>
  <w:style w:type="paragraph" w:customStyle="1" w:styleId="81">
    <w:name w:val="目录 51"/>
    <w:basedOn w:val="1"/>
    <w:next w:val="1"/>
    <w:qFormat/>
    <w:uiPriority w:val="0"/>
    <w:pPr>
      <w:ind w:left="960"/>
    </w:pPr>
    <w:rPr>
      <w:rFonts w:ascii="等线" w:eastAsia="等线"/>
      <w:sz w:val="18"/>
      <w:szCs w:val="18"/>
    </w:rPr>
  </w:style>
  <w:style w:type="paragraph" w:customStyle="1" w:styleId="82">
    <w:name w:val="修订1"/>
    <w:qFormat/>
    <w:uiPriority w:val="0"/>
    <w:pPr>
      <w:spacing w:line="560" w:lineRule="exact"/>
    </w:pPr>
    <w:rPr>
      <w:rFonts w:ascii="Times New Roman" w:hAnsi="Times New Roman" w:eastAsia="Songti SC" w:cs="宋体"/>
      <w:sz w:val="24"/>
      <w:szCs w:val="24"/>
      <w:lang w:val="en-US" w:eastAsia="zh-CN" w:bidi="ar-SA"/>
    </w:rPr>
  </w:style>
  <w:style w:type="paragraph" w:customStyle="1" w:styleId="83">
    <w:name w:val="TOC 标题1"/>
    <w:basedOn w:val="2"/>
    <w:next w:val="1"/>
    <w:qFormat/>
    <w:uiPriority w:val="0"/>
    <w:pPr>
      <w:spacing w:before="480" w:after="0" w:line="276" w:lineRule="auto"/>
      <w:outlineLvl w:val="9"/>
    </w:pPr>
    <w:rPr>
      <w:rFonts w:ascii="等线 Light" w:hAnsi="等线 Light" w:eastAsia="等线 Light"/>
      <w:color w:val="2F5496"/>
      <w:kern w:val="0"/>
      <w:szCs w:val="28"/>
    </w:rPr>
  </w:style>
  <w:style w:type="paragraph" w:customStyle="1" w:styleId="84">
    <w:name w:val="图表标注"/>
    <w:basedOn w:val="1"/>
    <w:qFormat/>
    <w:uiPriority w:val="0"/>
    <w:pPr>
      <w:adjustRightInd w:val="0"/>
      <w:jc w:val="center"/>
    </w:pPr>
    <w:rPr>
      <w:sz w:val="21"/>
    </w:rPr>
  </w:style>
  <w:style w:type="paragraph" w:customStyle="1" w:styleId="85">
    <w:name w:val="正文首行缩进 21"/>
    <w:basedOn w:val="1"/>
    <w:qFormat/>
    <w:uiPriority w:val="0"/>
    <w:pPr>
      <w:widowControl w:val="0"/>
      <w:spacing w:line="240" w:lineRule="auto"/>
      <w:ind w:left="420" w:leftChars="200" w:firstLine="420"/>
    </w:pPr>
    <w:rPr>
      <w:rFonts w:ascii="Times New Roman" w:hAnsi="Times New Roman" w:eastAsia="宋体" w:cs="Times New Roman"/>
      <w:kern w:val="2"/>
      <w:sz w:val="21"/>
    </w:rPr>
  </w:style>
  <w:style w:type="paragraph" w:customStyle="1" w:styleId="86">
    <w:name w:val="目录 71"/>
    <w:basedOn w:val="1"/>
    <w:next w:val="1"/>
    <w:qFormat/>
    <w:uiPriority w:val="0"/>
    <w:pPr>
      <w:ind w:left="1440"/>
    </w:pPr>
    <w:rPr>
      <w:rFonts w:ascii="等线" w:eastAsia="等线"/>
      <w:sz w:val="18"/>
      <w:szCs w:val="18"/>
    </w:rPr>
  </w:style>
  <w:style w:type="paragraph" w:customStyle="1" w:styleId="87">
    <w:name w:val="标题1，（大写数字点），黑体小二加粗首行悬挂"/>
    <w:basedOn w:val="27"/>
    <w:next w:val="9"/>
    <w:qFormat/>
    <w:uiPriority w:val="0"/>
    <w:pPr>
      <w:spacing w:before="60"/>
      <w:ind w:firstLine="0" w:firstLineChars="0"/>
      <w:jc w:val="left"/>
    </w:pPr>
    <w:rPr>
      <w:rFonts w:ascii="黑体" w:hAnsi="黑体" w:eastAsia="黑体"/>
    </w:rPr>
  </w:style>
  <w:style w:type="paragraph" w:customStyle="1" w:styleId="88">
    <w:name w:val="Table Paragraph"/>
    <w:basedOn w:val="1"/>
    <w:qFormat/>
    <w:uiPriority w:val="0"/>
    <w:pPr>
      <w:widowControl w:val="0"/>
      <w:spacing w:line="240" w:lineRule="auto"/>
      <w:ind w:firstLine="0" w:firstLineChars="0"/>
    </w:pPr>
    <w:rPr>
      <w:rFonts w:ascii="仿宋_GB2312" w:hAnsi="仿宋_GB2312" w:eastAsia="仿宋_GB2312" w:cs="仿宋_GB2312"/>
      <w:kern w:val="2"/>
      <w:sz w:val="21"/>
      <w:szCs w:val="22"/>
      <w:lang w:val="zh-CN" w:bidi="zh-CN"/>
    </w:rPr>
  </w:style>
  <w:style w:type="paragraph" w:customStyle="1" w:styleId="89">
    <w:name w:val="正文首行缩进 22"/>
    <w:basedOn w:val="15"/>
    <w:next w:val="1"/>
    <w:qFormat/>
    <w:uiPriority w:val="0"/>
    <w:pPr>
      <w:ind w:firstLine="420"/>
    </w:pPr>
  </w:style>
  <w:style w:type="paragraph" w:customStyle="1" w:styleId="90">
    <w:name w:val="目录 91"/>
    <w:basedOn w:val="1"/>
    <w:next w:val="1"/>
    <w:qFormat/>
    <w:uiPriority w:val="0"/>
    <w:pPr>
      <w:ind w:left="1920"/>
    </w:pPr>
    <w:rPr>
      <w:rFonts w:ascii="等线" w:eastAsia="等线"/>
      <w:sz w:val="18"/>
      <w:szCs w:val="18"/>
    </w:rPr>
  </w:style>
  <w:style w:type="paragraph" w:customStyle="1" w:styleId="91">
    <w:name w:val="目录 41"/>
    <w:basedOn w:val="1"/>
    <w:next w:val="1"/>
    <w:qFormat/>
    <w:uiPriority w:val="0"/>
    <w:pPr>
      <w:ind w:left="720"/>
    </w:pPr>
    <w:rPr>
      <w:rFonts w:ascii="等线" w:eastAsia="等线"/>
      <w:sz w:val="18"/>
      <w:szCs w:val="18"/>
    </w:rPr>
  </w:style>
  <w:style w:type="paragraph" w:customStyle="1" w:styleId="92">
    <w:name w:val="目录 81"/>
    <w:basedOn w:val="1"/>
    <w:next w:val="1"/>
    <w:qFormat/>
    <w:uiPriority w:val="0"/>
    <w:pPr>
      <w:ind w:left="1680"/>
    </w:pPr>
    <w:rPr>
      <w:rFonts w:ascii="等线" w:eastAsia="等线"/>
      <w:sz w:val="18"/>
      <w:szCs w:val="18"/>
    </w:rPr>
  </w:style>
  <w:style w:type="paragraph" w:customStyle="1" w:styleId="93">
    <w:name w:val="列出段落1"/>
    <w:basedOn w:val="1"/>
    <w:qFormat/>
    <w:uiPriority w:val="0"/>
    <w:pPr>
      <w:ind w:firstLine="420"/>
    </w:pPr>
  </w:style>
  <w:style w:type="paragraph" w:customStyle="1" w:styleId="94">
    <w:name w:val="图表标题"/>
    <w:basedOn w:val="23"/>
    <w:qFormat/>
    <w:uiPriority w:val="0"/>
    <w:pPr>
      <w:spacing w:line="260" w:lineRule="exact"/>
      <w:ind w:left="0" w:firstLine="0" w:firstLineChars="0"/>
      <w:jc w:val="center"/>
    </w:pPr>
    <w:rPr>
      <w:rFonts w:cs="Times New Roman"/>
      <w:sz w:val="21"/>
    </w:rPr>
  </w:style>
  <w:style w:type="paragraph" w:customStyle="1" w:styleId="95">
    <w:name w:val="0黑"/>
    <w:basedOn w:val="1"/>
    <w:link w:val="96"/>
    <w:qFormat/>
    <w:uiPriority w:val="0"/>
    <w:pPr>
      <w:widowControl w:val="0"/>
      <w:tabs>
        <w:tab w:val="center" w:pos="4394"/>
        <w:tab w:val="left" w:pos="8060"/>
      </w:tabs>
      <w:spacing w:line="570" w:lineRule="exact"/>
      <w:ind w:firstLine="0" w:firstLineChars="0"/>
      <w:jc w:val="center"/>
    </w:pPr>
    <w:rPr>
      <w:rFonts w:ascii="方正黑体_GBK" w:eastAsia="方正黑体_GBK"/>
      <w:color w:val="000000"/>
      <w:szCs w:val="32"/>
    </w:rPr>
  </w:style>
  <w:style w:type="character" w:customStyle="1" w:styleId="96">
    <w:name w:val="0黑 Char"/>
    <w:basedOn w:val="31"/>
    <w:link w:val="95"/>
    <w:qFormat/>
    <w:uiPriority w:val="0"/>
    <w:rPr>
      <w:rFonts w:ascii="方正黑体_GBK" w:hAnsi="宋体" w:eastAsia="方正黑体_GBK" w:cs="宋体"/>
      <w:color w:val="000000"/>
      <w:sz w:val="32"/>
      <w:szCs w:val="32"/>
    </w:rPr>
  </w:style>
  <w:style w:type="paragraph" w:customStyle="1" w:styleId="97">
    <w:name w:val="2紧缩"/>
    <w:basedOn w:val="1"/>
    <w:link w:val="98"/>
    <w:qFormat/>
    <w:uiPriority w:val="0"/>
    <w:pPr>
      <w:widowControl w:val="0"/>
      <w:spacing w:line="570" w:lineRule="exact"/>
      <w:ind w:firstLine="640"/>
    </w:pPr>
    <w:rPr>
      <w:rFonts w:ascii="仿宋_GB2312" w:hAnsi="仿宋_GB2312" w:eastAsia="仿宋_GB2312" w:cs="仿宋_GB2312"/>
      <w:color w:val="000000"/>
      <w:spacing w:val="-4"/>
    </w:rPr>
  </w:style>
  <w:style w:type="character" w:customStyle="1" w:styleId="98">
    <w:name w:val="2紧缩 Char"/>
    <w:basedOn w:val="31"/>
    <w:link w:val="97"/>
    <w:qFormat/>
    <w:uiPriority w:val="0"/>
    <w:rPr>
      <w:rFonts w:ascii="仿宋_GB2312" w:hAnsi="仿宋_GB2312" w:eastAsia="仿宋_GB2312" w:cs="仿宋_GB2312"/>
      <w:color w:val="000000"/>
      <w:spacing w:val="-4"/>
      <w:sz w:val="32"/>
      <w:szCs w:val="24"/>
    </w:rPr>
  </w:style>
  <w:style w:type="paragraph" w:styleId="99">
    <w:name w:val="List Paragraph"/>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55CCE9-963E-4BC5-B504-C3C95379939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11774</Words>
  <Characters>12342</Characters>
  <Lines>194</Lines>
  <Paragraphs>54</Paragraphs>
  <TotalTime>196</TotalTime>
  <ScaleCrop>false</ScaleCrop>
  <LinksUpToDate>false</LinksUpToDate>
  <CharactersWithSpaces>12397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2021-01-03T11:16:00Z</dcterms:created>
  <dc:creator>Wei,Huijie</dc:creator>
  <cp:lastModifiedBy>英甾</cp:lastModifiedBy>
  <cp:lastPrinted>2021-01-03T15:13:00Z</cp:lastPrinted>
  <dcterms:modified xsi:type="dcterms:W3CDTF">2025-03-18T08:40:03Z</dcterms:modified>
  <dc:title>黄石港区国民经济和社会</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id="b7bwNhhF"/&gt;&lt;style id="http://www.zotero.org/styles/cell" hasBibliography="1" bibliographyStyleHasBeenSet="1"/&gt;&lt;prefs&gt;&lt;pref name="fieldType" value="Field"/&gt;&lt;pref name="automaticJournalAbbreviation</vt:lpwstr>
  </property>
  <property fmtid="{D5CDD505-2E9C-101B-9397-08002B2CF9AE}" pid="3" name="ZOTERO_PREF_2">
    <vt:lpwstr>s" value="true"/&gt;&lt;pref name="delayCitationUpdates" value="true"/&gt;&lt;pref name="dontAskDelayCitationUpdates" value="true"/&gt;&lt;/prefs&gt;&lt;/data&gt;</vt:lpwstr>
  </property>
  <property fmtid="{D5CDD505-2E9C-101B-9397-08002B2CF9AE}" pid="4" name="KSOProductBuildVer">
    <vt:lpwstr>2052-12.1.0.20305</vt:lpwstr>
  </property>
  <property fmtid="{D5CDD505-2E9C-101B-9397-08002B2CF9AE}" pid="5" name="KSOSaveFontToCloudKey">
    <vt:lpwstr>388952558_btnclosed</vt:lpwstr>
  </property>
  <property fmtid="{D5CDD505-2E9C-101B-9397-08002B2CF9AE}" pid="6" name="KSOTemplateDocerSaveRecord">
    <vt:lpwstr>eyJoZGlkIjoiMmEwODY1NTVkYWU2MmY3ZjA1NmUwM2E0YmM4MzhhNTAiLCJ1c2VySWQiOiIyNjYwNzM2MzQifQ==</vt:lpwstr>
  </property>
  <property fmtid="{D5CDD505-2E9C-101B-9397-08002B2CF9AE}" pid="7" name="ICV">
    <vt:lpwstr>2943AFFC792A42E4B0EADA0FFB760BA2_13</vt:lpwstr>
  </property>
</Properties>
</file>