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附件： </w:t>
      </w:r>
    </w:p>
    <w:p>
      <w:pPr>
        <w:snapToGrid w:val="0"/>
        <w:spacing w:line="276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 价 表</w:t>
      </w:r>
    </w:p>
    <w:p>
      <w:pPr>
        <w:snapToGrid w:val="0"/>
        <w:spacing w:line="276" w:lineRule="auto"/>
        <w:jc w:val="center"/>
        <w:rPr>
          <w:rFonts w:hint="eastAsia" w:ascii="宋体" w:hAnsi="宋体"/>
          <w:b/>
          <w:sz w:val="36"/>
          <w:szCs w:val="36"/>
        </w:rPr>
      </w:pPr>
    </w:p>
    <w:tbl>
      <w:tblPr>
        <w:tblStyle w:val="3"/>
        <w:tblW w:w="889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7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737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hint="eastAsia" w:ascii="仿宋_GB2312" w:hAnsi="华文仿宋" w:eastAsia="仿宋_GB2312" w:cs="宋体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sz w:val="32"/>
                <w:szCs w:val="32"/>
              </w:rPr>
              <w:t>项目名称</w:t>
            </w:r>
          </w:p>
        </w:tc>
        <w:tc>
          <w:tcPr>
            <w:tcW w:w="6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关于湖滨二巷改造工程项目决算审计的询价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1046" w:hRule="atLeast"/>
          <w:jc w:val="center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华文仿宋" w:eastAsia="仿宋_GB2312" w:cs="宋体"/>
                <w:sz w:val="32"/>
                <w:szCs w:val="32"/>
              </w:rPr>
              <w:t>报价</w:t>
            </w:r>
          </w:p>
        </w:tc>
        <w:tc>
          <w:tcPr>
            <w:tcW w:w="6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华文仿宋" w:eastAsia="仿宋_GB2312" w:cs="宋体"/>
                <w:sz w:val="32"/>
                <w:szCs w:val="32"/>
                <w:u w:val="singl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华文仿宋" w:eastAsia="仿宋_GB2312" w:cs="宋体"/>
                <w:sz w:val="32"/>
                <w:szCs w:val="32"/>
                <w:u w:val="single"/>
              </w:rPr>
            </w:pP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eastAsia="仿宋_GB2312"/>
                <w:sz w:val="32"/>
                <w:szCs w:val="32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服务内容</w:t>
            </w:r>
          </w:p>
        </w:tc>
        <w:tc>
          <w:tcPr>
            <w:tcW w:w="6767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 w:rightChars="0" w:firstLine="640" w:firstLineChars="200"/>
              <w:jc w:val="both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进行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湖滨二巷改造工程决算审计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，并出具满足要求的审计报告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备注</w:t>
            </w:r>
          </w:p>
        </w:tc>
        <w:tc>
          <w:tcPr>
            <w:tcW w:w="67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不支付预付款，提交审计报告后支付至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90%，尾款自提交审计报告起满一年后支付</w:t>
            </w:r>
            <w:r>
              <w:rPr>
                <w:rFonts w:hint="eastAsia" w:ascii="仿宋_GB2312" w:eastAsia="仿宋_GB2312"/>
                <w:sz w:val="32"/>
                <w:szCs w:val="32"/>
              </w:rPr>
              <w:t>。</w:t>
            </w:r>
          </w:p>
        </w:tc>
      </w:tr>
    </w:tbl>
    <w:p>
      <w:pPr>
        <w:snapToGrid w:val="0"/>
        <w:spacing w:line="276" w:lineRule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                     </w:t>
      </w:r>
    </w:p>
    <w:p>
      <w:pPr>
        <w:snapToGrid w:val="0"/>
        <w:spacing w:line="480" w:lineRule="auto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 xml:space="preserve">                      </w:t>
      </w:r>
      <w:r>
        <w:rPr>
          <w:rFonts w:hint="eastAsia" w:ascii="仿宋_GB2312" w:hAnsi="宋体" w:eastAsia="仿宋_GB2312"/>
          <w:sz w:val="32"/>
          <w:szCs w:val="32"/>
        </w:rPr>
        <w:t>报价单位（盖章）：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</w:t>
      </w:r>
    </w:p>
    <w:p>
      <w:pPr>
        <w:snapToGrid w:val="0"/>
        <w:spacing w:line="480" w:lineRule="auto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联系人：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</w:t>
      </w:r>
    </w:p>
    <w:p>
      <w:pPr>
        <w:snapToGrid w:val="0"/>
        <w:spacing w:line="480" w:lineRule="auto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联系电话：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</w:t>
      </w:r>
    </w:p>
    <w:p>
      <w:pPr>
        <w:snapToGrid w:val="0"/>
        <w:spacing w:line="48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年     月     日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C625B"/>
    <w:rsid w:val="55C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535353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2019-10-15T08:00:00Z</dcterms:created>
  <dc:creator>Administrator</dc:creator>
  <cp:lastModifiedBy>Administrator</cp:lastModifiedBy>
  <dcterms:modified xsi:type="dcterms:W3CDTF">2019-10-15T08:01:01Z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