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190" w:rsidRDefault="00767C99">
      <w:pPr>
        <w:spacing w:before="107" w:line="216" w:lineRule="auto"/>
        <w:jc w:val="both"/>
        <w:rPr>
          <w:rFonts w:ascii="黑体" w:eastAsia="黑体" w:hAnsi="黑体" w:cs="黑体"/>
          <w:b/>
          <w:bCs/>
          <w:spacing w:val="-4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4"/>
          <w:sz w:val="32"/>
          <w:szCs w:val="32"/>
        </w:rPr>
        <w:t>附件</w:t>
      </w:r>
    </w:p>
    <w:p w:rsidR="00970190" w:rsidRDefault="00767C99">
      <w:pPr>
        <w:spacing w:beforeAutospacing="1" w:after="200"/>
        <w:ind w:firstLineChars="200" w:firstLine="883"/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napToGrid/>
          <w:sz w:val="44"/>
          <w:szCs w:val="44"/>
          <w:lang/>
        </w:rPr>
        <w:t>黄石港区长江入河排污口整治验收销号具体清单</w:t>
      </w:r>
      <w:r>
        <w:rPr>
          <w:rFonts w:ascii="宋体" w:eastAsia="宋体" w:hAnsi="宋体" w:cs="宋体" w:hint="eastAsia"/>
          <w:b/>
          <w:bCs/>
          <w:snapToGrid/>
          <w:sz w:val="44"/>
          <w:szCs w:val="44"/>
          <w:lang/>
        </w:rPr>
        <w:t>(</w:t>
      </w:r>
      <w:r>
        <w:rPr>
          <w:rFonts w:ascii="宋体" w:eastAsia="宋体" w:hAnsi="宋体" w:cs="宋体" w:hint="eastAsia"/>
          <w:b/>
          <w:bCs/>
          <w:snapToGrid/>
          <w:sz w:val="44"/>
          <w:szCs w:val="44"/>
          <w:lang/>
        </w:rPr>
        <w:t>第</w:t>
      </w:r>
      <w:r>
        <w:rPr>
          <w:rFonts w:ascii="宋体" w:eastAsia="宋体" w:hAnsi="宋体" w:cs="宋体" w:hint="eastAsia"/>
          <w:b/>
          <w:bCs/>
          <w:snapToGrid/>
          <w:sz w:val="44"/>
          <w:szCs w:val="44"/>
          <w:lang/>
        </w:rPr>
        <w:t>14</w:t>
      </w:r>
      <w:r>
        <w:rPr>
          <w:rFonts w:ascii="宋体" w:eastAsia="宋体" w:hAnsi="宋体" w:cs="宋体" w:hint="eastAsia"/>
          <w:b/>
          <w:bCs/>
          <w:snapToGrid/>
          <w:sz w:val="44"/>
          <w:szCs w:val="44"/>
          <w:lang/>
        </w:rPr>
        <w:t>批</w:t>
      </w:r>
      <w:r>
        <w:rPr>
          <w:rFonts w:ascii="宋体" w:eastAsia="宋体" w:hAnsi="宋体" w:cs="宋体" w:hint="eastAsia"/>
          <w:b/>
          <w:bCs/>
          <w:snapToGrid/>
          <w:sz w:val="44"/>
          <w:szCs w:val="44"/>
          <w:lang/>
        </w:rPr>
        <w:t>4</w:t>
      </w:r>
      <w:r>
        <w:rPr>
          <w:rFonts w:ascii="宋体" w:eastAsia="宋体" w:hAnsi="宋体" w:cs="宋体" w:hint="eastAsia"/>
          <w:b/>
          <w:bCs/>
          <w:snapToGrid/>
          <w:sz w:val="44"/>
          <w:szCs w:val="44"/>
          <w:lang/>
        </w:rPr>
        <w:t>个</w:t>
      </w:r>
      <w:r>
        <w:rPr>
          <w:rFonts w:ascii="宋体" w:eastAsia="宋体" w:hAnsi="宋体" w:cs="宋体" w:hint="eastAsia"/>
          <w:b/>
          <w:bCs/>
          <w:snapToGrid/>
          <w:sz w:val="44"/>
          <w:szCs w:val="44"/>
          <w:lang/>
        </w:rPr>
        <w:t>)</w:t>
      </w:r>
    </w:p>
    <w:tbl>
      <w:tblPr>
        <w:tblStyle w:val="TableNormal"/>
        <w:tblW w:w="14537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"/>
        <w:gridCol w:w="627"/>
        <w:gridCol w:w="502"/>
        <w:gridCol w:w="650"/>
        <w:gridCol w:w="629"/>
        <w:gridCol w:w="598"/>
        <w:gridCol w:w="673"/>
        <w:gridCol w:w="491"/>
        <w:gridCol w:w="1891"/>
        <w:gridCol w:w="518"/>
        <w:gridCol w:w="1455"/>
        <w:gridCol w:w="1826"/>
        <w:gridCol w:w="390"/>
        <w:gridCol w:w="390"/>
        <w:gridCol w:w="705"/>
        <w:gridCol w:w="690"/>
        <w:gridCol w:w="930"/>
        <w:gridCol w:w="1065"/>
      </w:tblGrid>
      <w:tr w:rsidR="00970190">
        <w:trPr>
          <w:trHeight w:val="695"/>
        </w:trPr>
        <w:tc>
          <w:tcPr>
            <w:tcW w:w="507" w:type="dxa"/>
            <w:vMerge w:val="restart"/>
            <w:tcBorders>
              <w:bottom w:val="nil"/>
            </w:tcBorders>
            <w:textDirection w:val="tbRlV"/>
          </w:tcPr>
          <w:p w:rsidR="00970190" w:rsidRDefault="00767C99">
            <w:pPr>
              <w:spacing w:before="130" w:line="217" w:lineRule="auto"/>
              <w:ind w:left="109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序号</w:t>
            </w:r>
          </w:p>
        </w:tc>
        <w:tc>
          <w:tcPr>
            <w:tcW w:w="2408" w:type="dxa"/>
            <w:gridSpan w:val="4"/>
          </w:tcPr>
          <w:p w:rsidR="00970190" w:rsidRDefault="00767C99">
            <w:pPr>
              <w:spacing w:before="221" w:line="219" w:lineRule="auto"/>
              <w:ind w:left="43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2"/>
                <w:sz w:val="20"/>
                <w:szCs w:val="20"/>
              </w:rPr>
              <w:t>排口基本信息</w:t>
            </w:r>
          </w:p>
        </w:tc>
        <w:tc>
          <w:tcPr>
            <w:tcW w:w="1271" w:type="dxa"/>
            <w:gridSpan w:val="2"/>
          </w:tcPr>
          <w:p w:rsidR="00970190" w:rsidRDefault="00767C99">
            <w:pPr>
              <w:spacing w:before="223" w:line="219" w:lineRule="auto"/>
              <w:ind w:left="27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排口类型</w:t>
            </w:r>
          </w:p>
        </w:tc>
        <w:tc>
          <w:tcPr>
            <w:tcW w:w="491" w:type="dxa"/>
            <w:vMerge w:val="restart"/>
            <w:tcBorders>
              <w:bottom w:val="nil"/>
            </w:tcBorders>
            <w:textDirection w:val="tbRlV"/>
          </w:tcPr>
          <w:p w:rsidR="00970190" w:rsidRDefault="00767C99">
            <w:pPr>
              <w:spacing w:before="117" w:line="217" w:lineRule="auto"/>
              <w:ind w:left="893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所属流域</w:t>
            </w:r>
          </w:p>
        </w:tc>
        <w:tc>
          <w:tcPr>
            <w:tcW w:w="1891" w:type="dxa"/>
            <w:vMerge w:val="restart"/>
            <w:tcBorders>
              <w:bottom w:val="nil"/>
            </w:tcBorders>
            <w:vAlign w:val="center"/>
          </w:tcPr>
          <w:p w:rsidR="00970190" w:rsidRDefault="00767C99">
            <w:pPr>
              <w:spacing w:before="65" w:line="207" w:lineRule="auto"/>
              <w:ind w:right="86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溯源发现主要问题</w:t>
            </w:r>
          </w:p>
        </w:tc>
        <w:tc>
          <w:tcPr>
            <w:tcW w:w="7969" w:type="dxa"/>
            <w:gridSpan w:val="9"/>
            <w:vAlign w:val="center"/>
          </w:tcPr>
          <w:p w:rsidR="00970190" w:rsidRDefault="00767C99">
            <w:pPr>
              <w:spacing w:before="223" w:line="220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整治方案</w:t>
            </w:r>
          </w:p>
        </w:tc>
      </w:tr>
      <w:tr w:rsidR="00970190">
        <w:trPr>
          <w:trHeight w:val="541"/>
        </w:trPr>
        <w:tc>
          <w:tcPr>
            <w:tcW w:w="507" w:type="dxa"/>
            <w:vMerge/>
            <w:tcBorders>
              <w:top w:val="nil"/>
              <w:bottom w:val="nil"/>
            </w:tcBorders>
            <w:textDirection w:val="tbRlV"/>
          </w:tcPr>
          <w:p w:rsidR="00970190" w:rsidRDefault="00970190"/>
        </w:tc>
        <w:tc>
          <w:tcPr>
            <w:tcW w:w="627" w:type="dxa"/>
            <w:vMerge w:val="restart"/>
            <w:tcBorders>
              <w:bottom w:val="nil"/>
            </w:tcBorders>
            <w:textDirection w:val="tbRlV"/>
          </w:tcPr>
          <w:p w:rsidR="00970190" w:rsidRDefault="00767C99">
            <w:pPr>
              <w:spacing w:before="179" w:line="217" w:lineRule="auto"/>
              <w:ind w:left="5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正式命名</w:t>
            </w:r>
          </w:p>
        </w:tc>
        <w:tc>
          <w:tcPr>
            <w:tcW w:w="502" w:type="dxa"/>
            <w:vMerge w:val="restart"/>
            <w:tcBorders>
              <w:bottom w:val="nil"/>
            </w:tcBorders>
            <w:textDirection w:val="tbRlV"/>
          </w:tcPr>
          <w:p w:rsidR="00970190" w:rsidRDefault="00767C99">
            <w:pPr>
              <w:spacing w:before="120" w:line="216" w:lineRule="auto"/>
              <w:ind w:left="56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正式编码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textDirection w:val="tbRlV"/>
          </w:tcPr>
          <w:p w:rsidR="00970190" w:rsidRDefault="00767C99">
            <w:pPr>
              <w:spacing w:before="189" w:line="217" w:lineRule="auto"/>
              <w:ind w:left="777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经度</w:t>
            </w:r>
          </w:p>
        </w:tc>
        <w:tc>
          <w:tcPr>
            <w:tcW w:w="629" w:type="dxa"/>
            <w:vMerge w:val="restart"/>
            <w:tcBorders>
              <w:bottom w:val="nil"/>
            </w:tcBorders>
            <w:textDirection w:val="tbRlV"/>
          </w:tcPr>
          <w:p w:rsidR="00970190" w:rsidRDefault="00767C99">
            <w:pPr>
              <w:spacing w:before="179" w:line="217" w:lineRule="auto"/>
              <w:ind w:left="77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纬度</w:t>
            </w:r>
          </w:p>
        </w:tc>
        <w:tc>
          <w:tcPr>
            <w:tcW w:w="598" w:type="dxa"/>
            <w:vMerge w:val="restart"/>
            <w:tcBorders>
              <w:bottom w:val="nil"/>
            </w:tcBorders>
          </w:tcPr>
          <w:p w:rsidR="00970190" w:rsidRDefault="00970190">
            <w:pPr>
              <w:spacing w:line="273" w:lineRule="auto"/>
            </w:pPr>
          </w:p>
          <w:p w:rsidR="00970190" w:rsidRDefault="00970190">
            <w:pPr>
              <w:spacing w:line="273" w:lineRule="auto"/>
            </w:pPr>
          </w:p>
          <w:p w:rsidR="00970190" w:rsidRDefault="00970190">
            <w:pPr>
              <w:spacing w:line="273" w:lineRule="auto"/>
            </w:pPr>
          </w:p>
          <w:p w:rsidR="00970190" w:rsidRDefault="00767C99">
            <w:pPr>
              <w:spacing w:before="65" w:line="219" w:lineRule="auto"/>
              <w:ind w:left="119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大类</w:t>
            </w:r>
          </w:p>
        </w:tc>
        <w:tc>
          <w:tcPr>
            <w:tcW w:w="673" w:type="dxa"/>
            <w:vMerge w:val="restart"/>
            <w:tcBorders>
              <w:bottom w:val="nil"/>
            </w:tcBorders>
          </w:tcPr>
          <w:p w:rsidR="00970190" w:rsidRDefault="00970190">
            <w:pPr>
              <w:spacing w:line="273" w:lineRule="auto"/>
            </w:pPr>
          </w:p>
          <w:p w:rsidR="00970190" w:rsidRDefault="00970190">
            <w:pPr>
              <w:spacing w:line="273" w:lineRule="auto"/>
            </w:pPr>
          </w:p>
          <w:p w:rsidR="00970190" w:rsidRDefault="00970190">
            <w:pPr>
              <w:spacing w:line="273" w:lineRule="auto"/>
            </w:pPr>
          </w:p>
          <w:p w:rsidR="00970190" w:rsidRDefault="00767C99">
            <w:pPr>
              <w:spacing w:before="65" w:line="219" w:lineRule="auto"/>
              <w:ind w:left="15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小类</w:t>
            </w:r>
          </w:p>
        </w:tc>
        <w:tc>
          <w:tcPr>
            <w:tcW w:w="491" w:type="dxa"/>
            <w:vMerge/>
            <w:tcBorders>
              <w:top w:val="nil"/>
              <w:bottom w:val="nil"/>
            </w:tcBorders>
            <w:textDirection w:val="tbRlV"/>
          </w:tcPr>
          <w:p w:rsidR="00970190" w:rsidRDefault="00970190"/>
        </w:tc>
        <w:tc>
          <w:tcPr>
            <w:tcW w:w="1891" w:type="dxa"/>
            <w:vMerge/>
            <w:tcBorders>
              <w:top w:val="nil"/>
              <w:bottom w:val="nil"/>
            </w:tcBorders>
            <w:vAlign w:val="center"/>
          </w:tcPr>
          <w:p w:rsidR="00970190" w:rsidRDefault="00970190">
            <w:pPr>
              <w:jc w:val="center"/>
            </w:pPr>
          </w:p>
        </w:tc>
        <w:tc>
          <w:tcPr>
            <w:tcW w:w="518" w:type="dxa"/>
            <w:vMerge w:val="restart"/>
            <w:tcBorders>
              <w:bottom w:val="nil"/>
            </w:tcBorders>
            <w:textDirection w:val="tbRlV"/>
            <w:vAlign w:val="center"/>
          </w:tcPr>
          <w:p w:rsidR="00970190" w:rsidRDefault="00767C99">
            <w:pPr>
              <w:spacing w:before="65" w:line="209" w:lineRule="auto"/>
              <w:ind w:left="113" w:right="129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整治类型</w:t>
            </w:r>
          </w:p>
        </w:tc>
        <w:tc>
          <w:tcPr>
            <w:tcW w:w="1455" w:type="dxa"/>
            <w:vMerge w:val="restart"/>
            <w:tcBorders>
              <w:bottom w:val="nil"/>
            </w:tcBorders>
            <w:vAlign w:val="center"/>
          </w:tcPr>
          <w:p w:rsidR="00970190" w:rsidRDefault="00767C99">
            <w:pPr>
              <w:spacing w:before="65" w:line="219" w:lineRule="auto"/>
              <w:ind w:right="108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整治目标</w:t>
            </w:r>
          </w:p>
        </w:tc>
        <w:tc>
          <w:tcPr>
            <w:tcW w:w="1826" w:type="dxa"/>
            <w:vMerge w:val="restart"/>
            <w:tcBorders>
              <w:bottom w:val="nil"/>
            </w:tcBorders>
            <w:vAlign w:val="center"/>
          </w:tcPr>
          <w:p w:rsidR="00970190" w:rsidRDefault="00767C99">
            <w:pPr>
              <w:spacing w:before="65" w:line="208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整治</w:t>
            </w: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措施</w:t>
            </w:r>
          </w:p>
        </w:tc>
        <w:tc>
          <w:tcPr>
            <w:tcW w:w="780" w:type="dxa"/>
            <w:gridSpan w:val="2"/>
          </w:tcPr>
          <w:p w:rsidR="00970190" w:rsidRDefault="00767C99">
            <w:pPr>
              <w:spacing w:before="229" w:line="219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标识牌树立</w:t>
            </w:r>
          </w:p>
        </w:tc>
        <w:tc>
          <w:tcPr>
            <w:tcW w:w="705" w:type="dxa"/>
            <w:vMerge w:val="restart"/>
            <w:tcBorders>
              <w:bottom w:val="nil"/>
            </w:tcBorders>
          </w:tcPr>
          <w:p w:rsidR="00970190" w:rsidRDefault="00970190">
            <w:pPr>
              <w:spacing w:line="349" w:lineRule="auto"/>
              <w:jc w:val="center"/>
            </w:pPr>
          </w:p>
          <w:p w:rsidR="00970190" w:rsidRDefault="00970190">
            <w:pPr>
              <w:spacing w:line="350" w:lineRule="auto"/>
              <w:jc w:val="center"/>
            </w:pPr>
          </w:p>
          <w:p w:rsidR="00970190" w:rsidRDefault="00767C99">
            <w:pPr>
              <w:spacing w:before="65" w:line="213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完成时限</w:t>
            </w:r>
          </w:p>
        </w:tc>
        <w:tc>
          <w:tcPr>
            <w:tcW w:w="690" w:type="dxa"/>
            <w:vMerge w:val="restart"/>
            <w:tcBorders>
              <w:bottom w:val="nil"/>
            </w:tcBorders>
          </w:tcPr>
          <w:p w:rsidR="00970190" w:rsidRDefault="00970190">
            <w:pPr>
              <w:spacing w:line="295" w:lineRule="auto"/>
              <w:jc w:val="center"/>
            </w:pPr>
          </w:p>
          <w:p w:rsidR="00970190" w:rsidRDefault="00767C99">
            <w:pPr>
              <w:spacing w:before="65" w:line="221" w:lineRule="auto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7"/>
                <w:sz w:val="20"/>
                <w:szCs w:val="20"/>
              </w:rPr>
              <w:t>是</w:t>
            </w:r>
            <w:r>
              <w:rPr>
                <w:rFonts w:ascii="宋体" w:eastAsia="宋体" w:hAnsi="宋体" w:cs="宋体" w:hint="eastAsia"/>
                <w:spacing w:val="7"/>
                <w:sz w:val="20"/>
                <w:szCs w:val="20"/>
              </w:rPr>
              <w:t>否</w:t>
            </w: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完成</w:t>
            </w: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整治</w:t>
            </w:r>
          </w:p>
        </w:tc>
        <w:tc>
          <w:tcPr>
            <w:tcW w:w="930" w:type="dxa"/>
            <w:vMerge w:val="restart"/>
            <w:tcBorders>
              <w:bottom w:val="nil"/>
            </w:tcBorders>
          </w:tcPr>
          <w:p w:rsidR="00970190" w:rsidRDefault="00970190">
            <w:pPr>
              <w:spacing w:line="349" w:lineRule="auto"/>
            </w:pPr>
          </w:p>
          <w:p w:rsidR="00970190" w:rsidRDefault="00970190">
            <w:pPr>
              <w:spacing w:line="350" w:lineRule="auto"/>
            </w:pPr>
          </w:p>
          <w:p w:rsidR="00970190" w:rsidRDefault="00767C99">
            <w:pPr>
              <w:spacing w:before="65" w:line="214" w:lineRule="auto"/>
              <w:ind w:left="1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4"/>
                <w:sz w:val="20"/>
                <w:szCs w:val="20"/>
              </w:rPr>
              <w:t>责任</w:t>
            </w:r>
          </w:p>
          <w:p w:rsidR="00970190" w:rsidRDefault="00767C99">
            <w:pPr>
              <w:spacing w:line="220" w:lineRule="auto"/>
              <w:ind w:left="148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主体</w:t>
            </w:r>
          </w:p>
        </w:tc>
        <w:tc>
          <w:tcPr>
            <w:tcW w:w="1065" w:type="dxa"/>
            <w:vMerge w:val="restart"/>
            <w:tcBorders>
              <w:bottom w:val="nil"/>
            </w:tcBorders>
          </w:tcPr>
          <w:p w:rsidR="00970190" w:rsidRDefault="00970190">
            <w:pPr>
              <w:spacing w:line="355" w:lineRule="auto"/>
            </w:pPr>
          </w:p>
          <w:p w:rsidR="00970190" w:rsidRDefault="00970190">
            <w:pPr>
              <w:spacing w:line="355" w:lineRule="auto"/>
            </w:pPr>
          </w:p>
          <w:p w:rsidR="00970190" w:rsidRDefault="00767C99">
            <w:pPr>
              <w:spacing w:before="65" w:line="219" w:lineRule="auto"/>
              <w:ind w:left="308" w:right="99" w:hanging="2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3"/>
                <w:sz w:val="20"/>
                <w:szCs w:val="20"/>
              </w:rPr>
              <w:t>主管部</w:t>
            </w:r>
            <w:r>
              <w:rPr>
                <w:rFonts w:ascii="宋体" w:eastAsia="宋体" w:hAnsi="宋体" w:cs="宋体"/>
                <w:sz w:val="20"/>
                <w:szCs w:val="20"/>
              </w:rPr>
              <w:t>门</w:t>
            </w:r>
          </w:p>
        </w:tc>
      </w:tr>
      <w:tr w:rsidR="00970190">
        <w:trPr>
          <w:trHeight w:val="982"/>
        </w:trPr>
        <w:tc>
          <w:tcPr>
            <w:tcW w:w="507" w:type="dxa"/>
            <w:vMerge/>
            <w:tcBorders>
              <w:top w:val="nil"/>
            </w:tcBorders>
            <w:textDirection w:val="tbRlV"/>
          </w:tcPr>
          <w:p w:rsidR="00970190" w:rsidRDefault="00970190"/>
        </w:tc>
        <w:tc>
          <w:tcPr>
            <w:tcW w:w="627" w:type="dxa"/>
            <w:vMerge/>
            <w:tcBorders>
              <w:top w:val="nil"/>
            </w:tcBorders>
            <w:textDirection w:val="tbRlV"/>
          </w:tcPr>
          <w:p w:rsidR="00970190" w:rsidRDefault="00970190"/>
        </w:tc>
        <w:tc>
          <w:tcPr>
            <w:tcW w:w="502" w:type="dxa"/>
            <w:vMerge/>
            <w:tcBorders>
              <w:top w:val="nil"/>
            </w:tcBorders>
            <w:textDirection w:val="tbRlV"/>
          </w:tcPr>
          <w:p w:rsidR="00970190" w:rsidRDefault="00970190"/>
        </w:tc>
        <w:tc>
          <w:tcPr>
            <w:tcW w:w="650" w:type="dxa"/>
            <w:vMerge/>
            <w:tcBorders>
              <w:top w:val="nil"/>
            </w:tcBorders>
            <w:textDirection w:val="tbRlV"/>
          </w:tcPr>
          <w:p w:rsidR="00970190" w:rsidRDefault="00970190"/>
        </w:tc>
        <w:tc>
          <w:tcPr>
            <w:tcW w:w="629" w:type="dxa"/>
            <w:vMerge/>
            <w:tcBorders>
              <w:top w:val="nil"/>
            </w:tcBorders>
            <w:textDirection w:val="tbRlV"/>
          </w:tcPr>
          <w:p w:rsidR="00970190" w:rsidRDefault="00970190"/>
        </w:tc>
        <w:tc>
          <w:tcPr>
            <w:tcW w:w="598" w:type="dxa"/>
            <w:vMerge/>
            <w:tcBorders>
              <w:top w:val="nil"/>
            </w:tcBorders>
          </w:tcPr>
          <w:p w:rsidR="00970190" w:rsidRDefault="00970190"/>
        </w:tc>
        <w:tc>
          <w:tcPr>
            <w:tcW w:w="673" w:type="dxa"/>
            <w:vMerge/>
            <w:tcBorders>
              <w:top w:val="nil"/>
            </w:tcBorders>
          </w:tcPr>
          <w:p w:rsidR="00970190" w:rsidRDefault="00970190"/>
        </w:tc>
        <w:tc>
          <w:tcPr>
            <w:tcW w:w="491" w:type="dxa"/>
            <w:vMerge/>
            <w:tcBorders>
              <w:top w:val="nil"/>
            </w:tcBorders>
            <w:textDirection w:val="tbRlV"/>
          </w:tcPr>
          <w:p w:rsidR="00970190" w:rsidRDefault="00970190"/>
        </w:tc>
        <w:tc>
          <w:tcPr>
            <w:tcW w:w="1891" w:type="dxa"/>
            <w:vMerge/>
            <w:tcBorders>
              <w:top w:val="nil"/>
            </w:tcBorders>
          </w:tcPr>
          <w:p w:rsidR="00970190" w:rsidRDefault="00970190"/>
        </w:tc>
        <w:tc>
          <w:tcPr>
            <w:tcW w:w="518" w:type="dxa"/>
            <w:vMerge/>
            <w:tcBorders>
              <w:top w:val="nil"/>
            </w:tcBorders>
          </w:tcPr>
          <w:p w:rsidR="00970190" w:rsidRDefault="00970190"/>
        </w:tc>
        <w:tc>
          <w:tcPr>
            <w:tcW w:w="1455" w:type="dxa"/>
            <w:vMerge/>
            <w:tcBorders>
              <w:top w:val="nil"/>
            </w:tcBorders>
          </w:tcPr>
          <w:p w:rsidR="00970190" w:rsidRDefault="00970190"/>
        </w:tc>
        <w:tc>
          <w:tcPr>
            <w:tcW w:w="1826" w:type="dxa"/>
            <w:vMerge/>
            <w:tcBorders>
              <w:top w:val="nil"/>
            </w:tcBorders>
          </w:tcPr>
          <w:p w:rsidR="00970190" w:rsidRDefault="00970190"/>
        </w:tc>
        <w:tc>
          <w:tcPr>
            <w:tcW w:w="390" w:type="dxa"/>
            <w:textDirection w:val="tbRlV"/>
          </w:tcPr>
          <w:p w:rsidR="00970190" w:rsidRDefault="00767C99">
            <w:pPr>
              <w:spacing w:before="65"/>
              <w:ind w:right="11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是否需要</w:t>
            </w:r>
          </w:p>
        </w:tc>
        <w:tc>
          <w:tcPr>
            <w:tcW w:w="390" w:type="dxa"/>
            <w:textDirection w:val="tbRlV"/>
          </w:tcPr>
          <w:p w:rsidR="00970190" w:rsidRDefault="00767C99">
            <w:pPr>
              <w:spacing w:before="65"/>
              <w:ind w:right="110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是否树立</w:t>
            </w:r>
          </w:p>
        </w:tc>
        <w:tc>
          <w:tcPr>
            <w:tcW w:w="705" w:type="dxa"/>
            <w:vMerge/>
            <w:tcBorders>
              <w:top w:val="nil"/>
            </w:tcBorders>
          </w:tcPr>
          <w:p w:rsidR="00970190" w:rsidRDefault="00970190"/>
        </w:tc>
        <w:tc>
          <w:tcPr>
            <w:tcW w:w="690" w:type="dxa"/>
            <w:vMerge/>
            <w:tcBorders>
              <w:top w:val="nil"/>
            </w:tcBorders>
          </w:tcPr>
          <w:p w:rsidR="00970190" w:rsidRDefault="00970190"/>
        </w:tc>
        <w:tc>
          <w:tcPr>
            <w:tcW w:w="930" w:type="dxa"/>
            <w:vMerge/>
            <w:tcBorders>
              <w:top w:val="nil"/>
            </w:tcBorders>
          </w:tcPr>
          <w:p w:rsidR="00970190" w:rsidRDefault="00970190"/>
        </w:tc>
        <w:tc>
          <w:tcPr>
            <w:tcW w:w="1065" w:type="dxa"/>
            <w:vMerge/>
            <w:tcBorders>
              <w:top w:val="nil"/>
            </w:tcBorders>
          </w:tcPr>
          <w:p w:rsidR="00970190" w:rsidRDefault="00970190"/>
        </w:tc>
      </w:tr>
      <w:tr w:rsidR="00970190">
        <w:trPr>
          <w:trHeight w:val="2678"/>
        </w:trPr>
        <w:tc>
          <w:tcPr>
            <w:tcW w:w="507" w:type="dxa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  <w:lang/>
              </w:rPr>
              <w:t>1</w:t>
            </w:r>
          </w:p>
          <w:p w:rsidR="00970190" w:rsidRDefault="00970190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</w:p>
          <w:p w:rsidR="00970190" w:rsidRDefault="00970190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</w:p>
        </w:tc>
        <w:tc>
          <w:tcPr>
            <w:tcW w:w="627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黄石市黄石港区磁湖生态渔业有限公司西南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70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米雨洪排口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FA4202020030YH00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115.074718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30.21315301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城镇雨洪排口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城镇雨洪排口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长江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收纳中国石化杭州加油站屋顶的雨水和杭州路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21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号小区内地面的雨水，还收集理发店及饭店所产生的生活污水汇流于排口间歇排入磁湖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规范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70190" w:rsidRDefault="00970190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</w:p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确保无污水接入雨洪排口上游管道，排水水质执行稳定达到《地表水环境质量标准》（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GB3838-2002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）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V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类标准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。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将排口附近理发店和饭店生活污水接入污水管网，杜绝污水流入雨水管网或散排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，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在排污口处规范化树立标志牌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1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套</w:t>
            </w:r>
            <w:r w:rsidR="001E6988"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,建立长效管理机制。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是</w:t>
            </w:r>
          </w:p>
        </w:tc>
        <w:tc>
          <w:tcPr>
            <w:tcW w:w="390" w:type="dxa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是</w:t>
            </w:r>
          </w:p>
        </w:tc>
        <w:tc>
          <w:tcPr>
            <w:tcW w:w="705" w:type="dxa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2023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年</w:t>
            </w:r>
          </w:p>
        </w:tc>
        <w:tc>
          <w:tcPr>
            <w:tcW w:w="690" w:type="dxa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是</w:t>
            </w:r>
          </w:p>
        </w:tc>
        <w:tc>
          <w:tcPr>
            <w:tcW w:w="930" w:type="dxa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黄石港区胜阳港街道办事处</w:t>
            </w:r>
          </w:p>
        </w:tc>
        <w:tc>
          <w:tcPr>
            <w:tcW w:w="1065" w:type="dxa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黄石港区城市管理执法局</w:t>
            </w:r>
          </w:p>
        </w:tc>
      </w:tr>
      <w:tr w:rsidR="00970190">
        <w:trPr>
          <w:trHeight w:val="2678"/>
        </w:trPr>
        <w:tc>
          <w:tcPr>
            <w:tcW w:w="507" w:type="dxa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  <w:lang/>
              </w:rPr>
              <w:t>2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黄石市黄石港区延安路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4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号雨洪排口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FA4202020038YH00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115.063559797162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30.2411363775591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城镇雨洪排口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城镇雨洪排口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长江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该排口位于黄石港区黄石港街道青山湖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4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号湖西北角黄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石大道与延安路交界处，主要排水方向西北至东南，该排口经现场溯源已被封堵，该路段雨水井与污水井均满水，原因是花湖污水处理厂与青山湖污水处理厂负载过高，无法有效处理大量污水，该排口为老市政雨污混接管道的预留口，防止管道内水量过大，日常不排水，但由于近期污水处理厂处理能力不够，导致管内污水淤积，污水会直接进入青山湖，隧用沙袋堵塞。该片区新雨污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lastRenderedPageBreak/>
              <w:t>分流主管网已经完成建设，但接户事宜及污水处理厂处理压力大等问题尚未解决，因此污水均通过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66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号与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89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号排口溢出，属于管道压力过大的溢流现象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lastRenderedPageBreak/>
              <w:t>规范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确保无污水接入雨洪排口上游管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道，排水水质执行稳定达到《地表水环境质量标准》（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GB3838-2002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）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V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类标准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。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建议尽快完成新管网验收使用事宜，整改完成后该排口应该为城镇雨洪排口。完成整治后根据工程实际情况是否预留排口，设置标志牌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1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套，建立长效管理机制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。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是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是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2023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年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是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黄石港区黄石港街道办事处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黄石港区城市管理执法局</w:t>
            </w:r>
          </w:p>
        </w:tc>
      </w:tr>
      <w:tr w:rsidR="00970190">
        <w:trPr>
          <w:trHeight w:val="2678"/>
        </w:trPr>
        <w:tc>
          <w:tcPr>
            <w:tcW w:w="507" w:type="dxa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  <w:lang/>
              </w:rPr>
              <w:lastRenderedPageBreak/>
              <w:t>3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E54C5E" w:themeColor="accent6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黄石市黄石港区新闸社区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4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号生活污水排污口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E54C5E" w:themeColor="accent6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FA4202020047SH00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E54C5E" w:themeColor="accent6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115.059488924598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E54C5E" w:themeColor="accent6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30.2547238566162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E54C5E" w:themeColor="accent6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城镇生活污水排污口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E54C5E" w:themeColor="accent6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生活污水排污口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E54C5E" w:themeColor="accent6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长江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E54C5E" w:themeColor="accent6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该排口位于黄石港区黄石港街道新闸社区新闸港北侧，目前新闸社区黄石大道左侧新闸港北岸均已完成污水管建设，纳入花湖污水处理厂统一处理后达标排放。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E54C5E" w:themeColor="accent6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清理合并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E54C5E" w:themeColor="accent6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已完成整治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。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E54C5E" w:themeColor="accent6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该排口之前为新闸社区居民区生活污水排口，已新建污水管道接入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黄石大道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市政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污水主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管网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。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E54C5E" w:themeColor="accent6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否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E54C5E" w:themeColor="accent6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否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E54C5E" w:themeColor="accent6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2021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年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Times New Roman" w:eastAsia="等线" w:hAnsi="Times New Roman" w:cs="Times New Roman"/>
                <w:color w:val="E54C5E" w:themeColor="accent6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是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color w:val="E54C5E" w:themeColor="accent6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黄石港区黄石港街道办事处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宋体" w:eastAsia="宋体" w:hAnsi="宋体" w:cs="宋体"/>
                <w:color w:val="E54C5E" w:themeColor="accent6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黄石港区城市管理执法局</w:t>
            </w:r>
          </w:p>
        </w:tc>
      </w:tr>
      <w:tr w:rsidR="00970190">
        <w:trPr>
          <w:trHeight w:val="2678"/>
        </w:trPr>
        <w:tc>
          <w:tcPr>
            <w:tcW w:w="507" w:type="dxa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15"/>
                <w:szCs w:val="15"/>
                <w:lang/>
              </w:rPr>
              <w:t>4</w:t>
            </w:r>
          </w:p>
        </w:tc>
        <w:tc>
          <w:tcPr>
            <w:tcW w:w="627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黄石市黄石港区新闸社区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5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号生活污水排污口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FA4202020049SH00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115.059909267751</w:t>
            </w:r>
          </w:p>
        </w:tc>
        <w:tc>
          <w:tcPr>
            <w:tcW w:w="629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30.2544452272206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城镇生活污水排污口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生活污水排污口</w:t>
            </w:r>
          </w:p>
        </w:tc>
        <w:tc>
          <w:tcPr>
            <w:tcW w:w="491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长江</w:t>
            </w:r>
          </w:p>
        </w:tc>
        <w:tc>
          <w:tcPr>
            <w:tcW w:w="1891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该排口位于黄石港区黄石港街道新闸社区新闸港北侧，目前新闸社区黄石大道左侧新闸港北岸均已完成污水管建设，纳入花湖污水处理厂统一处理后达标排放。</w:t>
            </w:r>
          </w:p>
        </w:tc>
        <w:tc>
          <w:tcPr>
            <w:tcW w:w="518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清理合并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已完成整治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。</w:t>
            </w:r>
          </w:p>
        </w:tc>
        <w:tc>
          <w:tcPr>
            <w:tcW w:w="1826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该排口之前为新闸社区居民区生活污水排口，已新建污水管道接入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黄石大道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市政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污水主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管网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。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否</w:t>
            </w:r>
          </w:p>
        </w:tc>
        <w:tc>
          <w:tcPr>
            <w:tcW w:w="39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否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2021</w:t>
            </w: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年</w:t>
            </w:r>
          </w:p>
        </w:tc>
        <w:tc>
          <w:tcPr>
            <w:tcW w:w="69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是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黄石港区黄石港街道办事处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70190" w:rsidRDefault="00767C99">
            <w:pPr>
              <w:jc w:val="center"/>
              <w:textAlignment w:val="center"/>
              <w:rPr>
                <w:rFonts w:ascii="仿宋_GB2312" w:eastAsia="仿宋_GB2312" w:hAnsi="仿宋_GB2312" w:cs="仿宋_GB2312"/>
                <w:sz w:val="15"/>
                <w:szCs w:val="15"/>
                <w:lang/>
              </w:rPr>
            </w:pPr>
            <w:r>
              <w:rPr>
                <w:rFonts w:ascii="仿宋_GB2312" w:eastAsia="仿宋_GB2312" w:cs="仿宋_GB2312" w:hint="eastAsia"/>
                <w:sz w:val="15"/>
                <w:szCs w:val="15"/>
                <w:lang/>
              </w:rPr>
              <w:t>黄石港区城市管理执法局</w:t>
            </w:r>
          </w:p>
        </w:tc>
      </w:tr>
    </w:tbl>
    <w:p w:rsidR="00970190" w:rsidRDefault="00970190">
      <w:pPr>
        <w:jc w:val="center"/>
        <w:textAlignment w:val="center"/>
        <w:rPr>
          <w:rFonts w:eastAsia="宋体"/>
        </w:rPr>
      </w:pPr>
    </w:p>
    <w:sectPr w:rsidR="00970190" w:rsidSect="00970190">
      <w:headerReference w:type="default" r:id="rId7"/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C99" w:rsidRDefault="00767C99">
      <w:r>
        <w:separator/>
      </w:r>
    </w:p>
  </w:endnote>
  <w:endnote w:type="continuationSeparator" w:id="1">
    <w:p w:rsidR="00767C99" w:rsidRDefault="00767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华文中宋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190" w:rsidRDefault="00970190">
    <w:pPr>
      <w:pStyle w:val="a3"/>
    </w:pPr>
    <w:r w:rsidRPr="0097019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 filled="f" stroked="f" strokeweight=".5pt">
          <v:textbox style="mso-fit-shape-to-text:t" inset="0,0,0,0">
            <w:txbxContent>
              <w:p w:rsidR="00970190" w:rsidRDefault="00970190">
                <w:pPr>
                  <w:pStyle w:val="a3"/>
                </w:pPr>
                <w:r>
                  <w:fldChar w:fldCharType="begin"/>
                </w:r>
                <w:r w:rsidR="00767C99">
                  <w:instrText xml:space="preserve"> PAGE  \* MERGEFORMAT </w:instrText>
                </w:r>
                <w:r>
                  <w:fldChar w:fldCharType="separate"/>
                </w:r>
                <w:r w:rsidR="001E6988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C99" w:rsidRDefault="00767C99">
      <w:r>
        <w:separator/>
      </w:r>
    </w:p>
  </w:footnote>
  <w:footnote w:type="continuationSeparator" w:id="1">
    <w:p w:rsidR="00767C99" w:rsidRDefault="00767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190" w:rsidRDefault="00970190">
    <w:pPr>
      <w:pStyle w:val="a4"/>
      <w:tabs>
        <w:tab w:val="left" w:pos="609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VmOWI0NzI0MGJjODI4N2NlZTA0ZTFhNzgzNjBlMGIifQ=="/>
  </w:docVars>
  <w:rsids>
    <w:rsidRoot w:val="00970190"/>
    <w:rsid w:val="F7DFDA96"/>
    <w:rsid w:val="FAF75FFA"/>
    <w:rsid w:val="FFE9B826"/>
    <w:rsid w:val="001E6988"/>
    <w:rsid w:val="00767C99"/>
    <w:rsid w:val="00970190"/>
    <w:rsid w:val="00F555B1"/>
    <w:rsid w:val="012A566C"/>
    <w:rsid w:val="01C815A0"/>
    <w:rsid w:val="0288275A"/>
    <w:rsid w:val="047563BF"/>
    <w:rsid w:val="08F530B2"/>
    <w:rsid w:val="0A3A3502"/>
    <w:rsid w:val="0C406F50"/>
    <w:rsid w:val="0D8D1235"/>
    <w:rsid w:val="173E3838"/>
    <w:rsid w:val="184C13BC"/>
    <w:rsid w:val="1E5A2908"/>
    <w:rsid w:val="21DDEB63"/>
    <w:rsid w:val="280B55C5"/>
    <w:rsid w:val="2B1105A3"/>
    <w:rsid w:val="2D461692"/>
    <w:rsid w:val="2DBF2092"/>
    <w:rsid w:val="2DE76212"/>
    <w:rsid w:val="315143A6"/>
    <w:rsid w:val="36762780"/>
    <w:rsid w:val="36AB3625"/>
    <w:rsid w:val="3A303D77"/>
    <w:rsid w:val="3A8E6371"/>
    <w:rsid w:val="40F75813"/>
    <w:rsid w:val="422837CD"/>
    <w:rsid w:val="445B0C46"/>
    <w:rsid w:val="4A743D37"/>
    <w:rsid w:val="502C08F0"/>
    <w:rsid w:val="52D73433"/>
    <w:rsid w:val="533E7687"/>
    <w:rsid w:val="5BA31BBC"/>
    <w:rsid w:val="5DAB6747"/>
    <w:rsid w:val="5F0A186F"/>
    <w:rsid w:val="61CB54B2"/>
    <w:rsid w:val="67EB1E7D"/>
    <w:rsid w:val="68CD0C22"/>
    <w:rsid w:val="6A821A3F"/>
    <w:rsid w:val="6B80233E"/>
    <w:rsid w:val="70E6620E"/>
    <w:rsid w:val="724A6301"/>
    <w:rsid w:val="72FFBD8D"/>
    <w:rsid w:val="765D3FED"/>
    <w:rsid w:val="76D5EC18"/>
    <w:rsid w:val="7BCF58BD"/>
    <w:rsid w:val="B1FB92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019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70190"/>
    <w:pPr>
      <w:tabs>
        <w:tab w:val="center" w:pos="4153"/>
        <w:tab w:val="right" w:pos="8306"/>
      </w:tabs>
    </w:pPr>
    <w:rPr>
      <w:sz w:val="18"/>
    </w:rPr>
  </w:style>
  <w:style w:type="paragraph" w:styleId="a4">
    <w:name w:val="header"/>
    <w:basedOn w:val="a"/>
    <w:qFormat/>
    <w:rsid w:val="0097019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qFormat/>
    <w:rsid w:val="00970190"/>
    <w:pPr>
      <w:spacing w:beforeAutospacing="1" w:afterAutospacing="1"/>
    </w:pPr>
    <w:rPr>
      <w:rFonts w:cs="Times New Roman"/>
      <w:snapToGrid/>
      <w:sz w:val="24"/>
      <w:szCs w:val="24"/>
    </w:rPr>
  </w:style>
  <w:style w:type="table" w:customStyle="1" w:styleId="TableNormal">
    <w:name w:val="Table Normal"/>
    <w:basedOn w:val="a1"/>
    <w:semiHidden/>
    <w:unhideWhenUsed/>
    <w:qFormat/>
    <w:rsid w:val="009701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31">
    <w:name w:val="font31"/>
    <w:basedOn w:val="a0"/>
    <w:qFormat/>
    <w:rsid w:val="0097019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41">
    <w:name w:val="font41"/>
    <w:basedOn w:val="a0"/>
    <w:autoRedefine/>
    <w:qFormat/>
    <w:rsid w:val="0097019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97019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sid w:val="00970190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970190"/>
    <w:rPr>
      <w:rFonts w:ascii="Times New Roman" w:hAnsi="Times New Roman" w:cs="Times New Roman" w:hint="default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1297</Characters>
  <Application>Microsoft Office Word</Application>
  <DocSecurity>0</DocSecurity>
  <Lines>10</Lines>
  <Paragraphs>3</Paragraphs>
  <ScaleCrop>false</ScaleCrop>
  <Company>微软中国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2025-06-10T17:21:00Z</cp:lastPrinted>
  <dcterms:created xsi:type="dcterms:W3CDTF">2025-07-02T07:33:00Z</dcterms:created>
  <dcterms:modified xsi:type="dcterms:W3CDTF">2025-07-02T07:33:00Z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9C6C2D80277C4EFFBCB1C943F88EA8E6_12</vt:lpwstr>
  </property>
</Properties>
</file>