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E9EF2">
      <w:pPr>
        <w:bidi w:val="0"/>
        <w:rPr>
          <w:rFonts w:hint="default"/>
          <w:lang w:val="en-US" w:eastAsia="zh-CN"/>
        </w:rPr>
      </w:pPr>
      <w:r>
        <w:rPr>
          <w:rFonts w:hint="eastAsia"/>
          <w:lang w:val="en-US" w:eastAsia="zh-CN"/>
        </w:rPr>
        <w:t>附件</w:t>
      </w:r>
      <w:bookmarkStart w:id="0" w:name="_GoBack"/>
      <w:bookmarkEnd w:id="0"/>
    </w:p>
    <w:p w14:paraId="4DAC9A04">
      <w:pPr>
        <w:spacing w:before="107" w:line="216" w:lineRule="auto"/>
        <w:jc w:val="center"/>
        <w:rPr>
          <w:rFonts w:hint="eastAsia" w:ascii="宋体" w:hAnsi="宋体" w:eastAsia="宋体" w:cs="宋体"/>
          <w:sz w:val="44"/>
          <w:szCs w:val="44"/>
          <w:lang w:eastAsia="zh-CN"/>
        </w:rPr>
      </w:pPr>
      <w:r>
        <w:rPr>
          <w:rFonts w:hint="eastAsia" w:ascii="宋体" w:hAnsi="宋体" w:eastAsia="宋体" w:cs="宋体"/>
          <w:b/>
          <w:bCs/>
          <w:spacing w:val="-4"/>
          <w:sz w:val="44"/>
          <w:szCs w:val="44"/>
          <w:lang w:eastAsia="zh-CN"/>
        </w:rPr>
        <w:t>黄石港区长江入河排污口</w:t>
      </w:r>
      <w:r>
        <w:rPr>
          <w:rFonts w:ascii="宋体" w:hAnsi="宋体" w:eastAsia="宋体" w:cs="宋体"/>
          <w:b/>
          <w:bCs/>
          <w:spacing w:val="-4"/>
          <w:sz w:val="44"/>
          <w:szCs w:val="44"/>
        </w:rPr>
        <w:t>整治验收销号具体清单</w:t>
      </w:r>
      <w:r>
        <w:rPr>
          <w:rFonts w:hint="eastAsia" w:ascii="宋体" w:hAnsi="宋体" w:eastAsia="宋体" w:cs="宋体"/>
          <w:b/>
          <w:bCs/>
          <w:spacing w:val="-4"/>
          <w:sz w:val="44"/>
          <w:szCs w:val="44"/>
          <w:lang w:eastAsia="zh-CN"/>
        </w:rPr>
        <w:t>（第</w:t>
      </w:r>
      <w:r>
        <w:rPr>
          <w:rFonts w:hint="eastAsia" w:ascii="宋体" w:hAnsi="宋体" w:eastAsia="宋体" w:cs="宋体"/>
          <w:b/>
          <w:bCs/>
          <w:spacing w:val="-4"/>
          <w:sz w:val="44"/>
          <w:szCs w:val="44"/>
          <w:lang w:val="en-US" w:eastAsia="zh-CN"/>
        </w:rPr>
        <w:t>15</w:t>
      </w:r>
      <w:r>
        <w:rPr>
          <w:rFonts w:hint="eastAsia" w:ascii="宋体" w:hAnsi="宋体" w:eastAsia="宋体" w:cs="宋体"/>
          <w:b/>
          <w:bCs/>
          <w:spacing w:val="-4"/>
          <w:sz w:val="44"/>
          <w:szCs w:val="44"/>
          <w:lang w:eastAsia="zh-CN"/>
        </w:rPr>
        <w:t>批</w:t>
      </w:r>
      <w:r>
        <w:rPr>
          <w:rFonts w:hint="eastAsia" w:ascii="宋体" w:hAnsi="宋体" w:eastAsia="宋体" w:cs="宋体"/>
          <w:b/>
          <w:bCs/>
          <w:spacing w:val="-4"/>
          <w:sz w:val="44"/>
          <w:szCs w:val="44"/>
          <w:lang w:val="en-US" w:eastAsia="zh-CN"/>
        </w:rPr>
        <w:t>2个</w:t>
      </w:r>
      <w:r>
        <w:rPr>
          <w:rFonts w:hint="eastAsia" w:ascii="宋体" w:hAnsi="宋体" w:eastAsia="宋体" w:cs="宋体"/>
          <w:b/>
          <w:bCs/>
          <w:spacing w:val="-4"/>
          <w:sz w:val="44"/>
          <w:szCs w:val="44"/>
          <w:lang w:eastAsia="zh-CN"/>
        </w:rPr>
        <w:t>）</w:t>
      </w:r>
    </w:p>
    <w:tbl>
      <w:tblPr>
        <w:tblStyle w:val="6"/>
        <w:tblW w:w="14856" w:type="dxa"/>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
        <w:gridCol w:w="627"/>
        <w:gridCol w:w="502"/>
        <w:gridCol w:w="650"/>
        <w:gridCol w:w="629"/>
        <w:gridCol w:w="598"/>
        <w:gridCol w:w="673"/>
        <w:gridCol w:w="491"/>
        <w:gridCol w:w="1891"/>
        <w:gridCol w:w="518"/>
        <w:gridCol w:w="1455"/>
        <w:gridCol w:w="1327"/>
        <w:gridCol w:w="373"/>
        <w:gridCol w:w="4"/>
        <w:gridCol w:w="377"/>
        <w:gridCol w:w="528"/>
        <w:gridCol w:w="556"/>
        <w:gridCol w:w="772"/>
        <w:gridCol w:w="947"/>
        <w:gridCol w:w="1431"/>
      </w:tblGrid>
      <w:tr w14:paraId="7A8CC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07" w:type="dxa"/>
            <w:vMerge w:val="restart"/>
            <w:tcBorders>
              <w:bottom w:val="nil"/>
            </w:tcBorders>
            <w:textDirection w:val="tbRlV"/>
            <w:vAlign w:val="top"/>
          </w:tcPr>
          <w:p w14:paraId="14D282E7">
            <w:pPr>
              <w:spacing w:before="130" w:line="217" w:lineRule="auto"/>
              <w:ind w:left="1094"/>
              <w:rPr>
                <w:rFonts w:ascii="宋体" w:hAnsi="宋体" w:eastAsia="宋体" w:cs="宋体"/>
                <w:sz w:val="20"/>
                <w:szCs w:val="20"/>
              </w:rPr>
            </w:pPr>
            <w:r>
              <w:rPr>
                <w:rFonts w:ascii="宋体" w:hAnsi="宋体" w:eastAsia="宋体" w:cs="宋体"/>
                <w:sz w:val="20"/>
                <w:szCs w:val="20"/>
              </w:rPr>
              <w:t>序号</w:t>
            </w:r>
          </w:p>
        </w:tc>
        <w:tc>
          <w:tcPr>
            <w:tcW w:w="2408" w:type="dxa"/>
            <w:gridSpan w:val="4"/>
            <w:vAlign w:val="top"/>
          </w:tcPr>
          <w:p w14:paraId="13A5C043">
            <w:pPr>
              <w:spacing w:before="221" w:line="219" w:lineRule="auto"/>
              <w:ind w:left="439"/>
              <w:rPr>
                <w:rFonts w:ascii="宋体" w:hAnsi="宋体" w:eastAsia="宋体" w:cs="宋体"/>
                <w:sz w:val="20"/>
                <w:szCs w:val="20"/>
              </w:rPr>
            </w:pPr>
            <w:r>
              <w:rPr>
                <w:rFonts w:ascii="宋体" w:hAnsi="宋体" w:eastAsia="宋体" w:cs="宋体"/>
                <w:spacing w:val="2"/>
                <w:sz w:val="20"/>
                <w:szCs w:val="20"/>
              </w:rPr>
              <w:t>排口基本信息</w:t>
            </w:r>
          </w:p>
        </w:tc>
        <w:tc>
          <w:tcPr>
            <w:tcW w:w="1271" w:type="dxa"/>
            <w:gridSpan w:val="2"/>
            <w:vAlign w:val="top"/>
          </w:tcPr>
          <w:p w14:paraId="17B2CDF6">
            <w:pPr>
              <w:spacing w:before="223" w:line="219" w:lineRule="auto"/>
              <w:ind w:left="279"/>
              <w:rPr>
                <w:rFonts w:ascii="宋体" w:hAnsi="宋体" w:eastAsia="宋体" w:cs="宋体"/>
                <w:sz w:val="20"/>
                <w:szCs w:val="20"/>
              </w:rPr>
            </w:pPr>
            <w:r>
              <w:rPr>
                <w:rFonts w:ascii="宋体" w:hAnsi="宋体" w:eastAsia="宋体" w:cs="宋体"/>
                <w:spacing w:val="3"/>
                <w:sz w:val="20"/>
                <w:szCs w:val="20"/>
              </w:rPr>
              <w:t>排口类型</w:t>
            </w:r>
          </w:p>
        </w:tc>
        <w:tc>
          <w:tcPr>
            <w:tcW w:w="491" w:type="dxa"/>
            <w:vMerge w:val="restart"/>
            <w:tcBorders>
              <w:bottom w:val="nil"/>
            </w:tcBorders>
            <w:textDirection w:val="tbRlV"/>
            <w:vAlign w:val="top"/>
          </w:tcPr>
          <w:p w14:paraId="055AA257">
            <w:pPr>
              <w:spacing w:before="117" w:line="217" w:lineRule="auto"/>
              <w:ind w:left="893"/>
              <w:rPr>
                <w:rFonts w:ascii="宋体" w:hAnsi="宋体" w:eastAsia="宋体" w:cs="宋体"/>
                <w:sz w:val="20"/>
                <w:szCs w:val="20"/>
              </w:rPr>
            </w:pPr>
            <w:r>
              <w:rPr>
                <w:rFonts w:ascii="宋体" w:hAnsi="宋体" w:eastAsia="宋体" w:cs="宋体"/>
                <w:spacing w:val="-2"/>
                <w:sz w:val="20"/>
                <w:szCs w:val="20"/>
              </w:rPr>
              <w:t>所属流域</w:t>
            </w:r>
          </w:p>
        </w:tc>
        <w:tc>
          <w:tcPr>
            <w:tcW w:w="1891" w:type="dxa"/>
            <w:vMerge w:val="restart"/>
            <w:tcBorders>
              <w:bottom w:val="nil"/>
            </w:tcBorders>
            <w:vAlign w:val="center"/>
          </w:tcPr>
          <w:p w14:paraId="5844DE21">
            <w:pPr>
              <w:spacing w:before="65" w:line="207" w:lineRule="auto"/>
              <w:ind w:right="86"/>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溯源发现主要问题</w:t>
            </w:r>
          </w:p>
        </w:tc>
        <w:tc>
          <w:tcPr>
            <w:tcW w:w="6857" w:type="dxa"/>
            <w:gridSpan w:val="10"/>
            <w:vAlign w:val="center"/>
          </w:tcPr>
          <w:p w14:paraId="40C6A48C">
            <w:pPr>
              <w:spacing w:before="223" w:line="220" w:lineRule="auto"/>
              <w:jc w:val="center"/>
              <w:rPr>
                <w:rFonts w:ascii="宋体" w:hAnsi="宋体" w:eastAsia="宋体" w:cs="宋体"/>
                <w:sz w:val="20"/>
                <w:szCs w:val="20"/>
              </w:rPr>
            </w:pPr>
            <w:r>
              <w:rPr>
                <w:rFonts w:ascii="宋体" w:hAnsi="宋体" w:eastAsia="宋体" w:cs="宋体"/>
                <w:spacing w:val="-2"/>
                <w:sz w:val="20"/>
                <w:szCs w:val="20"/>
              </w:rPr>
              <w:t>整治方案</w:t>
            </w:r>
          </w:p>
        </w:tc>
        <w:tc>
          <w:tcPr>
            <w:tcW w:w="1431" w:type="dxa"/>
            <w:vMerge w:val="restart"/>
            <w:tcBorders>
              <w:bottom w:val="nil"/>
            </w:tcBorders>
            <w:vAlign w:val="top"/>
          </w:tcPr>
          <w:p w14:paraId="1E4FE9CF">
            <w:pPr>
              <w:spacing w:line="260" w:lineRule="auto"/>
              <w:rPr>
                <w:rFonts w:ascii="Arial"/>
                <w:sz w:val="21"/>
              </w:rPr>
            </w:pPr>
          </w:p>
          <w:p w14:paraId="2A5B0034">
            <w:pPr>
              <w:spacing w:line="260" w:lineRule="auto"/>
              <w:rPr>
                <w:rFonts w:ascii="Arial"/>
                <w:sz w:val="21"/>
              </w:rPr>
            </w:pPr>
          </w:p>
          <w:p w14:paraId="6025E181">
            <w:pPr>
              <w:spacing w:line="261" w:lineRule="auto"/>
              <w:rPr>
                <w:rFonts w:ascii="Arial"/>
                <w:sz w:val="21"/>
              </w:rPr>
            </w:pPr>
          </w:p>
          <w:p w14:paraId="66B2F082">
            <w:pPr>
              <w:spacing w:line="261" w:lineRule="auto"/>
              <w:rPr>
                <w:rFonts w:ascii="Arial"/>
                <w:sz w:val="21"/>
              </w:rPr>
            </w:pPr>
          </w:p>
          <w:p w14:paraId="69520315">
            <w:pPr>
              <w:spacing w:before="65" w:line="211" w:lineRule="auto"/>
              <w:ind w:left="159" w:right="91"/>
              <w:rPr>
                <w:rFonts w:ascii="宋体" w:hAnsi="宋体" w:eastAsia="宋体" w:cs="宋体"/>
                <w:sz w:val="20"/>
                <w:szCs w:val="20"/>
              </w:rPr>
            </w:pPr>
            <w:r>
              <w:rPr>
                <w:rFonts w:ascii="宋体" w:hAnsi="宋体" w:eastAsia="宋体" w:cs="宋体"/>
                <w:spacing w:val="-2"/>
                <w:sz w:val="20"/>
                <w:szCs w:val="20"/>
              </w:rPr>
              <w:t>主管部门现</w:t>
            </w:r>
            <w:r>
              <w:rPr>
                <w:rFonts w:ascii="宋体" w:hAnsi="宋体" w:eastAsia="宋体" w:cs="宋体"/>
                <w:sz w:val="20"/>
                <w:szCs w:val="20"/>
              </w:rPr>
              <w:t xml:space="preserve"> </w:t>
            </w:r>
            <w:r>
              <w:rPr>
                <w:rFonts w:ascii="宋体" w:hAnsi="宋体" w:eastAsia="宋体" w:cs="宋体"/>
                <w:spacing w:val="-2"/>
                <w:sz w:val="20"/>
                <w:szCs w:val="20"/>
              </w:rPr>
              <w:t>场核查意见</w:t>
            </w:r>
          </w:p>
        </w:tc>
      </w:tr>
      <w:tr w14:paraId="69719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507" w:type="dxa"/>
            <w:vMerge w:val="continue"/>
            <w:tcBorders>
              <w:top w:val="nil"/>
              <w:bottom w:val="nil"/>
            </w:tcBorders>
            <w:textDirection w:val="tbRlV"/>
            <w:vAlign w:val="top"/>
          </w:tcPr>
          <w:p w14:paraId="62AAD3F7">
            <w:pPr>
              <w:rPr>
                <w:rFonts w:ascii="Arial"/>
                <w:sz w:val="21"/>
              </w:rPr>
            </w:pPr>
          </w:p>
        </w:tc>
        <w:tc>
          <w:tcPr>
            <w:tcW w:w="627" w:type="dxa"/>
            <w:vMerge w:val="restart"/>
            <w:tcBorders>
              <w:bottom w:val="nil"/>
            </w:tcBorders>
            <w:textDirection w:val="tbRlV"/>
            <w:vAlign w:val="top"/>
          </w:tcPr>
          <w:p w14:paraId="4B608925">
            <w:pPr>
              <w:spacing w:before="179" w:line="217" w:lineRule="auto"/>
              <w:ind w:left="564"/>
              <w:rPr>
                <w:rFonts w:ascii="宋体" w:hAnsi="宋体" w:eastAsia="宋体" w:cs="宋体"/>
                <w:sz w:val="20"/>
                <w:szCs w:val="20"/>
              </w:rPr>
            </w:pPr>
            <w:r>
              <w:rPr>
                <w:rFonts w:ascii="宋体" w:hAnsi="宋体" w:eastAsia="宋体" w:cs="宋体"/>
                <w:spacing w:val="1"/>
                <w:sz w:val="20"/>
                <w:szCs w:val="20"/>
              </w:rPr>
              <w:t>正式命名</w:t>
            </w:r>
          </w:p>
        </w:tc>
        <w:tc>
          <w:tcPr>
            <w:tcW w:w="502" w:type="dxa"/>
            <w:vMerge w:val="restart"/>
            <w:tcBorders>
              <w:bottom w:val="nil"/>
            </w:tcBorders>
            <w:textDirection w:val="tbRlV"/>
            <w:vAlign w:val="top"/>
          </w:tcPr>
          <w:p w14:paraId="59EF9249">
            <w:pPr>
              <w:spacing w:before="120" w:line="216" w:lineRule="auto"/>
              <w:ind w:left="564"/>
              <w:rPr>
                <w:rFonts w:ascii="宋体" w:hAnsi="宋体" w:eastAsia="宋体" w:cs="宋体"/>
                <w:sz w:val="20"/>
                <w:szCs w:val="20"/>
              </w:rPr>
            </w:pPr>
            <w:r>
              <w:rPr>
                <w:rFonts w:ascii="宋体" w:hAnsi="宋体" w:eastAsia="宋体" w:cs="宋体"/>
                <w:spacing w:val="1"/>
                <w:sz w:val="20"/>
                <w:szCs w:val="20"/>
              </w:rPr>
              <w:t>正式编码</w:t>
            </w:r>
          </w:p>
        </w:tc>
        <w:tc>
          <w:tcPr>
            <w:tcW w:w="650" w:type="dxa"/>
            <w:vMerge w:val="restart"/>
            <w:tcBorders>
              <w:bottom w:val="nil"/>
            </w:tcBorders>
            <w:textDirection w:val="tbRlV"/>
            <w:vAlign w:val="top"/>
          </w:tcPr>
          <w:p w14:paraId="64585EFF">
            <w:pPr>
              <w:spacing w:before="189" w:line="217" w:lineRule="auto"/>
              <w:ind w:left="777"/>
              <w:rPr>
                <w:rFonts w:ascii="宋体" w:hAnsi="宋体" w:eastAsia="宋体" w:cs="宋体"/>
                <w:sz w:val="20"/>
                <w:szCs w:val="20"/>
              </w:rPr>
            </w:pPr>
            <w:r>
              <w:rPr>
                <w:rFonts w:ascii="宋体" w:hAnsi="宋体" w:eastAsia="宋体" w:cs="宋体"/>
                <w:sz w:val="20"/>
                <w:szCs w:val="20"/>
              </w:rPr>
              <w:t>经度</w:t>
            </w:r>
          </w:p>
        </w:tc>
        <w:tc>
          <w:tcPr>
            <w:tcW w:w="629" w:type="dxa"/>
            <w:vMerge w:val="restart"/>
            <w:tcBorders>
              <w:bottom w:val="nil"/>
            </w:tcBorders>
            <w:textDirection w:val="tbRlV"/>
            <w:vAlign w:val="top"/>
          </w:tcPr>
          <w:p w14:paraId="3F9D562F">
            <w:pPr>
              <w:spacing w:before="179" w:line="217" w:lineRule="auto"/>
              <w:ind w:left="770"/>
              <w:rPr>
                <w:rFonts w:ascii="宋体" w:hAnsi="宋体" w:eastAsia="宋体" w:cs="宋体"/>
                <w:sz w:val="20"/>
                <w:szCs w:val="20"/>
              </w:rPr>
            </w:pPr>
            <w:r>
              <w:rPr>
                <w:rFonts w:ascii="宋体" w:hAnsi="宋体" w:eastAsia="宋体" w:cs="宋体"/>
                <w:sz w:val="20"/>
                <w:szCs w:val="20"/>
              </w:rPr>
              <w:t>纬度</w:t>
            </w:r>
          </w:p>
        </w:tc>
        <w:tc>
          <w:tcPr>
            <w:tcW w:w="598" w:type="dxa"/>
            <w:vMerge w:val="restart"/>
            <w:tcBorders>
              <w:bottom w:val="nil"/>
            </w:tcBorders>
            <w:vAlign w:val="top"/>
          </w:tcPr>
          <w:p w14:paraId="2B9660D8">
            <w:pPr>
              <w:spacing w:line="273" w:lineRule="auto"/>
              <w:rPr>
                <w:rFonts w:ascii="Arial"/>
                <w:sz w:val="21"/>
              </w:rPr>
            </w:pPr>
          </w:p>
          <w:p w14:paraId="0EC34BE7">
            <w:pPr>
              <w:spacing w:line="273" w:lineRule="auto"/>
              <w:rPr>
                <w:rFonts w:ascii="Arial"/>
                <w:sz w:val="21"/>
              </w:rPr>
            </w:pPr>
          </w:p>
          <w:p w14:paraId="6869D09D">
            <w:pPr>
              <w:spacing w:line="273" w:lineRule="auto"/>
              <w:rPr>
                <w:rFonts w:ascii="Arial"/>
                <w:sz w:val="21"/>
              </w:rPr>
            </w:pPr>
          </w:p>
          <w:p w14:paraId="51652462">
            <w:pPr>
              <w:spacing w:before="65" w:line="219" w:lineRule="auto"/>
              <w:ind w:left="119"/>
              <w:rPr>
                <w:rFonts w:ascii="宋体" w:hAnsi="宋体" w:eastAsia="宋体" w:cs="宋体"/>
                <w:sz w:val="20"/>
                <w:szCs w:val="20"/>
              </w:rPr>
            </w:pPr>
            <w:r>
              <w:rPr>
                <w:rFonts w:ascii="宋体" w:hAnsi="宋体" w:eastAsia="宋体" w:cs="宋体"/>
                <w:spacing w:val="-3"/>
                <w:sz w:val="20"/>
                <w:szCs w:val="20"/>
              </w:rPr>
              <w:t>大类</w:t>
            </w:r>
          </w:p>
        </w:tc>
        <w:tc>
          <w:tcPr>
            <w:tcW w:w="673" w:type="dxa"/>
            <w:vMerge w:val="restart"/>
            <w:tcBorders>
              <w:bottom w:val="nil"/>
            </w:tcBorders>
            <w:vAlign w:val="top"/>
          </w:tcPr>
          <w:p w14:paraId="37B8675C">
            <w:pPr>
              <w:spacing w:line="273" w:lineRule="auto"/>
              <w:rPr>
                <w:rFonts w:ascii="Arial"/>
                <w:sz w:val="21"/>
              </w:rPr>
            </w:pPr>
          </w:p>
          <w:p w14:paraId="22ECE18D">
            <w:pPr>
              <w:spacing w:line="273" w:lineRule="auto"/>
              <w:rPr>
                <w:rFonts w:ascii="Arial"/>
                <w:sz w:val="21"/>
              </w:rPr>
            </w:pPr>
          </w:p>
          <w:p w14:paraId="257225B5">
            <w:pPr>
              <w:spacing w:line="273" w:lineRule="auto"/>
              <w:rPr>
                <w:rFonts w:ascii="Arial"/>
                <w:sz w:val="21"/>
              </w:rPr>
            </w:pPr>
          </w:p>
          <w:p w14:paraId="58ADCC56">
            <w:pPr>
              <w:spacing w:before="65" w:line="219" w:lineRule="auto"/>
              <w:ind w:left="150"/>
              <w:rPr>
                <w:rFonts w:ascii="宋体" w:hAnsi="宋体" w:eastAsia="宋体" w:cs="宋体"/>
                <w:sz w:val="20"/>
                <w:szCs w:val="20"/>
              </w:rPr>
            </w:pPr>
            <w:r>
              <w:rPr>
                <w:rFonts w:ascii="宋体" w:hAnsi="宋体" w:eastAsia="宋体" w:cs="宋体"/>
                <w:spacing w:val="4"/>
                <w:sz w:val="20"/>
                <w:szCs w:val="20"/>
              </w:rPr>
              <w:t>小类</w:t>
            </w:r>
          </w:p>
        </w:tc>
        <w:tc>
          <w:tcPr>
            <w:tcW w:w="491" w:type="dxa"/>
            <w:vMerge w:val="continue"/>
            <w:tcBorders>
              <w:top w:val="nil"/>
              <w:bottom w:val="nil"/>
            </w:tcBorders>
            <w:textDirection w:val="tbRlV"/>
            <w:vAlign w:val="top"/>
          </w:tcPr>
          <w:p w14:paraId="103E2B76">
            <w:pPr>
              <w:rPr>
                <w:rFonts w:ascii="Arial"/>
                <w:sz w:val="21"/>
              </w:rPr>
            </w:pPr>
          </w:p>
        </w:tc>
        <w:tc>
          <w:tcPr>
            <w:tcW w:w="1891" w:type="dxa"/>
            <w:vMerge w:val="continue"/>
            <w:tcBorders>
              <w:top w:val="nil"/>
              <w:bottom w:val="nil"/>
            </w:tcBorders>
            <w:vAlign w:val="center"/>
          </w:tcPr>
          <w:p w14:paraId="3812AA46">
            <w:pPr>
              <w:jc w:val="center"/>
              <w:rPr>
                <w:rFonts w:ascii="Arial"/>
                <w:sz w:val="21"/>
              </w:rPr>
            </w:pPr>
          </w:p>
        </w:tc>
        <w:tc>
          <w:tcPr>
            <w:tcW w:w="518" w:type="dxa"/>
            <w:vMerge w:val="restart"/>
            <w:tcBorders>
              <w:bottom w:val="nil"/>
            </w:tcBorders>
            <w:textDirection w:val="tbRlV"/>
            <w:vAlign w:val="center"/>
          </w:tcPr>
          <w:p w14:paraId="6FBC1231">
            <w:pPr>
              <w:spacing w:before="65" w:line="209" w:lineRule="auto"/>
              <w:ind w:left="113" w:right="129" w:rightChar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整治类型</w:t>
            </w:r>
          </w:p>
        </w:tc>
        <w:tc>
          <w:tcPr>
            <w:tcW w:w="1455" w:type="dxa"/>
            <w:vMerge w:val="restart"/>
            <w:tcBorders>
              <w:bottom w:val="nil"/>
            </w:tcBorders>
            <w:vAlign w:val="center"/>
          </w:tcPr>
          <w:p w14:paraId="49365406">
            <w:pPr>
              <w:spacing w:before="65" w:line="219" w:lineRule="auto"/>
              <w:ind w:right="108"/>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整治目标</w:t>
            </w:r>
          </w:p>
        </w:tc>
        <w:tc>
          <w:tcPr>
            <w:tcW w:w="1327" w:type="dxa"/>
            <w:vMerge w:val="restart"/>
            <w:tcBorders>
              <w:bottom w:val="nil"/>
            </w:tcBorders>
            <w:vAlign w:val="center"/>
          </w:tcPr>
          <w:p w14:paraId="01087355">
            <w:pPr>
              <w:spacing w:before="65" w:line="208" w:lineRule="auto"/>
              <w:jc w:val="center"/>
              <w:rPr>
                <w:rFonts w:ascii="宋体" w:hAnsi="宋体" w:eastAsia="宋体" w:cs="宋体"/>
                <w:sz w:val="20"/>
                <w:szCs w:val="20"/>
              </w:rPr>
            </w:pPr>
            <w:r>
              <w:rPr>
                <w:rFonts w:ascii="宋体" w:hAnsi="宋体" w:eastAsia="宋体" w:cs="宋体"/>
                <w:spacing w:val="8"/>
                <w:sz w:val="20"/>
                <w:szCs w:val="20"/>
              </w:rPr>
              <w:t>整治</w:t>
            </w:r>
            <w:r>
              <w:rPr>
                <w:rFonts w:ascii="宋体" w:hAnsi="宋体" w:eastAsia="宋体" w:cs="宋体"/>
                <w:spacing w:val="-2"/>
                <w:sz w:val="20"/>
                <w:szCs w:val="20"/>
              </w:rPr>
              <w:t>措施</w:t>
            </w:r>
          </w:p>
        </w:tc>
        <w:tc>
          <w:tcPr>
            <w:tcW w:w="754" w:type="dxa"/>
            <w:gridSpan w:val="3"/>
            <w:vAlign w:val="top"/>
          </w:tcPr>
          <w:p w14:paraId="77E0037D">
            <w:pPr>
              <w:spacing w:before="229" w:line="219" w:lineRule="auto"/>
              <w:jc w:val="center"/>
              <w:rPr>
                <w:rFonts w:ascii="宋体" w:hAnsi="宋体" w:eastAsia="宋体" w:cs="宋体"/>
                <w:sz w:val="20"/>
                <w:szCs w:val="20"/>
              </w:rPr>
            </w:pPr>
            <w:r>
              <w:rPr>
                <w:rFonts w:ascii="宋体" w:hAnsi="宋体" w:eastAsia="宋体" w:cs="宋体"/>
                <w:spacing w:val="-2"/>
                <w:sz w:val="20"/>
                <w:szCs w:val="20"/>
              </w:rPr>
              <w:t>标识牌树立</w:t>
            </w:r>
          </w:p>
        </w:tc>
        <w:tc>
          <w:tcPr>
            <w:tcW w:w="528" w:type="dxa"/>
            <w:vMerge w:val="restart"/>
            <w:tcBorders>
              <w:bottom w:val="nil"/>
            </w:tcBorders>
            <w:vAlign w:val="top"/>
          </w:tcPr>
          <w:p w14:paraId="5BC50956">
            <w:pPr>
              <w:spacing w:line="349" w:lineRule="auto"/>
              <w:jc w:val="center"/>
              <w:rPr>
                <w:rFonts w:ascii="Arial"/>
                <w:sz w:val="21"/>
              </w:rPr>
            </w:pPr>
          </w:p>
          <w:p w14:paraId="5C4A9B23">
            <w:pPr>
              <w:spacing w:line="350" w:lineRule="auto"/>
              <w:jc w:val="center"/>
              <w:rPr>
                <w:rFonts w:ascii="Arial"/>
                <w:sz w:val="21"/>
              </w:rPr>
            </w:pPr>
          </w:p>
          <w:p w14:paraId="7DBF215A">
            <w:pPr>
              <w:spacing w:before="65" w:line="213"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完成时限</w:t>
            </w:r>
          </w:p>
        </w:tc>
        <w:tc>
          <w:tcPr>
            <w:tcW w:w="556" w:type="dxa"/>
            <w:vMerge w:val="restart"/>
            <w:tcBorders>
              <w:bottom w:val="nil"/>
            </w:tcBorders>
            <w:vAlign w:val="top"/>
          </w:tcPr>
          <w:p w14:paraId="1116BD50">
            <w:pPr>
              <w:spacing w:line="295" w:lineRule="auto"/>
              <w:jc w:val="center"/>
              <w:rPr>
                <w:rFonts w:ascii="Arial"/>
                <w:sz w:val="21"/>
              </w:rPr>
            </w:pPr>
          </w:p>
          <w:p w14:paraId="6DCFB70C">
            <w:pPr>
              <w:spacing w:before="65" w:line="221" w:lineRule="auto"/>
              <w:jc w:val="center"/>
              <w:rPr>
                <w:rFonts w:ascii="宋体" w:hAnsi="宋体" w:eastAsia="宋体" w:cs="宋体"/>
                <w:sz w:val="20"/>
                <w:szCs w:val="20"/>
              </w:rPr>
            </w:pPr>
            <w:r>
              <w:rPr>
                <w:rFonts w:ascii="宋体" w:hAnsi="宋体" w:eastAsia="宋体" w:cs="宋体"/>
                <w:spacing w:val="7"/>
                <w:sz w:val="20"/>
                <w:szCs w:val="20"/>
              </w:rPr>
              <w:t>是</w:t>
            </w:r>
            <w:r>
              <w:rPr>
                <w:rFonts w:hint="eastAsia" w:ascii="宋体" w:hAnsi="宋体" w:eastAsia="宋体" w:cs="宋体"/>
                <w:spacing w:val="7"/>
                <w:sz w:val="20"/>
                <w:szCs w:val="20"/>
                <w:lang w:eastAsia="zh-CN"/>
              </w:rPr>
              <w:t>否</w:t>
            </w:r>
            <w:r>
              <w:rPr>
                <w:rFonts w:ascii="宋体" w:hAnsi="宋体" w:eastAsia="宋体" w:cs="宋体"/>
                <w:spacing w:val="-3"/>
                <w:sz w:val="20"/>
                <w:szCs w:val="20"/>
              </w:rPr>
              <w:t>完成</w:t>
            </w:r>
            <w:r>
              <w:rPr>
                <w:rFonts w:ascii="宋体" w:hAnsi="宋体" w:eastAsia="宋体" w:cs="宋体"/>
                <w:spacing w:val="8"/>
                <w:sz w:val="20"/>
                <w:szCs w:val="20"/>
              </w:rPr>
              <w:t>整治</w:t>
            </w:r>
          </w:p>
        </w:tc>
        <w:tc>
          <w:tcPr>
            <w:tcW w:w="772" w:type="dxa"/>
            <w:vMerge w:val="restart"/>
            <w:tcBorders>
              <w:bottom w:val="nil"/>
            </w:tcBorders>
            <w:vAlign w:val="top"/>
          </w:tcPr>
          <w:p w14:paraId="158E93DF">
            <w:pPr>
              <w:spacing w:line="349" w:lineRule="auto"/>
              <w:rPr>
                <w:rFonts w:ascii="Arial"/>
                <w:sz w:val="21"/>
              </w:rPr>
            </w:pPr>
          </w:p>
          <w:p w14:paraId="00802FF4">
            <w:pPr>
              <w:spacing w:line="350" w:lineRule="auto"/>
              <w:rPr>
                <w:rFonts w:ascii="Arial"/>
                <w:sz w:val="21"/>
              </w:rPr>
            </w:pPr>
          </w:p>
          <w:p w14:paraId="266C70DA">
            <w:pPr>
              <w:spacing w:before="65" w:line="214" w:lineRule="auto"/>
              <w:ind w:left="148"/>
              <w:rPr>
                <w:rFonts w:ascii="宋体" w:hAnsi="宋体" w:eastAsia="宋体" w:cs="宋体"/>
                <w:sz w:val="20"/>
                <w:szCs w:val="20"/>
              </w:rPr>
            </w:pPr>
            <w:r>
              <w:rPr>
                <w:rFonts w:ascii="宋体" w:hAnsi="宋体" w:eastAsia="宋体" w:cs="宋体"/>
                <w:spacing w:val="4"/>
                <w:sz w:val="20"/>
                <w:szCs w:val="20"/>
              </w:rPr>
              <w:t>责任</w:t>
            </w:r>
          </w:p>
          <w:p w14:paraId="642A5C86">
            <w:pPr>
              <w:spacing w:line="220" w:lineRule="auto"/>
              <w:ind w:left="148"/>
              <w:rPr>
                <w:rFonts w:ascii="宋体" w:hAnsi="宋体" w:eastAsia="宋体" w:cs="宋体"/>
                <w:sz w:val="20"/>
                <w:szCs w:val="20"/>
              </w:rPr>
            </w:pPr>
            <w:r>
              <w:rPr>
                <w:rFonts w:ascii="宋体" w:hAnsi="宋体" w:eastAsia="宋体" w:cs="宋体"/>
                <w:spacing w:val="-3"/>
                <w:sz w:val="20"/>
                <w:szCs w:val="20"/>
              </w:rPr>
              <w:t>主体</w:t>
            </w:r>
          </w:p>
        </w:tc>
        <w:tc>
          <w:tcPr>
            <w:tcW w:w="947" w:type="dxa"/>
            <w:vMerge w:val="restart"/>
            <w:tcBorders>
              <w:bottom w:val="nil"/>
            </w:tcBorders>
            <w:vAlign w:val="top"/>
          </w:tcPr>
          <w:p w14:paraId="66049831">
            <w:pPr>
              <w:spacing w:line="355" w:lineRule="auto"/>
              <w:rPr>
                <w:rFonts w:ascii="Arial"/>
                <w:sz w:val="21"/>
              </w:rPr>
            </w:pPr>
          </w:p>
          <w:p w14:paraId="0DF5623C">
            <w:pPr>
              <w:spacing w:line="355" w:lineRule="auto"/>
              <w:rPr>
                <w:rFonts w:ascii="Arial"/>
                <w:sz w:val="21"/>
              </w:rPr>
            </w:pPr>
          </w:p>
          <w:p w14:paraId="48E57FCB">
            <w:pPr>
              <w:spacing w:before="65" w:line="219" w:lineRule="auto"/>
              <w:ind w:left="308" w:right="99" w:hanging="200"/>
              <w:rPr>
                <w:rFonts w:ascii="宋体" w:hAnsi="宋体" w:eastAsia="宋体" w:cs="宋体"/>
                <w:sz w:val="20"/>
                <w:szCs w:val="20"/>
              </w:rPr>
            </w:pPr>
            <w:r>
              <w:rPr>
                <w:rFonts w:ascii="宋体" w:hAnsi="宋体" w:eastAsia="宋体" w:cs="宋体"/>
                <w:spacing w:val="3"/>
                <w:sz w:val="20"/>
                <w:szCs w:val="20"/>
              </w:rPr>
              <w:t>主管部</w:t>
            </w:r>
            <w:r>
              <w:rPr>
                <w:rFonts w:ascii="宋体" w:hAnsi="宋体" w:eastAsia="宋体" w:cs="宋体"/>
                <w:spacing w:val="1"/>
                <w:sz w:val="20"/>
                <w:szCs w:val="20"/>
              </w:rPr>
              <w:t xml:space="preserve"> </w:t>
            </w:r>
            <w:r>
              <w:rPr>
                <w:rFonts w:ascii="宋体" w:hAnsi="宋体" w:eastAsia="宋体" w:cs="宋体"/>
                <w:sz w:val="20"/>
                <w:szCs w:val="20"/>
              </w:rPr>
              <w:t>门</w:t>
            </w:r>
          </w:p>
        </w:tc>
        <w:tc>
          <w:tcPr>
            <w:tcW w:w="1431" w:type="dxa"/>
            <w:vMerge w:val="continue"/>
            <w:tcBorders>
              <w:top w:val="nil"/>
              <w:bottom w:val="nil"/>
            </w:tcBorders>
            <w:vAlign w:val="top"/>
          </w:tcPr>
          <w:p w14:paraId="3310824D">
            <w:pPr>
              <w:rPr>
                <w:rFonts w:ascii="Arial"/>
                <w:sz w:val="21"/>
              </w:rPr>
            </w:pPr>
          </w:p>
        </w:tc>
      </w:tr>
      <w:tr w14:paraId="60976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507" w:type="dxa"/>
            <w:vMerge w:val="continue"/>
            <w:tcBorders>
              <w:top w:val="nil"/>
            </w:tcBorders>
            <w:textDirection w:val="tbRlV"/>
            <w:vAlign w:val="top"/>
          </w:tcPr>
          <w:p w14:paraId="65D51B16">
            <w:pPr>
              <w:rPr>
                <w:rFonts w:ascii="Arial"/>
                <w:sz w:val="21"/>
              </w:rPr>
            </w:pPr>
          </w:p>
        </w:tc>
        <w:tc>
          <w:tcPr>
            <w:tcW w:w="627" w:type="dxa"/>
            <w:vMerge w:val="continue"/>
            <w:tcBorders>
              <w:top w:val="nil"/>
            </w:tcBorders>
            <w:textDirection w:val="tbRlV"/>
            <w:vAlign w:val="top"/>
          </w:tcPr>
          <w:p w14:paraId="44584055">
            <w:pPr>
              <w:rPr>
                <w:rFonts w:ascii="Arial"/>
                <w:sz w:val="21"/>
              </w:rPr>
            </w:pPr>
          </w:p>
        </w:tc>
        <w:tc>
          <w:tcPr>
            <w:tcW w:w="502" w:type="dxa"/>
            <w:vMerge w:val="continue"/>
            <w:tcBorders>
              <w:top w:val="nil"/>
            </w:tcBorders>
            <w:textDirection w:val="tbRlV"/>
            <w:vAlign w:val="top"/>
          </w:tcPr>
          <w:p w14:paraId="7E357041">
            <w:pPr>
              <w:rPr>
                <w:rFonts w:ascii="Arial"/>
                <w:sz w:val="21"/>
              </w:rPr>
            </w:pPr>
          </w:p>
        </w:tc>
        <w:tc>
          <w:tcPr>
            <w:tcW w:w="650" w:type="dxa"/>
            <w:vMerge w:val="continue"/>
            <w:tcBorders>
              <w:top w:val="nil"/>
            </w:tcBorders>
            <w:textDirection w:val="tbRlV"/>
            <w:vAlign w:val="top"/>
          </w:tcPr>
          <w:p w14:paraId="5CE71F02">
            <w:pPr>
              <w:rPr>
                <w:rFonts w:ascii="Arial"/>
                <w:sz w:val="21"/>
              </w:rPr>
            </w:pPr>
          </w:p>
        </w:tc>
        <w:tc>
          <w:tcPr>
            <w:tcW w:w="629" w:type="dxa"/>
            <w:vMerge w:val="continue"/>
            <w:tcBorders>
              <w:top w:val="nil"/>
            </w:tcBorders>
            <w:textDirection w:val="tbRlV"/>
            <w:vAlign w:val="top"/>
          </w:tcPr>
          <w:p w14:paraId="01E841F2">
            <w:pPr>
              <w:rPr>
                <w:rFonts w:ascii="Arial"/>
                <w:sz w:val="21"/>
              </w:rPr>
            </w:pPr>
          </w:p>
        </w:tc>
        <w:tc>
          <w:tcPr>
            <w:tcW w:w="598" w:type="dxa"/>
            <w:vMerge w:val="continue"/>
            <w:tcBorders>
              <w:top w:val="nil"/>
            </w:tcBorders>
            <w:vAlign w:val="top"/>
          </w:tcPr>
          <w:p w14:paraId="6F391B2C">
            <w:pPr>
              <w:rPr>
                <w:rFonts w:ascii="Arial"/>
                <w:sz w:val="21"/>
              </w:rPr>
            </w:pPr>
          </w:p>
        </w:tc>
        <w:tc>
          <w:tcPr>
            <w:tcW w:w="673" w:type="dxa"/>
            <w:vMerge w:val="continue"/>
            <w:tcBorders>
              <w:top w:val="nil"/>
            </w:tcBorders>
            <w:vAlign w:val="top"/>
          </w:tcPr>
          <w:p w14:paraId="412621C5">
            <w:pPr>
              <w:rPr>
                <w:rFonts w:ascii="Arial"/>
                <w:sz w:val="21"/>
              </w:rPr>
            </w:pPr>
          </w:p>
        </w:tc>
        <w:tc>
          <w:tcPr>
            <w:tcW w:w="491" w:type="dxa"/>
            <w:vMerge w:val="continue"/>
            <w:tcBorders>
              <w:top w:val="nil"/>
            </w:tcBorders>
            <w:textDirection w:val="tbRlV"/>
            <w:vAlign w:val="top"/>
          </w:tcPr>
          <w:p w14:paraId="03F57003">
            <w:pPr>
              <w:rPr>
                <w:rFonts w:ascii="Arial"/>
                <w:sz w:val="21"/>
              </w:rPr>
            </w:pPr>
          </w:p>
        </w:tc>
        <w:tc>
          <w:tcPr>
            <w:tcW w:w="1891" w:type="dxa"/>
            <w:vMerge w:val="continue"/>
            <w:tcBorders>
              <w:top w:val="nil"/>
            </w:tcBorders>
            <w:vAlign w:val="top"/>
          </w:tcPr>
          <w:p w14:paraId="6D95D086">
            <w:pPr>
              <w:rPr>
                <w:rFonts w:ascii="Arial"/>
                <w:sz w:val="21"/>
              </w:rPr>
            </w:pPr>
          </w:p>
        </w:tc>
        <w:tc>
          <w:tcPr>
            <w:tcW w:w="518" w:type="dxa"/>
            <w:vMerge w:val="continue"/>
            <w:tcBorders>
              <w:top w:val="nil"/>
            </w:tcBorders>
            <w:vAlign w:val="top"/>
          </w:tcPr>
          <w:p w14:paraId="67A40DDE">
            <w:pPr>
              <w:rPr>
                <w:rFonts w:ascii="Arial"/>
                <w:sz w:val="21"/>
              </w:rPr>
            </w:pPr>
          </w:p>
        </w:tc>
        <w:tc>
          <w:tcPr>
            <w:tcW w:w="1455" w:type="dxa"/>
            <w:vMerge w:val="continue"/>
            <w:tcBorders>
              <w:top w:val="nil"/>
            </w:tcBorders>
            <w:vAlign w:val="top"/>
          </w:tcPr>
          <w:p w14:paraId="6623DA9A">
            <w:pPr>
              <w:rPr>
                <w:rFonts w:ascii="Arial"/>
                <w:sz w:val="21"/>
              </w:rPr>
            </w:pPr>
          </w:p>
        </w:tc>
        <w:tc>
          <w:tcPr>
            <w:tcW w:w="1327" w:type="dxa"/>
            <w:vMerge w:val="continue"/>
            <w:tcBorders>
              <w:top w:val="nil"/>
            </w:tcBorders>
            <w:vAlign w:val="top"/>
          </w:tcPr>
          <w:p w14:paraId="38AE853B">
            <w:pPr>
              <w:rPr>
                <w:rFonts w:ascii="Arial"/>
                <w:sz w:val="21"/>
              </w:rPr>
            </w:pPr>
          </w:p>
        </w:tc>
        <w:tc>
          <w:tcPr>
            <w:tcW w:w="377" w:type="dxa"/>
            <w:gridSpan w:val="2"/>
            <w:textDirection w:val="tbRlV"/>
            <w:vAlign w:val="top"/>
          </w:tcPr>
          <w:p w14:paraId="5AADF093">
            <w:pPr>
              <w:spacing w:before="65" w:line="240" w:lineRule="auto"/>
              <w:ind w:left="0" w:leftChars="0" w:right="110" w:righ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是否需要</w:t>
            </w:r>
          </w:p>
        </w:tc>
        <w:tc>
          <w:tcPr>
            <w:tcW w:w="377" w:type="dxa"/>
            <w:textDirection w:val="tbRlV"/>
            <w:vAlign w:val="top"/>
          </w:tcPr>
          <w:p w14:paraId="1A1F2983">
            <w:pPr>
              <w:spacing w:before="65" w:line="240" w:lineRule="auto"/>
              <w:ind w:left="0" w:leftChars="0" w:right="110" w:righ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是否树立</w:t>
            </w:r>
          </w:p>
        </w:tc>
        <w:tc>
          <w:tcPr>
            <w:tcW w:w="528" w:type="dxa"/>
            <w:vMerge w:val="continue"/>
            <w:tcBorders>
              <w:top w:val="nil"/>
            </w:tcBorders>
            <w:vAlign w:val="top"/>
          </w:tcPr>
          <w:p w14:paraId="0078CA7B">
            <w:pPr>
              <w:rPr>
                <w:rFonts w:ascii="Arial"/>
                <w:sz w:val="21"/>
              </w:rPr>
            </w:pPr>
          </w:p>
        </w:tc>
        <w:tc>
          <w:tcPr>
            <w:tcW w:w="556" w:type="dxa"/>
            <w:vMerge w:val="continue"/>
            <w:tcBorders>
              <w:top w:val="nil"/>
            </w:tcBorders>
            <w:vAlign w:val="top"/>
          </w:tcPr>
          <w:p w14:paraId="515E537E">
            <w:pPr>
              <w:rPr>
                <w:rFonts w:ascii="Arial"/>
                <w:sz w:val="21"/>
              </w:rPr>
            </w:pPr>
          </w:p>
        </w:tc>
        <w:tc>
          <w:tcPr>
            <w:tcW w:w="772" w:type="dxa"/>
            <w:vMerge w:val="continue"/>
            <w:tcBorders>
              <w:top w:val="nil"/>
            </w:tcBorders>
            <w:vAlign w:val="top"/>
          </w:tcPr>
          <w:p w14:paraId="4438B4FA">
            <w:pPr>
              <w:rPr>
                <w:rFonts w:ascii="Arial"/>
                <w:sz w:val="21"/>
              </w:rPr>
            </w:pPr>
          </w:p>
        </w:tc>
        <w:tc>
          <w:tcPr>
            <w:tcW w:w="947" w:type="dxa"/>
            <w:vMerge w:val="continue"/>
            <w:tcBorders>
              <w:top w:val="nil"/>
            </w:tcBorders>
            <w:vAlign w:val="top"/>
          </w:tcPr>
          <w:p w14:paraId="11476224">
            <w:pPr>
              <w:rPr>
                <w:rFonts w:ascii="Arial"/>
                <w:sz w:val="21"/>
              </w:rPr>
            </w:pPr>
          </w:p>
        </w:tc>
        <w:tc>
          <w:tcPr>
            <w:tcW w:w="1431" w:type="dxa"/>
            <w:vMerge w:val="continue"/>
            <w:tcBorders>
              <w:top w:val="nil"/>
            </w:tcBorders>
            <w:vAlign w:val="top"/>
          </w:tcPr>
          <w:p w14:paraId="61D03FD4">
            <w:pPr>
              <w:rPr>
                <w:rFonts w:ascii="Arial"/>
                <w:sz w:val="21"/>
              </w:rPr>
            </w:pPr>
          </w:p>
        </w:tc>
      </w:tr>
      <w:tr w14:paraId="55E03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8" w:hRule="atLeast"/>
        </w:trPr>
        <w:tc>
          <w:tcPr>
            <w:tcW w:w="507" w:type="dxa"/>
            <w:vAlign w:val="center"/>
          </w:tcPr>
          <w:p w14:paraId="62BF2B6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1</w:t>
            </w:r>
          </w:p>
          <w:p w14:paraId="72BE569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p>
          <w:p w14:paraId="3330B9B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p>
        </w:tc>
        <w:tc>
          <w:tcPr>
            <w:tcW w:w="627" w:type="dxa"/>
            <w:shd w:val="clear" w:color="auto" w:fill="auto"/>
            <w:vAlign w:val="center"/>
          </w:tcPr>
          <w:p w14:paraId="5D74A94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黄石市黄石港区青山湖广场南侧</w:t>
            </w:r>
            <w:r>
              <w:rPr>
                <w:rFonts w:hint="default" w:ascii="仿宋_GB2312" w:hAnsi="仿宋_GB2312" w:eastAsia="仿宋_GB2312" w:cs="仿宋_GB2312"/>
                <w:i w:val="0"/>
                <w:iCs w:val="0"/>
                <w:snapToGrid w:val="0"/>
                <w:color w:val="000000"/>
                <w:kern w:val="0"/>
                <w:sz w:val="15"/>
                <w:szCs w:val="15"/>
                <w:u w:val="none"/>
                <w:lang w:val="en-US" w:eastAsia="zh-CN" w:bidi="ar"/>
              </w:rPr>
              <w:t>3</w:t>
            </w:r>
            <w:r>
              <w:rPr>
                <w:rFonts w:hint="eastAsia" w:ascii="仿宋_GB2312" w:hAnsi="仿宋_GB2312" w:eastAsia="仿宋_GB2312" w:cs="仿宋_GB2312"/>
                <w:i w:val="0"/>
                <w:iCs w:val="0"/>
                <w:snapToGrid w:val="0"/>
                <w:color w:val="000000"/>
                <w:kern w:val="0"/>
                <w:sz w:val="15"/>
                <w:szCs w:val="15"/>
                <w:u w:val="none"/>
                <w:lang w:val="en-US" w:eastAsia="zh-CN" w:bidi="ar"/>
              </w:rPr>
              <w:t>号雨洪排口</w:t>
            </w:r>
          </w:p>
        </w:tc>
        <w:tc>
          <w:tcPr>
            <w:tcW w:w="502" w:type="dxa"/>
            <w:shd w:val="clear" w:color="auto" w:fill="auto"/>
            <w:vAlign w:val="center"/>
          </w:tcPr>
          <w:p w14:paraId="178C13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FA4202020046YH00</w:t>
            </w:r>
          </w:p>
        </w:tc>
        <w:tc>
          <w:tcPr>
            <w:tcW w:w="650" w:type="dxa"/>
            <w:shd w:val="clear" w:color="auto" w:fill="auto"/>
            <w:vAlign w:val="center"/>
          </w:tcPr>
          <w:p w14:paraId="01CDE88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115.0535052</w:t>
            </w:r>
          </w:p>
        </w:tc>
        <w:tc>
          <w:tcPr>
            <w:tcW w:w="629" w:type="dxa"/>
            <w:shd w:val="clear" w:color="auto" w:fill="auto"/>
            <w:vAlign w:val="center"/>
          </w:tcPr>
          <w:p w14:paraId="401E2B7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30.23706421</w:t>
            </w:r>
          </w:p>
        </w:tc>
        <w:tc>
          <w:tcPr>
            <w:tcW w:w="598" w:type="dxa"/>
            <w:shd w:val="clear" w:color="auto" w:fill="auto"/>
            <w:vAlign w:val="center"/>
          </w:tcPr>
          <w:p w14:paraId="241D047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城镇雨洪排口</w:t>
            </w:r>
          </w:p>
        </w:tc>
        <w:tc>
          <w:tcPr>
            <w:tcW w:w="673" w:type="dxa"/>
            <w:shd w:val="clear" w:color="auto" w:fill="auto"/>
            <w:vAlign w:val="center"/>
          </w:tcPr>
          <w:p w14:paraId="29D6E48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城镇雨洪排口</w:t>
            </w:r>
          </w:p>
        </w:tc>
        <w:tc>
          <w:tcPr>
            <w:tcW w:w="491" w:type="dxa"/>
            <w:shd w:val="clear" w:color="auto" w:fill="auto"/>
            <w:vAlign w:val="center"/>
          </w:tcPr>
          <w:p w14:paraId="77E8FAD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长江</w:t>
            </w:r>
          </w:p>
        </w:tc>
        <w:tc>
          <w:tcPr>
            <w:tcW w:w="1891" w:type="dxa"/>
            <w:shd w:val="clear" w:color="auto" w:fill="auto"/>
            <w:vAlign w:val="center"/>
          </w:tcPr>
          <w:p w14:paraId="47EA47F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本次溯源后监测数据，延安路接入污水节点包含普仁医院生活区、建发和玺小区，纺织五路从北往南管线中包含采阳园生活广场污水、军分区退休干部生活区生活污水、鑫发家园小区生活污水、纺织五路十号院生活污水，最终流向</w:t>
            </w:r>
            <w:r>
              <w:rPr>
                <w:rFonts w:hint="default" w:ascii="仿宋_GB2312" w:hAnsi="仿宋_GB2312" w:eastAsia="仿宋_GB2312" w:cs="仿宋_GB2312"/>
                <w:i w:val="0"/>
                <w:iCs w:val="0"/>
                <w:snapToGrid w:val="0"/>
                <w:color w:val="000000"/>
                <w:kern w:val="0"/>
                <w:sz w:val="15"/>
                <w:szCs w:val="15"/>
                <w:u w:val="none"/>
                <w:lang w:val="en-US" w:eastAsia="zh-CN" w:bidi="ar"/>
              </w:rPr>
              <w:t>46</w:t>
            </w:r>
            <w:r>
              <w:rPr>
                <w:rFonts w:hint="eastAsia" w:ascii="仿宋_GB2312" w:hAnsi="仿宋_GB2312" w:eastAsia="仿宋_GB2312" w:cs="仿宋_GB2312"/>
                <w:i w:val="0"/>
                <w:iCs w:val="0"/>
                <w:snapToGrid w:val="0"/>
                <w:color w:val="000000"/>
                <w:kern w:val="0"/>
                <w:sz w:val="15"/>
                <w:szCs w:val="15"/>
                <w:u w:val="none"/>
                <w:lang w:val="en-US" w:eastAsia="zh-CN" w:bidi="ar"/>
              </w:rPr>
              <w:t>号排口。</w:t>
            </w:r>
          </w:p>
        </w:tc>
        <w:tc>
          <w:tcPr>
            <w:tcW w:w="518" w:type="dxa"/>
            <w:shd w:val="clear" w:color="auto" w:fill="auto"/>
            <w:vAlign w:val="center"/>
          </w:tcPr>
          <w:p w14:paraId="54A34C2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规范</w:t>
            </w:r>
          </w:p>
        </w:tc>
        <w:tc>
          <w:tcPr>
            <w:tcW w:w="1455" w:type="dxa"/>
            <w:shd w:val="clear" w:color="auto" w:fill="auto"/>
            <w:vAlign w:val="center"/>
          </w:tcPr>
          <w:p w14:paraId="59ED3D8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确保无污水接入雨洪排口上游管道，排水水质执行稳定达到《地表水环境质量标准》（</w:t>
            </w:r>
            <w:r>
              <w:rPr>
                <w:rFonts w:hint="default" w:ascii="仿宋_GB2312" w:hAnsi="仿宋_GB2312" w:eastAsia="仿宋_GB2312" w:cs="仿宋_GB2312"/>
                <w:i w:val="0"/>
                <w:iCs w:val="0"/>
                <w:snapToGrid w:val="0"/>
                <w:color w:val="000000"/>
                <w:kern w:val="0"/>
                <w:sz w:val="15"/>
                <w:szCs w:val="15"/>
                <w:u w:val="none"/>
                <w:lang w:val="en-US" w:eastAsia="zh-CN" w:bidi="ar"/>
              </w:rPr>
              <w:t>GB3838-2002</w:t>
            </w:r>
            <w:r>
              <w:rPr>
                <w:rFonts w:hint="eastAsia" w:ascii="仿宋_GB2312" w:hAnsi="仿宋_GB2312" w:eastAsia="仿宋_GB2312" w:cs="仿宋_GB2312"/>
                <w:i w:val="0"/>
                <w:iCs w:val="0"/>
                <w:snapToGrid w:val="0"/>
                <w:color w:val="000000"/>
                <w:kern w:val="0"/>
                <w:sz w:val="15"/>
                <w:szCs w:val="15"/>
                <w:u w:val="none"/>
                <w:lang w:val="en-US" w:eastAsia="zh-CN" w:bidi="ar"/>
              </w:rPr>
              <w:t>）</w:t>
            </w:r>
            <w:r>
              <w:rPr>
                <w:rFonts w:hint="default" w:ascii="仿宋_GB2312" w:hAnsi="仿宋_GB2312" w:eastAsia="仿宋_GB2312" w:cs="仿宋_GB2312"/>
                <w:i w:val="0"/>
                <w:iCs w:val="0"/>
                <w:snapToGrid w:val="0"/>
                <w:color w:val="000000"/>
                <w:kern w:val="0"/>
                <w:sz w:val="15"/>
                <w:szCs w:val="15"/>
                <w:u w:val="none"/>
                <w:lang w:val="en-US" w:eastAsia="zh-CN" w:bidi="ar"/>
              </w:rPr>
              <w:t>V</w:t>
            </w:r>
            <w:r>
              <w:rPr>
                <w:rFonts w:hint="eastAsia" w:ascii="仿宋_GB2312" w:hAnsi="仿宋_GB2312" w:eastAsia="仿宋_GB2312" w:cs="仿宋_GB2312"/>
                <w:i w:val="0"/>
                <w:iCs w:val="0"/>
                <w:snapToGrid w:val="0"/>
                <w:color w:val="000000"/>
                <w:kern w:val="0"/>
                <w:sz w:val="15"/>
                <w:szCs w:val="15"/>
                <w:u w:val="none"/>
                <w:lang w:val="en-US" w:eastAsia="zh-CN" w:bidi="ar"/>
              </w:rPr>
              <w:t>类标准。</w:t>
            </w:r>
          </w:p>
        </w:tc>
        <w:tc>
          <w:tcPr>
            <w:tcW w:w="1327" w:type="dxa"/>
            <w:shd w:val="clear" w:color="auto" w:fill="auto"/>
            <w:vAlign w:val="center"/>
          </w:tcPr>
          <w:p w14:paraId="580A542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建议对纺织五路污水接入节点进行雨污分流管网改造，整改完成后，该排口为雨洪排口，设置标志牌</w:t>
            </w:r>
            <w:r>
              <w:rPr>
                <w:rFonts w:hint="default" w:ascii="仿宋_GB2312" w:hAnsi="仿宋_GB2312" w:eastAsia="仿宋_GB2312" w:cs="仿宋_GB2312"/>
                <w:i w:val="0"/>
                <w:iCs w:val="0"/>
                <w:snapToGrid w:val="0"/>
                <w:color w:val="000000"/>
                <w:kern w:val="0"/>
                <w:sz w:val="15"/>
                <w:szCs w:val="15"/>
                <w:u w:val="none"/>
                <w:lang w:val="en-US" w:eastAsia="zh-CN" w:bidi="ar"/>
              </w:rPr>
              <w:t>1</w:t>
            </w:r>
            <w:r>
              <w:rPr>
                <w:rFonts w:hint="eastAsia" w:ascii="仿宋_GB2312" w:hAnsi="仿宋_GB2312" w:eastAsia="仿宋_GB2312" w:cs="仿宋_GB2312"/>
                <w:i w:val="0"/>
                <w:iCs w:val="0"/>
                <w:snapToGrid w:val="0"/>
                <w:color w:val="000000"/>
                <w:kern w:val="0"/>
                <w:sz w:val="15"/>
                <w:szCs w:val="15"/>
                <w:u w:val="none"/>
                <w:lang w:val="en-US" w:eastAsia="zh-CN" w:bidi="ar"/>
              </w:rPr>
              <w:t>套，建立长效管理机制。2021年，黄石港街道已按照“一口一档”整治要求为该排口设置了标识牌1套。2024年4月，黄石港区城管局对该排口上游污水混接点进行了整治，但纺织五路污水管网为浆砌石材质，由于年代久远，导致隔污效果不佳，雨污分流一直不到位。2025年3月，区城执局已将该排口纳入黄石港区污水系统改造升级建设项目进行整治，该项目目前已完成技术性销号，剩余工作2025年8月底完成。</w:t>
            </w:r>
          </w:p>
        </w:tc>
        <w:tc>
          <w:tcPr>
            <w:tcW w:w="373" w:type="dxa"/>
            <w:vAlign w:val="center"/>
          </w:tcPr>
          <w:p w14:paraId="65B283B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是</w:t>
            </w:r>
          </w:p>
        </w:tc>
        <w:tc>
          <w:tcPr>
            <w:tcW w:w="381" w:type="dxa"/>
            <w:gridSpan w:val="2"/>
            <w:vAlign w:val="center"/>
          </w:tcPr>
          <w:p w14:paraId="392739D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是</w:t>
            </w:r>
          </w:p>
        </w:tc>
        <w:tc>
          <w:tcPr>
            <w:tcW w:w="528" w:type="dxa"/>
            <w:vAlign w:val="center"/>
          </w:tcPr>
          <w:p w14:paraId="0E4C2E9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2023年</w:t>
            </w:r>
          </w:p>
        </w:tc>
        <w:tc>
          <w:tcPr>
            <w:tcW w:w="556" w:type="dxa"/>
            <w:vAlign w:val="center"/>
          </w:tcPr>
          <w:p w14:paraId="036F5AF8">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是</w:t>
            </w:r>
          </w:p>
        </w:tc>
        <w:tc>
          <w:tcPr>
            <w:tcW w:w="772" w:type="dxa"/>
            <w:vAlign w:val="center"/>
          </w:tcPr>
          <w:p w14:paraId="3B37EE2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黄石港区黄石港街道办事处</w:t>
            </w:r>
          </w:p>
        </w:tc>
        <w:tc>
          <w:tcPr>
            <w:tcW w:w="947" w:type="dxa"/>
            <w:vAlign w:val="center"/>
          </w:tcPr>
          <w:p w14:paraId="2BD51DD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黄石港区城市管理执法局</w:t>
            </w:r>
          </w:p>
        </w:tc>
        <w:tc>
          <w:tcPr>
            <w:tcW w:w="1431" w:type="dxa"/>
            <w:vAlign w:val="top"/>
          </w:tcPr>
          <w:p w14:paraId="6195AB0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p>
        </w:tc>
      </w:tr>
      <w:tr w14:paraId="455E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8" w:hRule="atLeast"/>
        </w:trPr>
        <w:tc>
          <w:tcPr>
            <w:tcW w:w="507" w:type="dxa"/>
            <w:shd w:val="clear" w:color="auto" w:fill="auto"/>
            <w:vAlign w:val="center"/>
          </w:tcPr>
          <w:p w14:paraId="3494C18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2</w:t>
            </w:r>
          </w:p>
        </w:tc>
        <w:tc>
          <w:tcPr>
            <w:tcW w:w="627" w:type="dxa"/>
            <w:shd w:val="clear" w:color="auto" w:fill="auto"/>
            <w:vAlign w:val="center"/>
          </w:tcPr>
          <w:p w14:paraId="2E0E604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黄石市黄石港区盘龙湾小区雨洪排口</w:t>
            </w:r>
          </w:p>
        </w:tc>
        <w:tc>
          <w:tcPr>
            <w:tcW w:w="502" w:type="dxa"/>
            <w:shd w:val="clear" w:color="auto" w:fill="auto"/>
            <w:vAlign w:val="center"/>
          </w:tcPr>
          <w:p w14:paraId="4AB88C78">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FA4202020094YH00</w:t>
            </w:r>
          </w:p>
        </w:tc>
        <w:tc>
          <w:tcPr>
            <w:tcW w:w="650" w:type="dxa"/>
            <w:shd w:val="clear" w:color="auto" w:fill="auto"/>
            <w:vAlign w:val="center"/>
          </w:tcPr>
          <w:p w14:paraId="1C9629DB">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115.048463389159</w:t>
            </w:r>
          </w:p>
        </w:tc>
        <w:tc>
          <w:tcPr>
            <w:tcW w:w="629" w:type="dxa"/>
            <w:shd w:val="clear" w:color="auto" w:fill="auto"/>
            <w:vAlign w:val="center"/>
          </w:tcPr>
          <w:p w14:paraId="473F023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30.2372611215372</w:t>
            </w:r>
          </w:p>
        </w:tc>
        <w:tc>
          <w:tcPr>
            <w:tcW w:w="598" w:type="dxa"/>
            <w:shd w:val="clear" w:color="auto" w:fill="auto"/>
            <w:vAlign w:val="center"/>
          </w:tcPr>
          <w:p w14:paraId="5019F7C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城镇雨洪排口</w:t>
            </w:r>
          </w:p>
        </w:tc>
        <w:tc>
          <w:tcPr>
            <w:tcW w:w="673" w:type="dxa"/>
            <w:shd w:val="clear" w:color="auto" w:fill="auto"/>
            <w:vAlign w:val="center"/>
          </w:tcPr>
          <w:p w14:paraId="5E74EBC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城镇雨洪排口</w:t>
            </w:r>
          </w:p>
        </w:tc>
        <w:tc>
          <w:tcPr>
            <w:tcW w:w="491" w:type="dxa"/>
            <w:shd w:val="clear" w:color="auto" w:fill="auto"/>
            <w:vAlign w:val="center"/>
          </w:tcPr>
          <w:p w14:paraId="0EF8275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长江</w:t>
            </w:r>
          </w:p>
        </w:tc>
        <w:tc>
          <w:tcPr>
            <w:tcW w:w="1891" w:type="dxa"/>
            <w:shd w:val="clear" w:color="auto" w:fill="auto"/>
            <w:vAlign w:val="center"/>
          </w:tcPr>
          <w:p w14:paraId="7BF6D89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在溯源现场使用QV检测发现，水流并非来自管道内部，来自距离排口8米左右的管道破裂出水，取样检测发现，外排的水为污水。继续向上游溯源至湖滨大道西侧，盘龙湾小区正门处发现，管道从盘龙湾小区内部接出，进入小区，发现该管道实际为盘龙湾小区的雨水管道，雨水管道实际承接盘龙湾以及盘龙湾南侧军转小区的雨水，在盘龙湾小区门口发现管道的交接口。并且在小区最西侧与污水厂衔接处，污水厂有一根支管接入小区雨水格栅，为污水厂清理场地用水排入小区雨水管。据上述结论定义该排口同时具备城镇雨洪排口与城镇生活污水排污口功能的混合排污口。</w:t>
            </w:r>
          </w:p>
        </w:tc>
        <w:tc>
          <w:tcPr>
            <w:tcW w:w="518" w:type="dxa"/>
            <w:shd w:val="clear" w:color="auto" w:fill="auto"/>
            <w:vAlign w:val="center"/>
          </w:tcPr>
          <w:p w14:paraId="7C4F35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规范</w:t>
            </w:r>
          </w:p>
        </w:tc>
        <w:tc>
          <w:tcPr>
            <w:tcW w:w="1455" w:type="dxa"/>
            <w:shd w:val="clear" w:color="auto" w:fill="auto"/>
            <w:vAlign w:val="center"/>
          </w:tcPr>
          <w:p w14:paraId="7EFE8F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确保无污水接入雨洪排口上游管道，排水水质执行稳定达到《地表水环境质量标准》（GB3838-2002）V类标准。</w:t>
            </w:r>
          </w:p>
        </w:tc>
        <w:tc>
          <w:tcPr>
            <w:tcW w:w="1327" w:type="dxa"/>
            <w:shd w:val="clear" w:color="auto" w:fill="auto"/>
            <w:vAlign w:val="center"/>
          </w:tcPr>
          <w:p w14:paraId="7076531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建议针对修补该节点破损的污水管网，确保污水正常接入污水处理厂。在完成管网修复后，在排污口树立标志牌1套，建立长效管理机制。由于94号排口水质检测不达标，2024年5月，区城管局对该排口上游雨水箱涵进行排查，发现上游裕华城以及盘龙湾小区存在内部混错接情况和雨水井室渗漏破裂等结构性问题，导致水质检测不达标。2025年5月，城管局已组织专业施工单位对94号排口上游的混错接和渗漏破裂等结构性问题进行整治，整治完成后，通过现场开井，QV和CCTV管道检测及水质检测数据对比未发现该处雨水箱涵存在内部混错接和污水渗入情况。后续，我街道对94号排口进行常态化巡查，未见有污水从该排口排出。</w:t>
            </w:r>
          </w:p>
          <w:p w14:paraId="1FC5F7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p>
        </w:tc>
        <w:tc>
          <w:tcPr>
            <w:tcW w:w="373" w:type="dxa"/>
            <w:shd w:val="clear" w:color="auto" w:fill="auto"/>
            <w:vAlign w:val="center"/>
          </w:tcPr>
          <w:p w14:paraId="38F55E4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是</w:t>
            </w:r>
          </w:p>
        </w:tc>
        <w:tc>
          <w:tcPr>
            <w:tcW w:w="381" w:type="dxa"/>
            <w:gridSpan w:val="2"/>
            <w:shd w:val="clear" w:color="auto" w:fill="auto"/>
            <w:vAlign w:val="center"/>
          </w:tcPr>
          <w:p w14:paraId="7116B92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是</w:t>
            </w:r>
          </w:p>
        </w:tc>
        <w:tc>
          <w:tcPr>
            <w:tcW w:w="528" w:type="dxa"/>
            <w:shd w:val="clear" w:color="auto" w:fill="auto"/>
            <w:vAlign w:val="center"/>
          </w:tcPr>
          <w:p w14:paraId="4C0FF9F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2023年</w:t>
            </w:r>
          </w:p>
        </w:tc>
        <w:tc>
          <w:tcPr>
            <w:tcW w:w="556" w:type="dxa"/>
            <w:shd w:val="clear" w:color="auto" w:fill="auto"/>
            <w:vAlign w:val="center"/>
          </w:tcPr>
          <w:p w14:paraId="25874E3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是</w:t>
            </w:r>
          </w:p>
        </w:tc>
        <w:tc>
          <w:tcPr>
            <w:tcW w:w="772" w:type="dxa"/>
            <w:shd w:val="clear" w:color="auto" w:fill="auto"/>
            <w:vAlign w:val="center"/>
          </w:tcPr>
          <w:p w14:paraId="495464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黄石港区黄石港街道办事处</w:t>
            </w:r>
          </w:p>
        </w:tc>
        <w:tc>
          <w:tcPr>
            <w:tcW w:w="947" w:type="dxa"/>
            <w:shd w:val="clear" w:color="auto" w:fill="auto"/>
            <w:vAlign w:val="center"/>
          </w:tcPr>
          <w:p w14:paraId="1321F29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黄石港区城市管理执法局</w:t>
            </w:r>
          </w:p>
        </w:tc>
        <w:tc>
          <w:tcPr>
            <w:tcW w:w="1431" w:type="dxa"/>
            <w:shd w:val="clear" w:color="auto" w:fill="auto"/>
            <w:vAlign w:val="top"/>
          </w:tcPr>
          <w:p w14:paraId="6032D56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p>
        </w:tc>
      </w:tr>
    </w:tbl>
    <w:p w14:paraId="5CD3418F">
      <w:pPr>
        <w:keepNext w:val="0"/>
        <w:keepLines w:val="0"/>
        <w:widowControl/>
        <w:suppressLineNumbers w:val="0"/>
        <w:jc w:val="center"/>
        <w:textAlignment w:val="center"/>
        <w:rPr>
          <w:rFonts w:hint="default" w:eastAsia="宋体"/>
          <w:lang w:val="en-US" w:eastAsia="zh-CN"/>
        </w:rPr>
      </w:pPr>
      <w:r>
        <w:rPr>
          <w:rFonts w:hint="eastAsia" w:ascii="仿宋_GB2312" w:hAnsi="仿宋_GB2312" w:eastAsia="仿宋_GB2312" w:cs="仿宋_GB2312"/>
          <w:i w:val="0"/>
          <w:iCs w:val="0"/>
          <w:snapToGrid w:val="0"/>
          <w:color w:val="000000"/>
          <w:kern w:val="0"/>
          <w:sz w:val="15"/>
          <w:szCs w:val="15"/>
          <w:u w:val="none"/>
          <w:lang w:val="en-US" w:eastAsia="zh-CN" w:bidi="ar"/>
        </w:rPr>
        <w:t xml:space="preserve">   </w:t>
      </w:r>
    </w:p>
    <w:sectPr>
      <w:headerReference r:id="rId5" w:type="default"/>
      <w:footerReference r:id="rId6" w:type="default"/>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B0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632D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1632D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02CC">
    <w:pPr>
      <w:pStyle w:val="3"/>
      <w:tabs>
        <w:tab w:val="left" w:pos="60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OWI0NzI0MGJjODI4N2NlZTA0ZTFhNzgzNjBlMGIifQ=="/>
  </w:docVars>
  <w:rsids>
    <w:rsidRoot w:val="00000000"/>
    <w:rsid w:val="00F555B1"/>
    <w:rsid w:val="012A566C"/>
    <w:rsid w:val="01C815A0"/>
    <w:rsid w:val="024C4F46"/>
    <w:rsid w:val="0288275A"/>
    <w:rsid w:val="08F530B2"/>
    <w:rsid w:val="0A3A3502"/>
    <w:rsid w:val="0C406F50"/>
    <w:rsid w:val="0D8D1235"/>
    <w:rsid w:val="173E3838"/>
    <w:rsid w:val="184C13BC"/>
    <w:rsid w:val="1E5A2908"/>
    <w:rsid w:val="280B55C5"/>
    <w:rsid w:val="28642F69"/>
    <w:rsid w:val="2B1105A3"/>
    <w:rsid w:val="2D461692"/>
    <w:rsid w:val="2DBF2092"/>
    <w:rsid w:val="2DE76212"/>
    <w:rsid w:val="315143A6"/>
    <w:rsid w:val="32F443B0"/>
    <w:rsid w:val="36762780"/>
    <w:rsid w:val="36AB3625"/>
    <w:rsid w:val="3A303D77"/>
    <w:rsid w:val="3A8E6371"/>
    <w:rsid w:val="40F75813"/>
    <w:rsid w:val="422837CD"/>
    <w:rsid w:val="445B0C46"/>
    <w:rsid w:val="4A743D37"/>
    <w:rsid w:val="4AD11442"/>
    <w:rsid w:val="502C08F0"/>
    <w:rsid w:val="514636A7"/>
    <w:rsid w:val="52D73433"/>
    <w:rsid w:val="533E7687"/>
    <w:rsid w:val="5BA31BBC"/>
    <w:rsid w:val="5DAB6747"/>
    <w:rsid w:val="5F0A186F"/>
    <w:rsid w:val="61CB54B2"/>
    <w:rsid w:val="643A0955"/>
    <w:rsid w:val="67EB1E7D"/>
    <w:rsid w:val="6A821A3F"/>
    <w:rsid w:val="6B80233E"/>
    <w:rsid w:val="724A6301"/>
    <w:rsid w:val="765D3FED"/>
    <w:rsid w:val="7B8C6B3B"/>
    <w:rsid w:val="7BCF58BD"/>
    <w:rsid w:val="B65FB785"/>
    <w:rsid w:val="BF9B7E70"/>
    <w:rsid w:val="EFFDF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31"/>
    <w:basedOn w:val="5"/>
    <w:qFormat/>
    <w:uiPriority w:val="0"/>
    <w:rPr>
      <w:rFonts w:hint="eastAsia" w:ascii="宋体" w:hAnsi="宋体" w:eastAsia="宋体" w:cs="宋体"/>
      <w:color w:val="000000"/>
      <w:sz w:val="24"/>
      <w:szCs w:val="24"/>
      <w:u w:val="none"/>
    </w:rPr>
  </w:style>
  <w:style w:type="character" w:customStyle="1" w:styleId="8">
    <w:name w:val="font41"/>
    <w:basedOn w:val="5"/>
    <w:autoRedefine/>
    <w:qFormat/>
    <w:uiPriority w:val="0"/>
    <w:rPr>
      <w:rFonts w:hint="default" w:ascii="Times New Roman" w:hAnsi="Times New Roman" w:cs="Times New Roman"/>
      <w:color w:val="000000"/>
      <w:sz w:val="24"/>
      <w:szCs w:val="24"/>
      <w:u w:val="none"/>
    </w:rPr>
  </w:style>
  <w:style w:type="character" w:customStyle="1" w:styleId="9">
    <w:name w:val="font51"/>
    <w:basedOn w:val="5"/>
    <w:qFormat/>
    <w:uiPriority w:val="0"/>
    <w:rPr>
      <w:rFonts w:hint="default" w:ascii="Times New Roman" w:hAnsi="Times New Roman" w:cs="Times New Roman"/>
      <w:color w:val="000000"/>
      <w:sz w:val="24"/>
      <w:szCs w:val="24"/>
      <w:u w:val="none"/>
    </w:rPr>
  </w:style>
  <w:style w:type="character" w:customStyle="1" w:styleId="10">
    <w:name w:val="font11"/>
    <w:basedOn w:val="5"/>
    <w:qFormat/>
    <w:uiPriority w:val="0"/>
    <w:rPr>
      <w:rFonts w:hint="eastAsia" w:ascii="宋体" w:hAnsi="宋体" w:eastAsia="宋体" w:cs="宋体"/>
      <w:color w:val="000000"/>
      <w:sz w:val="24"/>
      <w:szCs w:val="24"/>
      <w:u w:val="none"/>
    </w:rPr>
  </w:style>
  <w:style w:type="character" w:customStyle="1" w:styleId="11">
    <w:name w:val="font2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1190</Words>
  <Characters>1324</Characters>
  <Lines>0</Lines>
  <Paragraphs>0</Paragraphs>
  <TotalTime>34</TotalTime>
  <ScaleCrop>false</ScaleCrop>
  <LinksUpToDate>false</LinksUpToDate>
  <CharactersWithSpaces>1329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2023-08-11T11:28:00Z</dcterms:created>
  <dc:creator>Administrator</dc:creator>
  <cp:lastModifiedBy>禄</cp:lastModifiedBy>
  <cp:lastPrinted>2023-11-04T09:31:00Z</cp:lastPrinted>
  <dcterms:modified xsi:type="dcterms:W3CDTF">2025-08-04T11:18:06Z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9C6C2D80277C4EFFBCB1C943F88EA8E6_12</vt:lpwstr>
  </property>
  <property fmtid="{D5CDD505-2E9C-101B-9397-08002B2CF9AE}" pid="4" name="KSOTemplateDocerSaveRecord">
    <vt:lpwstr>eyJoZGlkIjoiYWE1ZGVjMWEzNzYwY2NjZGE1MjE0N2IzODYxNzI1OGMiLCJ1c2VySWQiOiIyOTQ1MzczNDQifQ==</vt:lpwstr>
  </property>
</Properties>
</file>